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256B" w14:textId="77777777" w:rsidR="00F861EE" w:rsidRPr="000B5D6B" w:rsidRDefault="00000000" w:rsidP="000B5D6B">
      <w:pPr>
        <w:jc w:val="center"/>
        <w:rPr>
          <w:b/>
          <w:bCs/>
          <w:sz w:val="32"/>
          <w:szCs w:val="20"/>
        </w:rPr>
      </w:pPr>
      <w:r w:rsidRPr="000B5D6B">
        <w:rPr>
          <w:b/>
          <w:bCs/>
          <w:sz w:val="32"/>
          <w:szCs w:val="20"/>
        </w:rPr>
        <w:t>Supplementary tables</w:t>
      </w:r>
    </w:p>
    <w:p w14:paraId="47C73DD5" w14:textId="77777777" w:rsidR="004E772C" w:rsidRPr="000B5D6B" w:rsidRDefault="00000000" w:rsidP="000B5D6B">
      <w:pPr>
        <w:pStyle w:val="10"/>
        <w:rPr>
          <w:sz w:val="24"/>
          <w:szCs w:val="24"/>
        </w:rPr>
      </w:pPr>
      <w:r w:rsidRPr="000B5D6B">
        <w:rPr>
          <w:sz w:val="24"/>
          <w:szCs w:val="24"/>
        </w:rPr>
        <w:t>Table S1. Missingness and early organ-severity source variables</w:t>
      </w:r>
    </w:p>
    <w:tbl>
      <w:tblPr>
        <w:tblW w:w="9411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600"/>
        <w:gridCol w:w="4811"/>
      </w:tblGrid>
      <w:tr w:rsidR="004E772C" w14:paraId="3F08388A" w14:textId="77777777">
        <w:trPr>
          <w:cantSplit/>
          <w:tblHeader/>
        </w:trPr>
        <w:tc>
          <w:tcPr>
            <w:tcW w:w="30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BE48D" w14:textId="77777777" w:rsidR="004E772C" w:rsidRPr="000B5D6B" w:rsidRDefault="00000000" w:rsidP="000B5D6B">
            <w:pPr>
              <w:pStyle w:val="a4"/>
              <w:rPr>
                <w:b/>
                <w:bCs/>
              </w:rPr>
            </w:pPr>
            <w:r w:rsidRPr="000B5D6B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6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BDCB4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Missing</w:t>
            </w:r>
          </w:p>
        </w:tc>
        <w:tc>
          <w:tcPr>
            <w:tcW w:w="4811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E92F3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Prespecified handling</w:t>
            </w:r>
          </w:p>
        </w:tc>
      </w:tr>
      <w:tr w:rsidR="004E772C" w14:paraId="1B57DCEC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DCBD1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Maximum bilirubin, 0–24 h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30E7EB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57.1%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DF7CB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Component-level imputation; no aggregate SOFA</w:t>
            </w:r>
          </w:p>
        </w:tc>
      </w:tr>
      <w:tr w:rsidR="004E772C" w14:paraId="7618AF84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309BA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Minimum MAP, 0–24 h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8DCB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34.4%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74E04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Component-level imputation</w:t>
            </w:r>
          </w:p>
        </w:tc>
      </w:tr>
      <w:tr w:rsidR="004E772C" w14:paraId="48A81E28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2406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BMI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DB8E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22.0%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BA867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First-day height/weight window; component-level imputation</w:t>
            </w:r>
          </w:p>
        </w:tc>
      </w:tr>
      <w:tr w:rsidR="004E772C" w14:paraId="39A92E1A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99BAD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PaO</w:t>
            </w:r>
            <w:r>
              <w:rPr>
                <w:rFonts w:eastAsia="Times New Roman"/>
                <w:sz w:val="16"/>
                <w:vertAlign w:val="subscript"/>
              </w:rPr>
              <w:t>2</w:t>
            </w:r>
            <w:r>
              <w:rPr>
                <w:rFonts w:eastAsia="Times New Roman"/>
                <w:sz w:val="16"/>
              </w:rPr>
              <w:t>/FiO</w:t>
            </w:r>
            <w:r>
              <w:rPr>
                <w:rFonts w:eastAsia="Times New Roman"/>
                <w:sz w:val="16"/>
                <w:vertAlign w:val="subscript"/>
              </w:rPr>
              <w:t>2</w:t>
            </w:r>
            <w:r>
              <w:rPr>
                <w:rFonts w:eastAsia="Times New Roman"/>
                <w:sz w:val="16"/>
              </w:rPr>
              <w:t xml:space="preserve"> ratio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21144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21.1%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D300E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Component-level imputation; 2-h/6-h pairing sensitivity</w:t>
            </w:r>
          </w:p>
        </w:tc>
      </w:tr>
      <w:tr w:rsidR="004E772C" w14:paraId="259A520C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A6AF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Minimum platelet count, 0–24 h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5950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37347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Component-level imputation</w:t>
            </w:r>
          </w:p>
        </w:tc>
      </w:tr>
      <w:tr w:rsidR="004E772C" w14:paraId="1C9A1C02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A5560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Maximum creatinine, 0–24 h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A148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1.0%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B13710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Component-level imputation</w:t>
            </w:r>
          </w:p>
        </w:tc>
      </w:tr>
      <w:tr w:rsidR="004E772C" w14:paraId="413F4C32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13F3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Minimum GCS motor score, 0–24 h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3B7B6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0.0%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BB5EE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Observed source variable</w:t>
            </w:r>
          </w:p>
        </w:tc>
      </w:tr>
      <w:tr w:rsidR="004E772C" w14:paraId="43CB4382" w14:textId="77777777">
        <w:trPr>
          <w:cantSplit/>
        </w:trPr>
        <w:tc>
          <w:tcPr>
            <w:tcW w:w="3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AE0BF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APACHE IV (</w:t>
            </w:r>
            <w:proofErr w:type="spellStart"/>
            <w:r>
              <w:rPr>
                <w:rFonts w:eastAsia="Times New Roman"/>
                <w:sz w:val="16"/>
              </w:rPr>
              <w:t>eICU</w:t>
            </w:r>
            <w:proofErr w:type="spellEnd"/>
            <w:r>
              <w:rPr>
                <w:rFonts w:eastAsia="Times New Roman"/>
                <w:sz w:val="16"/>
              </w:rPr>
              <w:t>)</w:t>
            </w:r>
          </w:p>
        </w:tc>
        <w:tc>
          <w:tcPr>
            <w:tcW w:w="1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6CDD46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6.0%</w:t>
            </w:r>
          </w:p>
        </w:tc>
        <w:tc>
          <w:tcPr>
            <w:tcW w:w="48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190C1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30-draw imputation GEE; complete-case sensitivity</w:t>
            </w:r>
          </w:p>
        </w:tc>
      </w:tr>
    </w:tbl>
    <w:p w14:paraId="67E9B4C1" w14:textId="77777777" w:rsidR="00F64E5F" w:rsidRDefault="00000000">
      <w:pPr>
        <w:widowControl/>
        <w:spacing w:after="100" w:line="276" w:lineRule="auto"/>
        <w:rPr>
          <w:rFonts w:eastAsia="Times New Roman"/>
        </w:rPr>
      </w:pPr>
      <w:r>
        <w:rPr>
          <w:rFonts w:eastAsia="Times New Roman"/>
          <w:sz w:val="16"/>
        </w:rPr>
        <w:t>Note: PaO</w:t>
      </w:r>
      <w:r>
        <w:rPr>
          <w:rFonts w:eastAsia="Times New Roman"/>
          <w:sz w:val="16"/>
          <w:vertAlign w:val="subscript"/>
        </w:rPr>
        <w:t>2</w:t>
      </w:r>
      <w:r>
        <w:rPr>
          <w:rFonts w:eastAsia="Times New Roman"/>
          <w:sz w:val="16"/>
        </w:rPr>
        <w:t>, arterial oxygen tension; FiO</w:t>
      </w:r>
      <w:r>
        <w:rPr>
          <w:rFonts w:eastAsia="Times New Roman"/>
          <w:sz w:val="16"/>
          <w:vertAlign w:val="subscript"/>
        </w:rPr>
        <w:t>2</w:t>
      </w:r>
      <w:r>
        <w:rPr>
          <w:rFonts w:eastAsia="Times New Roman"/>
          <w:sz w:val="16"/>
        </w:rPr>
        <w:t xml:space="preserve">, inspired oxygen fraction; MAP, mean arterial pressure; GCS, Glasgow Coma Scale; SOFA, Sequential Organ Failure Assessment. The local MIMIC-IV source files did not contain </w:t>
      </w:r>
      <w:proofErr w:type="spellStart"/>
      <w:r>
        <w:rPr>
          <w:rFonts w:eastAsia="Times New Roman"/>
          <w:sz w:val="16"/>
        </w:rPr>
        <w:t>outputevents</w:t>
      </w:r>
      <w:proofErr w:type="spellEnd"/>
      <w:r>
        <w:rPr>
          <w:rFonts w:eastAsia="Times New Roman"/>
          <w:sz w:val="16"/>
        </w:rPr>
        <w:t>; therefore, a complete urine-output-based SOFA score was not constructed. Organ-severity variables were imputed and modelled separately.</w:t>
      </w:r>
      <w:r>
        <w:rPr>
          <w:sz w:val="16"/>
        </w:rPr>
        <w:t xml:space="preserve"> BMI, body mass index; APACHE IV, Acute Physiology and Chronic Health Evaluation IV; GEE, generalised estimating equation; RASS, Richmond Agitation–Sedation Scale.</w:t>
      </w:r>
    </w:p>
    <w:p w14:paraId="0BC84AD9" w14:textId="77777777" w:rsidR="00F64E5F" w:rsidRDefault="00F64E5F">
      <w:pPr>
        <w:widowControl/>
        <w:rPr>
          <w:rFonts w:eastAsia="Times New Roman"/>
        </w:rPr>
      </w:pPr>
      <w:r>
        <w:rPr>
          <w:rFonts w:eastAsia="Times New Roman"/>
        </w:rPr>
        <w:br w:type="page"/>
      </w:r>
    </w:p>
    <w:p w14:paraId="1DEC2E8A" w14:textId="77777777" w:rsidR="004E772C" w:rsidRPr="000B5D6B" w:rsidRDefault="00000000" w:rsidP="000B5D6B">
      <w:pPr>
        <w:pStyle w:val="a4"/>
        <w:rPr>
          <w:b/>
          <w:bCs/>
          <w:sz w:val="24"/>
          <w:szCs w:val="24"/>
        </w:rPr>
      </w:pPr>
      <w:r w:rsidRPr="000B5D6B">
        <w:rPr>
          <w:b/>
          <w:bCs/>
          <w:sz w:val="24"/>
          <w:szCs w:val="24"/>
        </w:rPr>
        <w:lastRenderedPageBreak/>
        <w:t>Table S2. Model specifications and sensitivity analyses</w:t>
      </w:r>
    </w:p>
    <w:tbl>
      <w:tblPr>
        <w:tblW w:w="9411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100"/>
        <w:gridCol w:w="1400"/>
        <w:gridCol w:w="1800"/>
        <w:gridCol w:w="3111"/>
      </w:tblGrid>
      <w:tr w:rsidR="004E772C" w14:paraId="5C2F73AA" w14:textId="77777777">
        <w:trPr>
          <w:cantSplit/>
          <w:tblHeader/>
        </w:trPr>
        <w:tc>
          <w:tcPr>
            <w:tcW w:w="20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23775" w14:textId="77777777" w:rsidR="004E772C" w:rsidRPr="000B5D6B" w:rsidRDefault="00000000" w:rsidP="000B5D6B">
            <w:pPr>
              <w:pStyle w:val="a4"/>
              <w:rPr>
                <w:b/>
                <w:bCs/>
              </w:rPr>
            </w:pPr>
            <w:r w:rsidRPr="000B5D6B">
              <w:rPr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11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63662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 / deaths</w:t>
            </w:r>
          </w:p>
        </w:tc>
        <w:tc>
          <w:tcPr>
            <w:tcW w:w="14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10DE4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Risk set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EB7D2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Exposure and model</w:t>
            </w:r>
          </w:p>
        </w:tc>
        <w:tc>
          <w:tcPr>
            <w:tcW w:w="3111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EE4E1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Adjustment or handling</w:t>
            </w:r>
          </w:p>
        </w:tc>
      </w:tr>
      <w:tr w:rsidR="004E772C" w14:paraId="481D50BD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51820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primary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B558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2252 / 541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CBD9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≥3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2F1E6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Deep-RASS burden per 10 percentage points; logistic regression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6D16E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60 component-level posterior-draw imputations; age, sex, BMI, Charlson-no-age, RASS density, vasoactive indicator, six early source variables, disease group, and anchor-year group</w:t>
            </w:r>
          </w:p>
        </w:tc>
      </w:tr>
      <w:tr w:rsidR="004E772C" w14:paraId="7A89BAFE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F2C17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48-h sensitivity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B488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2696 / 674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8F75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48-h landmark; ≥3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4CDB3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Deep-RASS burden per 10 percentage points; logistic regression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3F564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Same covariate structure and 60 imputations</w:t>
            </w:r>
          </w:p>
        </w:tc>
      </w:tr>
      <w:tr w:rsidR="004E772C" w14:paraId="763D4FF9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78EE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density sensitivity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2B5E6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2231 / 536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8FAF0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≥6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FC6D8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Deep-RASS burden per 10 percentage points; logistic regression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C1778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Same covariate structure and 60 imputations</w:t>
            </w:r>
          </w:p>
        </w:tc>
      </w:tr>
      <w:tr w:rsidR="004E772C" w14:paraId="7EBD9284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20D8D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density sensitivity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EAB13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2136 / 508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5AB00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≥9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EE1A8F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Deep-RASS burden per 10 percentage points; logistic regression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DB60A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Same covariate structure and 60 imputations</w:t>
            </w:r>
          </w:p>
        </w:tc>
      </w:tr>
      <w:tr w:rsidR="004E772C" w14:paraId="1226D231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ADFF1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non-linearity diagnostic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E027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2252 / 541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2120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≥3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AA595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Natural cubic spline, 4 degrees of freedom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F1573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Compared with the prespecified linear exposure term across 60 completed datasets</w:t>
            </w:r>
          </w:p>
        </w:tc>
      </w:tr>
      <w:tr w:rsidR="004E772C" w14:paraId="1F31C6CC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A6D7A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MIMIC-IV bootstrap diagnostic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6CCB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2252 / 541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7876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≥3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16F5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Patient-level bootstrap, 500 resamples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9A4BD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One deterministic completed dataset; Rubin MI interval remained primary</w:t>
            </w:r>
          </w:p>
        </w:tc>
      </w:tr>
      <w:tr w:rsidR="004E772C" w14:paraId="0965E1B9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4354F" w14:textId="77777777" w:rsidR="004E772C" w:rsidRDefault="00000000">
            <w:pPr>
              <w:widowControl/>
              <w:spacing w:before="60" w:after="60" w:line="276" w:lineRule="auto"/>
            </w:pPr>
            <w:proofErr w:type="spellStart"/>
            <w:r>
              <w:rPr>
                <w:rFonts w:eastAsia="Times New Roman"/>
                <w:sz w:val="16"/>
              </w:rPr>
              <w:t>eICU</w:t>
            </w:r>
            <w:proofErr w:type="spellEnd"/>
            <w:r>
              <w:rPr>
                <w:rFonts w:eastAsia="Times New Roman"/>
                <w:sz w:val="16"/>
              </w:rPr>
              <w:t xml:space="preserve"> strict replication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DF03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250 / 46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44F23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landmark; ≥3 explicit RASS windows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CA23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Hospital-clustered exchangeable GEE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71FA5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30 APACHE IV posterior-draw imputations; age, sex, APACHE IV, RASS density, disease group</w:t>
            </w:r>
          </w:p>
        </w:tc>
      </w:tr>
      <w:tr w:rsidR="004E772C" w14:paraId="5991EC1C" w14:textId="77777777">
        <w:trPr>
          <w:cantSplit/>
        </w:trPr>
        <w:tc>
          <w:tcPr>
            <w:tcW w:w="2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913573" w14:textId="77777777" w:rsidR="004E772C" w:rsidRDefault="00000000">
            <w:pPr>
              <w:widowControl/>
              <w:spacing w:before="60" w:after="60" w:line="276" w:lineRule="auto"/>
            </w:pPr>
            <w:proofErr w:type="spellStart"/>
            <w:r>
              <w:rPr>
                <w:rFonts w:eastAsia="Times New Roman"/>
                <w:sz w:val="16"/>
              </w:rPr>
              <w:t>eICU</w:t>
            </w:r>
            <w:proofErr w:type="spellEnd"/>
            <w:r>
              <w:rPr>
                <w:rFonts w:eastAsia="Times New Roman"/>
                <w:sz w:val="16"/>
              </w:rPr>
              <w:t xml:space="preserve"> leave-one-hospital-out</w:t>
            </w:r>
          </w:p>
        </w:tc>
        <w:tc>
          <w:tcPr>
            <w:tcW w:w="1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C3BF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163–234 / 25–42</w:t>
            </w:r>
          </w:p>
        </w:tc>
        <w:tc>
          <w:tcPr>
            <w:tcW w:w="1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46B1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72-h strict risk set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DF40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Hospital-clustered exchangeable GEE</w:t>
            </w:r>
          </w:p>
        </w:tc>
        <w:tc>
          <w:tcPr>
            <w:tcW w:w="31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6943E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30 APACHE IV imputations in each exclusion analysis</w:t>
            </w:r>
          </w:p>
        </w:tc>
      </w:tr>
    </w:tbl>
    <w:p w14:paraId="4E1BC2FD" w14:textId="77777777" w:rsidR="004E772C" w:rsidRDefault="00000000">
      <w:pPr>
        <w:widowControl/>
        <w:spacing w:after="100" w:line="276" w:lineRule="auto"/>
      </w:pPr>
      <w:r>
        <w:rPr>
          <w:rFonts w:eastAsia="Times New Roman"/>
          <w:sz w:val="16"/>
        </w:rPr>
        <w:t>Note: Deep-RASS burden was the proportion of valid 4-h windows with RASS ≤−3, reported per 10-percentage-point increase. BMI, body mass index; GEE, generalized estimating equations; MI, multiple imputation; OR, odds ratio; RASS, Richmond Agitation–Sedation Scale.</w:t>
      </w:r>
    </w:p>
    <w:p w14:paraId="1A14556E" w14:textId="77777777" w:rsidR="004E772C" w:rsidRDefault="00000000">
      <w:r>
        <w:br w:type="page"/>
      </w:r>
    </w:p>
    <w:p w14:paraId="191E178F" w14:textId="77777777" w:rsidR="004E772C" w:rsidRPr="000B5D6B" w:rsidRDefault="00000000" w:rsidP="000B5D6B">
      <w:pPr>
        <w:pStyle w:val="a4"/>
        <w:rPr>
          <w:b/>
          <w:bCs/>
          <w:sz w:val="24"/>
          <w:szCs w:val="24"/>
        </w:rPr>
      </w:pPr>
      <w:r w:rsidRPr="000B5D6B">
        <w:rPr>
          <w:b/>
          <w:bCs/>
          <w:sz w:val="24"/>
          <w:szCs w:val="24"/>
        </w:rPr>
        <w:lastRenderedPageBreak/>
        <w:t xml:space="preserve">Table S3. Characteristics of the </w:t>
      </w:r>
      <w:proofErr w:type="spellStart"/>
      <w:r w:rsidRPr="000B5D6B">
        <w:rPr>
          <w:b/>
          <w:bCs/>
          <w:sz w:val="24"/>
          <w:szCs w:val="24"/>
        </w:rPr>
        <w:t>eICU</w:t>
      </w:r>
      <w:proofErr w:type="spellEnd"/>
      <w:r w:rsidRPr="000B5D6B">
        <w:rPr>
          <w:b/>
          <w:bCs/>
          <w:sz w:val="24"/>
          <w:szCs w:val="24"/>
        </w:rPr>
        <w:t>-CRD strict-RASS replication cohort</w:t>
      </w:r>
    </w:p>
    <w:tbl>
      <w:tblPr>
        <w:tblW w:w="9411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2500"/>
        <w:gridCol w:w="3211"/>
      </w:tblGrid>
      <w:tr w:rsidR="004E772C" w14:paraId="762CB630" w14:textId="77777777">
        <w:trPr>
          <w:cantSplit/>
          <w:tblHeader/>
        </w:trPr>
        <w:tc>
          <w:tcPr>
            <w:tcW w:w="37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7A7E13" w14:textId="77777777" w:rsidR="004E772C" w:rsidRPr="000B5D6B" w:rsidRDefault="00000000" w:rsidP="000B5D6B">
            <w:pPr>
              <w:pStyle w:val="a4"/>
              <w:rPr>
                <w:b/>
                <w:bCs/>
              </w:rPr>
            </w:pPr>
            <w:r w:rsidRPr="000B5D6B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5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3706D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3211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CD10D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4E772C" w14:paraId="57814B8C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5640CE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Strict RASS landmark cohort, n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0F1EF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250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E222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250 patients; 46 subsequent hospital deaths; 12 hospitals</w:t>
            </w:r>
          </w:p>
        </w:tc>
      </w:tr>
      <w:tr w:rsidR="004E772C" w14:paraId="228D533E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C0CB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APACHE IV complete cases, n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137BB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235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3B396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235 patients; 42 deaths; 11 hospitals</w:t>
            </w:r>
          </w:p>
        </w:tc>
      </w:tr>
      <w:tr w:rsidR="004E772C" w14:paraId="76C0363D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BF2B85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Age, years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5576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57.0 (38.3–69.0)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7965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Ages &gt;89 coded as 90</w:t>
            </w:r>
          </w:p>
        </w:tc>
      </w:tr>
      <w:tr w:rsidR="004E772C" w14:paraId="0EE9CE80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DB4CD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Male sex, n (%)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DF304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144 (57.6%)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A0B26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Strict layer</w:t>
            </w:r>
          </w:p>
        </w:tc>
      </w:tr>
      <w:tr w:rsidR="004E772C" w14:paraId="054C5F78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3C251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APACHE IV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271A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68.0 (53.0–86.0)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EA713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Complete cases; MI sensitivity</w:t>
            </w:r>
          </w:p>
        </w:tc>
      </w:tr>
      <w:tr w:rsidR="004E772C" w14:paraId="2C97A261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F730B8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Deep-RASS windows, %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4F08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22.9 (5.6–65.6)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B4FA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Explicit RASS/SEDATION SCORE only</w:t>
            </w:r>
          </w:p>
        </w:tc>
      </w:tr>
      <w:tr w:rsidR="004E772C" w14:paraId="023185A4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3D289F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Rebuilt RASS windows, n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C3D3E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18.0 (14.0–18.0)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6596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At least 3 required</w:t>
            </w:r>
          </w:p>
        </w:tc>
      </w:tr>
      <w:tr w:rsidR="004E772C" w14:paraId="0A8A6C57" w14:textId="77777777">
        <w:trPr>
          <w:cantSplit/>
        </w:trPr>
        <w:tc>
          <w:tcPr>
            <w:tcW w:w="37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E08C4A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Subsequent in-hospital death, n (%)</w:t>
            </w:r>
          </w:p>
        </w:tc>
        <w:tc>
          <w:tcPr>
            <w:tcW w:w="2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2D71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46 (18.4%)</w:t>
            </w:r>
          </w:p>
        </w:tc>
        <w:tc>
          <w:tcPr>
            <w:tcW w:w="321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B16C09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Outcome after 72-h landmark</w:t>
            </w:r>
          </w:p>
        </w:tc>
      </w:tr>
    </w:tbl>
    <w:p w14:paraId="7B6B0721" w14:textId="77777777" w:rsidR="00F64E5F" w:rsidRDefault="00000000">
      <w:pPr>
        <w:widowControl/>
        <w:spacing w:after="100" w:line="276" w:lineRule="auto"/>
        <w:rPr>
          <w:rFonts w:eastAsia="Times New Roman"/>
        </w:rPr>
      </w:pPr>
      <w:r>
        <w:rPr>
          <w:rFonts w:eastAsia="Times New Roman"/>
          <w:sz w:val="16"/>
        </w:rPr>
        <w:t xml:space="preserve">Note: The strict </w:t>
      </w:r>
      <w:proofErr w:type="spellStart"/>
      <w:r>
        <w:rPr>
          <w:rFonts w:eastAsia="Times New Roman"/>
          <w:sz w:val="16"/>
        </w:rPr>
        <w:t>eICU</w:t>
      </w:r>
      <w:proofErr w:type="spellEnd"/>
      <w:r>
        <w:rPr>
          <w:rFonts w:eastAsia="Times New Roman"/>
          <w:sz w:val="16"/>
        </w:rPr>
        <w:t>-CRD layer included only records explicitly labelled RASS or SEDATION SCORE; the generic Sedation Scale pathway was excluded because it contained no negative values. Continuous variables are presented as median (interquartile range) and categorical variables as n (%). APACHE IV, Acute Physiology and Chronic Health Evaluation IV; GEE, generalized estimating equations; ICU, intensive care unit; MI, multiple imputation; RASS, Richmond Agitation–Sedation Scale.</w:t>
      </w:r>
    </w:p>
    <w:p w14:paraId="53FD640D" w14:textId="77777777" w:rsidR="00F64E5F" w:rsidRDefault="00F64E5F">
      <w:pPr>
        <w:widowControl/>
        <w:rPr>
          <w:rFonts w:eastAsia="Times New Roman"/>
        </w:rPr>
      </w:pPr>
      <w:r>
        <w:rPr>
          <w:rFonts w:eastAsia="Times New Roman"/>
        </w:rPr>
        <w:br w:type="page"/>
      </w:r>
    </w:p>
    <w:p w14:paraId="3AF42DE6" w14:textId="77777777" w:rsidR="004E772C" w:rsidRPr="000B5D6B" w:rsidRDefault="00000000" w:rsidP="000B5D6B">
      <w:pPr>
        <w:pStyle w:val="a4"/>
        <w:rPr>
          <w:b/>
          <w:bCs/>
          <w:sz w:val="24"/>
          <w:szCs w:val="24"/>
        </w:rPr>
      </w:pPr>
      <w:r w:rsidRPr="000B5D6B">
        <w:rPr>
          <w:b/>
          <w:bCs/>
          <w:sz w:val="24"/>
          <w:szCs w:val="24"/>
        </w:rPr>
        <w:lastRenderedPageBreak/>
        <w:t xml:space="preserve">Table S4. </w:t>
      </w:r>
      <w:proofErr w:type="spellStart"/>
      <w:r w:rsidRPr="000B5D6B">
        <w:rPr>
          <w:b/>
          <w:bCs/>
          <w:sz w:val="24"/>
          <w:szCs w:val="24"/>
        </w:rPr>
        <w:t>eICU</w:t>
      </w:r>
      <w:proofErr w:type="spellEnd"/>
      <w:r w:rsidRPr="000B5D6B">
        <w:rPr>
          <w:b/>
          <w:bCs/>
          <w:sz w:val="24"/>
          <w:szCs w:val="24"/>
        </w:rPr>
        <w:t xml:space="preserve"> leave-one-hospital-out analyses after APACHE IV imputation</w:t>
      </w:r>
    </w:p>
    <w:tbl>
      <w:tblPr>
        <w:tblW w:w="9411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0"/>
        <w:gridCol w:w="1800"/>
        <w:gridCol w:w="1000"/>
        <w:gridCol w:w="1350"/>
        <w:gridCol w:w="1350"/>
        <w:gridCol w:w="1200"/>
        <w:gridCol w:w="1261"/>
      </w:tblGrid>
      <w:tr w:rsidR="004E772C" w14:paraId="2FB48700" w14:textId="77777777">
        <w:trPr>
          <w:cantSplit/>
          <w:tblHeader/>
        </w:trPr>
        <w:tc>
          <w:tcPr>
            <w:tcW w:w="145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1AEF7" w14:textId="77777777" w:rsidR="004E772C" w:rsidRPr="000B5D6B" w:rsidRDefault="00000000" w:rsidP="000B5D6B">
            <w:pPr>
              <w:pStyle w:val="a4"/>
              <w:rPr>
                <w:b/>
                <w:bCs/>
              </w:rPr>
            </w:pPr>
            <w:r w:rsidRPr="000B5D6B">
              <w:rPr>
                <w:b/>
                <w:bCs/>
                <w:sz w:val="20"/>
                <w:szCs w:val="20"/>
              </w:rPr>
              <w:t>Excluded hospital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20E7A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Successful imputations</w:t>
            </w:r>
          </w:p>
        </w:tc>
        <w:tc>
          <w:tcPr>
            <w:tcW w:w="10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22282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293F0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95% CI lower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25FAA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95% CI upper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CD1CE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98589" w14:textId="77777777" w:rsidR="004E772C" w:rsidRDefault="00000000">
            <w:pPr>
              <w:keepNext/>
              <w:widowControl/>
              <w:spacing w:before="60" w:after="60" w:line="276" w:lineRule="auto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Deaths</w:t>
            </w:r>
          </w:p>
        </w:tc>
      </w:tr>
      <w:tr w:rsidR="004E772C" w14:paraId="6FFF044A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BE79D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248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138FE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442A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1.260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8D434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1.173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5BC3F4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1.353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93F87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210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720B8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39</w:t>
            </w:r>
          </w:p>
        </w:tc>
      </w:tr>
      <w:tr w:rsidR="004E772C" w14:paraId="69141787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475B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249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3561A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F0DC0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1.285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6AD0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1.201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891FA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1.374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4F2B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234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060F3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41</w:t>
            </w:r>
          </w:p>
        </w:tc>
      </w:tr>
      <w:tr w:rsidR="004E772C" w14:paraId="35A5FD42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77A4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252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7B90C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EBE2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1.302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08734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1.202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F848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1.412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1AD53A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163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2EAC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25</w:t>
            </w:r>
          </w:p>
        </w:tc>
      </w:tr>
      <w:tr w:rsidR="004E772C" w14:paraId="79BCB618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19775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253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C2C1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50864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1.249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F8C1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1.176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F1FAE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1.326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F4CD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231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302B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39</w:t>
            </w:r>
          </w:p>
        </w:tc>
      </w:tr>
      <w:tr w:rsidR="004E772C" w14:paraId="0BB429BC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2A1B7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300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22D20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DF591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1.238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6A84D3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1.180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6840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1.300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386D7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175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8A378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31</w:t>
            </w:r>
          </w:p>
        </w:tc>
      </w:tr>
      <w:tr w:rsidR="004E772C" w14:paraId="1C84A314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1BD6F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307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CFE46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3B10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1.263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C0F98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1.193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F2C3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1.337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EEB8F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224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F705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42</w:t>
            </w:r>
          </w:p>
        </w:tc>
      </w:tr>
      <w:tr w:rsidR="004E772C" w14:paraId="3D549FDD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0F877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310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8AF48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9284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1.252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ACFB8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1.183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FB689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1.326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A86CE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232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248EF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42</w:t>
            </w:r>
          </w:p>
        </w:tc>
      </w:tr>
      <w:tr w:rsidR="004E772C" w14:paraId="279A5952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5AD1C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331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4F047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BBF8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1.269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F2D2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1.192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50BB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1.351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F225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234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4C8DB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42</w:t>
            </w:r>
          </w:p>
        </w:tc>
      </w:tr>
      <w:tr w:rsidR="004E772C" w14:paraId="69983199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615782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336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70353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F74C9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1.253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2E51F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1.181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CB80B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1.329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0D596A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230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BDBB2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41</w:t>
            </w:r>
          </w:p>
        </w:tc>
      </w:tr>
      <w:tr w:rsidR="004E772C" w14:paraId="07E21A97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3B731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338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788E7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BBEF1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1.277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8DFCB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1.172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E4A15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1.392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CF193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186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C8E76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36</w:t>
            </w:r>
          </w:p>
        </w:tc>
      </w:tr>
      <w:tr w:rsidR="004E772C" w14:paraId="09262D1F" w14:textId="77777777">
        <w:trPr>
          <w:cantSplit/>
        </w:trPr>
        <w:tc>
          <w:tcPr>
            <w:tcW w:w="14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2BE8B" w14:textId="77777777" w:rsidR="004E772C" w:rsidRDefault="00000000">
            <w:pPr>
              <w:widowControl/>
              <w:spacing w:before="60" w:after="60" w:line="276" w:lineRule="auto"/>
            </w:pPr>
            <w:r>
              <w:rPr>
                <w:rFonts w:eastAsia="Times New Roman"/>
                <w:sz w:val="16"/>
              </w:rPr>
              <w:t>345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48A00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F01F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1.264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BEE2C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1.191</w:t>
            </w:r>
          </w:p>
        </w:tc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CEEB7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1.342</w:t>
            </w:r>
          </w:p>
        </w:tc>
        <w:tc>
          <w:tcPr>
            <w:tcW w:w="1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ECF6D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231</w:t>
            </w:r>
          </w:p>
        </w:tc>
        <w:tc>
          <w:tcPr>
            <w:tcW w:w="126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866A1" w14:textId="77777777" w:rsidR="004E772C" w:rsidRDefault="00000000">
            <w:pPr>
              <w:widowControl/>
              <w:spacing w:before="60" w:after="60" w:line="276" w:lineRule="auto"/>
              <w:jc w:val="right"/>
            </w:pPr>
            <w:r>
              <w:rPr>
                <w:rFonts w:eastAsia="Times New Roman"/>
                <w:sz w:val="16"/>
              </w:rPr>
              <w:t>42</w:t>
            </w:r>
          </w:p>
        </w:tc>
      </w:tr>
    </w:tbl>
    <w:p w14:paraId="189DB0D7" w14:textId="77777777" w:rsidR="004E772C" w:rsidRDefault="00000000">
      <w:pPr>
        <w:widowControl/>
        <w:spacing w:after="100" w:line="276" w:lineRule="auto"/>
      </w:pPr>
      <w:r>
        <w:rPr>
          <w:rFonts w:eastAsia="Times New Roman"/>
          <w:sz w:val="16"/>
        </w:rPr>
        <w:t>Note: Each exclusion analysis used 30 APACHE IV posterior-draw imputations and a hospital-clustered exchangeable GEE. ORs are reported per 10-percentage-point increase in strict-layer deep-RASS burden. CI, confidence interval; GEE, generalized estimating equations; OR, odds ratio; RASS, Richmond Agitation–Sedation Scale.</w:t>
      </w:r>
    </w:p>
    <w:sectPr w:rsidR="004E772C" w:rsidSect="00F64E5F">
      <w:pgSz w:w="11906" w:h="16838" w:orient="landscape"/>
      <w:pgMar w:top="1247" w:right="1247" w:bottom="1247" w:left="124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5E66A" w14:textId="77777777" w:rsidR="00EC65AE" w:rsidRDefault="00EC65AE" w:rsidP="00F64E5F">
      <w:r>
        <w:separator/>
      </w:r>
    </w:p>
  </w:endnote>
  <w:endnote w:type="continuationSeparator" w:id="0">
    <w:p w14:paraId="390C6F9F" w14:textId="77777777" w:rsidR="00EC65AE" w:rsidRDefault="00EC65AE" w:rsidP="00F64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0D7F9" w14:textId="77777777" w:rsidR="00EC65AE" w:rsidRDefault="00EC65AE" w:rsidP="00F64E5F">
      <w:r>
        <w:separator/>
      </w:r>
    </w:p>
  </w:footnote>
  <w:footnote w:type="continuationSeparator" w:id="0">
    <w:p w14:paraId="1F96D01D" w14:textId="77777777" w:rsidR="00EC65AE" w:rsidRDefault="00EC65AE" w:rsidP="00F64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62AF"/>
    <w:multiLevelType w:val="hybridMultilevel"/>
    <w:tmpl w:val="602AC546"/>
    <w:lvl w:ilvl="0" w:tplc="B694D1E4">
      <w:start w:val="1"/>
      <w:numFmt w:val="bullet"/>
      <w:lvlText w:val="●"/>
      <w:lvlJc w:val="left"/>
      <w:pPr>
        <w:ind w:left="720" w:hanging="360"/>
      </w:pPr>
    </w:lvl>
    <w:lvl w:ilvl="1" w:tplc="A2EEFA48">
      <w:start w:val="1"/>
      <w:numFmt w:val="bullet"/>
      <w:lvlText w:val="○"/>
      <w:lvlJc w:val="left"/>
      <w:pPr>
        <w:ind w:left="1440" w:hanging="360"/>
      </w:pPr>
    </w:lvl>
    <w:lvl w:ilvl="2" w:tplc="4370AA18">
      <w:start w:val="1"/>
      <w:numFmt w:val="bullet"/>
      <w:lvlText w:val="■"/>
      <w:lvlJc w:val="left"/>
      <w:pPr>
        <w:ind w:left="2160" w:hanging="360"/>
      </w:pPr>
    </w:lvl>
    <w:lvl w:ilvl="3" w:tplc="E4FC4108">
      <w:start w:val="1"/>
      <w:numFmt w:val="bullet"/>
      <w:lvlText w:val="●"/>
      <w:lvlJc w:val="left"/>
      <w:pPr>
        <w:ind w:left="2880" w:hanging="360"/>
      </w:pPr>
    </w:lvl>
    <w:lvl w:ilvl="4" w:tplc="2BF6C84A">
      <w:start w:val="1"/>
      <w:numFmt w:val="bullet"/>
      <w:lvlText w:val="○"/>
      <w:lvlJc w:val="left"/>
      <w:pPr>
        <w:ind w:left="3600" w:hanging="360"/>
      </w:pPr>
    </w:lvl>
    <w:lvl w:ilvl="5" w:tplc="67083166">
      <w:start w:val="1"/>
      <w:numFmt w:val="bullet"/>
      <w:lvlText w:val="■"/>
      <w:lvlJc w:val="left"/>
      <w:pPr>
        <w:ind w:left="4320" w:hanging="360"/>
      </w:pPr>
    </w:lvl>
    <w:lvl w:ilvl="6" w:tplc="6D52614A">
      <w:start w:val="1"/>
      <w:numFmt w:val="bullet"/>
      <w:lvlText w:val="●"/>
      <w:lvlJc w:val="left"/>
      <w:pPr>
        <w:ind w:left="5040" w:hanging="360"/>
      </w:pPr>
    </w:lvl>
    <w:lvl w:ilvl="7" w:tplc="CDCCC0D6">
      <w:start w:val="1"/>
      <w:numFmt w:val="bullet"/>
      <w:lvlText w:val="●"/>
      <w:lvlJc w:val="left"/>
      <w:pPr>
        <w:ind w:left="5760" w:hanging="360"/>
      </w:pPr>
    </w:lvl>
    <w:lvl w:ilvl="8" w:tplc="82C67168">
      <w:start w:val="1"/>
      <w:numFmt w:val="bullet"/>
      <w:lvlText w:val="●"/>
      <w:lvlJc w:val="left"/>
      <w:pPr>
        <w:ind w:left="6480" w:hanging="360"/>
      </w:pPr>
    </w:lvl>
  </w:abstractNum>
  <w:num w:numId="1" w16cid:durableId="5264083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72C"/>
    <w:rsid w:val="000B5D6B"/>
    <w:rsid w:val="00241BEE"/>
    <w:rsid w:val="004E772C"/>
    <w:rsid w:val="004F4C3A"/>
    <w:rsid w:val="007212DE"/>
    <w:rsid w:val="007E2FA9"/>
    <w:rsid w:val="00A740F6"/>
    <w:rsid w:val="00EC65AE"/>
    <w:rsid w:val="00F64E5F"/>
    <w:rsid w:val="00F8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9D24C"/>
  <w15:docId w15:val="{FBA376D7-6DFE-4691-9CB2-478229FF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16"/>
        <w:szCs w:val="16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480" w:lineRule="auto"/>
    </w:pPr>
    <w:rPr>
      <w:color w:val="000000"/>
      <w:sz w:val="24"/>
    </w:rPr>
  </w:style>
  <w:style w:type="paragraph" w:styleId="1">
    <w:name w:val="heading 1"/>
    <w:uiPriority w:val="9"/>
    <w:qFormat/>
    <w:pPr>
      <w:keepNext/>
      <w:spacing w:after="120" w:line="480" w:lineRule="auto"/>
      <w:outlineLvl w:val="0"/>
    </w:pPr>
    <w:rPr>
      <w:b/>
      <w:color w:val="000000"/>
      <w:sz w:val="24"/>
      <w:szCs w:val="32"/>
    </w:rPr>
  </w:style>
  <w:style w:type="paragraph" w:styleId="2">
    <w:name w:val="heading 2"/>
    <w:uiPriority w:val="9"/>
    <w:semiHidden/>
    <w:unhideWhenUsed/>
    <w:qFormat/>
    <w:pPr>
      <w:keepNext/>
      <w:spacing w:after="120" w:line="480" w:lineRule="auto"/>
      <w:outlineLvl w:val="1"/>
    </w:pPr>
    <w:rPr>
      <w:b/>
      <w:color w:val="000000"/>
      <w:sz w:val="24"/>
      <w:szCs w:val="26"/>
    </w:rPr>
  </w:style>
  <w:style w:type="paragraph" w:styleId="3">
    <w:name w:val="heading 3"/>
    <w:uiPriority w:val="9"/>
    <w:semiHidden/>
    <w:unhideWhenUsed/>
    <w:qFormat/>
    <w:pPr>
      <w:keepNext/>
      <w:spacing w:after="120" w:line="480" w:lineRule="auto"/>
      <w:outlineLvl w:val="2"/>
    </w:pPr>
    <w:rPr>
      <w:b/>
      <w:color w:val="000000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keepNext/>
      <w:spacing w:after="120" w:line="480" w:lineRule="auto"/>
    </w:pPr>
    <w:rPr>
      <w:b/>
      <w:color w:val="000000"/>
      <w:sz w:val="30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E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F64E5F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64E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F64E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weikang xing</cp:lastModifiedBy>
  <cp:revision>4</cp:revision>
  <dcterms:created xsi:type="dcterms:W3CDTF">2026-08-27T11:01:00Z</dcterms:created>
  <dcterms:modified xsi:type="dcterms:W3CDTF">2026-09-11T12:29:00Z</dcterms:modified>
</cp:coreProperties>
</file>