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Supplementary Material</w:t>
      </w:r>
    </w:p>
    <w:p>
      <w:pPr>
        <w:spacing w:after="8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Prospective Validation of the Canadian Syncope Risk Score in an Indian Emergency Department Population: Performance in Syncope and Near-Syncope</w:t>
      </w:r>
    </w:p>
    <w:p>
      <w:pPr>
        <w:spacing w:after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Shah M, Mehta S, Shah S, Kotharthil D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Contents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Supplementary Figures S1–S13 (pages 2–13)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Annexure A: Case Record Form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Annexure C: 30-Day Serious Outcome Definitions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Annexure D: CSRS Scoring Card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Annexure E: 30-Day Telephone Follow-up Script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STROBE Checklist</w:t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40"/>
        <w:jc w:val="center"/>
      </w:pPr>
      <w:r>
        <w:drawing>
          <wp:inline distT="0" distB="0" distL="0" distR="0">
            <wp:extent cx="6191250" cy="8010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140" w:before="280"/>
      </w:pPr>
      <w:r>
        <w:rPr>
          <w:rFonts w:ascii="Arial" w:cs="Arial" w:eastAsia="Arial" w:hAnsi="Arial"/>
          <w:b/>
          <w:bCs/>
          <w:color w:val="2E74B5"/>
          <w:sz w:val="26"/>
          <w:szCs w:val="26"/>
        </w:rPr>
        <w:t xml:space="preserve">Annexure A: Case Record Form (CRF)</w:t>
      </w:r>
    </w:p>
    <w:p>
      <w:pPr>
        <w:spacing w:after="16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Study: Prospective Validation of the Canadian Syncope Risk Score in an Indian ED Population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Patient Code No.: ___________     Age: ___________     Gender: ___________     Date of Enrolment: ___________</w:t>
      </w:r>
    </w:p>
    <w:p>
      <w:pPr>
        <w:spacing w:after="12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Presentation:  ☐ Syncope          ☐ Near Syncope</w:t>
      </w:r>
    </w:p>
    <w:p>
      <w:pPr>
        <w:spacing w:after="6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Key Elements in History: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Time of the event: _______________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Activity leading to the event: _______________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Associated symptoms:  ☐ Chest pain  ☐ Palpitations  ☐ Dyspnea  ☐ Headache  ☐ Exertion  ☐ Prodromal symptoms  ☐ Near-fainting/dizziness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Posture at time of event:  ☐ Sitting  ☐ Standing  ☐ Supine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Family history of Syncope/Near Syncope:  ☐ Yes  ☐ No</w:t>
      </w:r>
    </w:p>
    <w:p>
      <w:pPr>
        <w:spacing w:after="6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Medical History: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☐ Hypertension   ☐ Diabetes   ☐ Coronary artery disease   ☐ Atrial fibrillation/flutter   ☐ Valvular heart disease   ☐ Congestive heart failure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Canadian Syncope Risk Score: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Supine and standing systolic blood pressure: _______ mmHg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1850"/>
        <w:gridCol w:w="1850"/>
      </w:tblGrid>
      <w:tr>
        <w:trPr>
          <w:tblHeader/>
        </w:trP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CSRS Predictor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NO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 SBP &lt;90 or &gt;180 mmHg (on any reading)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 Heart disease history (CAD, AF/flutter, CHF, valvular disease)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+1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 Predisposition to vasovagal symptoms (warm/crowded place, prolonged standing, fear, emotion, pain)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4a. Abnormal QRS axis (&lt;−30° or &gt;100°)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+1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4b. QRS duration &gt;130 ms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+1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4c. Corrected QT interval &gt;480 ms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5. Elevated troponin (&gt;99th percentile of normal population)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6a. ED diagnosis — Vasovagal syncope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−2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6b. ED diagnosis — Cardiac syncope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85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5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 Score (−3 to 11)</w:t>
            </w:r>
          </w:p>
        </w:tc>
        <w:tc>
          <w:tcPr>
            <w:tcW w:type="dxa" w:w="3700"/>
            <w:gridSpan w:val="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______</w:t>
            </w:r>
          </w:p>
        </w:tc>
      </w:tr>
    </w:tbl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Risk Category: ___________     Estimated Risk: ___________%     Disposition:  ☐ Admission  ☐ Discharge  ☐ DAMA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Serious adverse events in hospital: _______________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Serious adverse events within 30 days:  ☐ None  ☐ Death  ☐ Arrhythmia  ☐ Non-arrhythmic  ☐ Procedural intervention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Conclusion of participation:  ☐ Completed  ☐ Withdrawn  ☐ Loss to Follow-up</w:t>
      </w:r>
    </w:p>
    <w:p>
      <w:r>
        <w:br w:type="page"/>
      </w:r>
    </w:p>
    <w:p>
      <w:pPr>
        <w:spacing w:after="140" w:before="280"/>
      </w:pPr>
      <w:r>
        <w:rPr>
          <w:rFonts w:ascii="Arial" w:cs="Arial" w:eastAsia="Arial" w:hAnsi="Arial"/>
          <w:b/>
          <w:bCs/>
          <w:color w:val="2E74B5"/>
          <w:sz w:val="26"/>
          <w:szCs w:val="26"/>
        </w:rPr>
        <w:t xml:space="preserve">Annexure C: 30-Day Serious Outcomes and Their Definitions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1) Deaths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Deaths due to a cause of syncope or due to unknown cause.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2) Serious Non-Arrhythmic Outcomes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a) Myocardial infarction — Clinically important elevation in troponin or ECG change, confirmed by the emergency physician or cardiologist.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b) Serious structural heart disease — Aortic stenosis (valve area ≤1 cm²); hypertrophic cardiomyopathy with outflow tract obstruction; left atrial myxoma or thrombus with outflow tract obstruction; pericardial effusion with ventricular wall motion abnormalities or tamponade.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c) Aortic dissection — Confirmed by CT chest, trans-esophageal echocardiogram, MRI, or angiography.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d) Pulmonary embolism — Confirmed by VQ scan or CT pulmonary angiography.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e) Severe pulmonary artery hypertension — Mean pulmonary arterial pressure &gt;30 mmHg on catheterization or echocardiography, responsible for syncope.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f) Subarachnoid hemorrhage — Confirmed by CT/MRI brain with or without CSF analysis.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g) Significant hemorrhage — Gastrointestinal bleeding, ruptured abdominal aortic aneurysm, or ectopic pregnancy that is clinically significant to cause syncope.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h) Any other serious condition — Includes ectopic pregnancy, pneumothorax, or sepsis requiring treatment and causing return to ED if undetected.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i) Procedural interventions — Any intervention to treat a non-arrhythmic cause of syncope (surgery for valvular heart disease, chest tube insertion, surgery for aortic aneurysm or ruptured spleen).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3) Serious Arrhythmic Outcomes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j) Arrhythmias: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Sustained (&gt;30 seconds) or polymorphic ventricular tachycardia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Sick sinus syndrome with alternating sinus bradycardia and tachycardia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Sinus pause &gt;3 seconds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Mobitz type II atrioventricular heart block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Complete heart block or junctional/idioventricular rhythm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Alternating left and right bundle branch block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Symptomatic supraventricular tachycardia with rate &gt;100/minute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Symptomatic atrial flutter or fibrillation (fast &gt;100/min or slow RR interval &gt;3 seconds)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Symptomatic sinus bradycardia &lt;40 beats/minute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Pacemaker or ICD malfunction with cardiac pauses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• Abnormal electrophysiological study (corrected sinus node recovery time &gt;550 ms; His-Ventricular intervals &gt;100 ms; inducible VT &gt;30 seconds; polymorphic VT/VF in Brugada or ventricular dysplasia; symptomatic SVT or infra-Hisian block)</w:t>
      </w:r>
    </w:p>
    <w:p>
      <w:pPr>
        <w:spacing w:after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k) Procedural interventions to treat arrhythmia — Pacemaker/defibrillator insertion, cardioversion, or dialysis for electrolyte abnormalities causing arrhythmia.</w:t>
      </w:r>
    </w:p>
    <w:p>
      <w:r>
        <w:br w:type="page"/>
      </w:r>
    </w:p>
    <w:p>
      <w:pPr>
        <w:spacing w:after="140" w:before="280"/>
      </w:pPr>
      <w:r>
        <w:rPr>
          <w:rFonts w:ascii="Arial" w:cs="Arial" w:eastAsia="Arial" w:hAnsi="Arial"/>
          <w:b/>
          <w:bCs/>
          <w:color w:val="2E74B5"/>
          <w:sz w:val="26"/>
          <w:szCs w:val="26"/>
        </w:rPr>
        <w:t xml:space="preserve">Annexure D: Canadian Syncope Risk Score — Scoring Card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0"/>
        <w:gridCol w:w="2000"/>
      </w:tblGrid>
      <w:tr>
        <w:trPr>
          <w:tblHeader/>
        </w:trP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Category / Variable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Points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CLINICAL EVALUATION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Predisposition to vasovagal symptoms*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History of heart disease†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+1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Any systolic pressure reading &lt;90 or &gt;180 mmHg‡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INVESTIGATIONS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Elevated troponin level (&gt;99th percentile of normal population)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Abnormal QRS axis (&lt;−30° or &gt;100°)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+1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QRS duration &gt;130 ms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+1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Corrected QT interval &gt;480 ms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DIAGNOSIS IN EMERGENCY DEPARTMENT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Vasovagal syncope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−2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Cardiac syncope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+2</w:t>
            </w:r>
          </w:p>
        </w:tc>
      </w:tr>
      <w:tr>
        <w:tc>
          <w:tcPr>
            <w:tcW w:type="dxa" w:w="7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 score (−3 to 11)</w:t>
            </w:r>
          </w:p>
        </w:tc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____</w:t>
            </w:r>
          </w:p>
        </w:tc>
      </w:tr>
    </w:tbl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* Triggered by being in a warm crowded place, prolonged standing, fear, emotion, or pain.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† Includes coronary or valvular heart disease, cardiomyopathy, congestive heart failure, and non-sinus rhythm (ECG evidence during index visit or documented history of ventricular or atrial arrhythmias, or device implantation).</w:t>
      </w:r>
    </w:p>
    <w:p>
      <w:pPr>
        <w:spacing w:after="16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‡ Includes blood pressure values from triage until disposition from the emergency department.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200"/>
        <w:gridCol w:w="3000"/>
      </w:tblGrid>
      <w:tr>
        <w:trPr>
          <w:tblHeader/>
        </w:trP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 Score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Estimated Risk of Serious Adverse Event (%)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Risk Category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−3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4E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Low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−2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4E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Low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4E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Low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1.9%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F4E8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Low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3.1%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8E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Medium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5.1%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8E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Medium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8.1%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8E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Medium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12.9%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0B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19.7%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E0B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28.9%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CD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40.3%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CD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52.8%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CD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65.0%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CD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75.5%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CD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High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4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83.6%</w:t>
            </w:r>
          </w:p>
        </w:tc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CDD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Very High</w:t>
            </w:r>
          </w:p>
        </w:tc>
      </w:tr>
    </w:tbl>
    <w:p>
      <w:r>
        <w:br w:type="page"/>
      </w:r>
    </w:p>
    <w:p>
      <w:pPr>
        <w:spacing w:after="140" w:before="280"/>
      </w:pPr>
      <w:r>
        <w:rPr>
          <w:rFonts w:ascii="Arial" w:cs="Arial" w:eastAsia="Arial" w:hAnsi="Arial"/>
          <w:b/>
          <w:bCs/>
          <w:color w:val="2E74B5"/>
          <w:sz w:val="26"/>
          <w:szCs w:val="26"/>
        </w:rPr>
        <w:t xml:space="preserve">Annexure E: 30-Day Telephone Follow-up Script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Patient Code No.: _______________     30-day cutoff date (dd/mm/yy): ___/___/___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"Hello, my name is Dr. Manan Shah, calling from the Emergency Department at Kokilaben Dhirubhai Ambani Hospital. I am calling you because of your recent visit on (____________). I am following all patients who came in with fainting or near-fainting to determine how they are doing after their emergency visit. I would like to ask you a few short questions. Is this alright with you?   ☐ Yes   ☐ No"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Date and time reached: _______________     ☐ Dead   ☐ Lost to Follow-up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Q1. Since your initial emergency visit, has a physician found the cause for your fainting?   ☐ Yes   ☐ No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  Type of physician:  ☐ ED physician  ☐ GP/Family Doctor  ☐ Cardiologist  ☐ Internal Medicine  ☐ Neurologist  ☐ Other</w:t>
      </w:r>
    </w:p>
    <w:p>
      <w:pPr>
        <w:spacing w:after="10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  Cause diagnosed as: _______________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Q2. Since your initial emergency visit, have you had any further tests?   ☐ Yes   ☐ No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  ☐ Holter  ☐ Echo  ☐ Electrophysiology  ☐ EEG  ☐ Blood tests  ☐ ECG  ☐ Other: ___</w:t>
      </w:r>
    </w:p>
    <w:p>
      <w:pPr>
        <w:spacing w:after="10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  Result:  ☐ Normal   ☐ Abnormal   ☐ Not Known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Q3. Since your initial emergency visit, have you had any further treatment?   ☐ Yes   ☐ No</w:t>
      </w:r>
    </w:p>
    <w:p>
      <w:pPr>
        <w:spacing w:after="10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  ☐ Pacemaker/Defibrillator  ☐ Cardioversion  ☐ Surgery (valve/abdomen/AAA)  ☐ Blood thinners (PE)  ☐ Endoscopy (GI bleeding)  ☐ Chest tube  ☐ Other: ___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Q4. Since your initial emergency visit, have you been admitted to another hospital?   ☐ Yes   ☐ No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  Hospital: _______________   When: ___/___/___   Reason: _______________</w:t>
      </w:r>
    </w:p>
    <w:p>
      <w:pPr>
        <w:spacing w:after="8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30-day serious adverse event: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☐ None   ☐ Death   ☐ Arrhythmic outcome   ☐ Non-arrhythmic outcome   ☐ Procedural intervention</w:t>
      </w:r>
    </w:p>
    <w:p>
      <w:r>
        <w:br w:type="page"/>
      </w:r>
    </w:p>
    <w:p>
      <w:pPr>
        <w:spacing w:after="140" w:before="280"/>
      </w:pPr>
      <w:r>
        <w:rPr>
          <w:rFonts w:ascii="Arial" w:cs="Arial" w:eastAsia="Arial" w:hAnsi="Arial"/>
          <w:b/>
          <w:bCs/>
          <w:color w:val="2E74B5"/>
          <w:sz w:val="26"/>
          <w:szCs w:val="26"/>
        </w:rPr>
        <w:t xml:space="preserve">STROBE Checklist — Cohort Study</w:t>
      </w:r>
    </w:p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0"/>
          <w:szCs w:val="20"/>
        </w:rPr>
        <w:t xml:space="preserve">Study: Prospective Validation of the Canadian Syncope Risk Score in an Indian Emergency Department Population</w:t>
      </w:r>
    </w:p>
    <w:p>
      <w:pPr>
        <w:spacing w:after="12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8"/>
          <w:szCs w:val="18"/>
        </w:rPr>
        <w:t xml:space="preserve">Reference: von Elm E, et al. The Strengthening the Reporting of Observational Studies in Epidemiology (STROBE) statement: guidelines for reporting observational studies. Ann Intern Med. 2007;147:573–577.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0"/>
        <w:gridCol w:w="1500"/>
        <w:gridCol w:w="4220"/>
        <w:gridCol w:w="2900"/>
      </w:tblGrid>
      <w:tr>
        <w:trPr>
          <w:tblHeader/>
        </w:trP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Item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Section/Topic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STROBE Recommendation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E74B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Location in Manuscript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(a) Indicate the study's design with a commonly used term in the title or abstract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Title; Abstract — Design, Setting, and Participants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(b) Provide an informative and balanced summary in the abstract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Abstract (all structured fields)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Explain the scientific background and rationale for the investigation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Introduction ¶1–4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Objectives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Introduction ¶5; Methods — Outcome Ascertainment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Study Design and Setting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Setting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Study Design and Setting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(a) Give the eligibility criteria, and the sources and methods of selection of participants. Describe methods of follow-up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Participants; Outcome Ascertainment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(b) For matched studies, give matching criteria and number of exposed and unexposed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N/A — not a matched study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Variables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Clearly define all outcomes, exposures, predictors, potential confounders, and effect modifiers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Outcome Ascertainment; Annexure C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8*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 each variable of interest, give sources of data and details of methods of assessment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Study Protocol; Outcome Ascertainment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Bias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Study Protocol (both admitted and discharged included); Discussion — Limitations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Study size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Sample Size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Explain how quantitative variables were handled in the analysis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Statistical Analysis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(a) Describe all statistical methods, including those used to control for confounding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Statistical Analysis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(b) Describe any methods used to examine subgroups and interactions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Troponin Subgroup Analysis; near-syncope vs syncope subgroup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(c) Explain how missing data were addressed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Study Protocol ¶5 (missing troponin treated as normal, per original CSRS derivation)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(d) Explain how loss to follow-up was addressed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Outcome Ascertainment; Results — Enrollment (n=2 lost to follow-up)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(e) Describe any sensitivity analyses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Not performed — DAMA rate acknowledged as limitation in Discussion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13*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(a) Report numbers of individuals at each stage of study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Enrollment and Baseline Characteristics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(b) Give reasons for non-participation at each stage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Enrollment (1 withdrew consent, 2 lost to follow-up)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(c) Consider use of a flow diagram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18"/>
                <w:szCs w:val="18"/>
              </w:rPr>
              <w:t xml:space="preserve">Not included — recommend adding at revision stage if requested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14*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(a) Give characteristics of study participants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Enrollment and Baseline Characteristics; Tables 1–2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(b) Indicate number of participants with missing data for each variable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Study Protocol (troponin missing in 62.9%); Troponin Subgroup Analysis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(c) Summarise follow-up time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— Outcome Ascertainment (30-day follow-up); Results — Enrollment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15*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Report numbers of outcome events or summary measures over time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Thirty-Day Serious Adverse Events; Table 4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(a) Give unadjusted estimates and their precision (95% CI)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Diagnostic Accuracy of the CSRS; Tables 6–8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(b) Report category boundaries when continuous variables were categorized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CSRS Scores and Risk Stratification; Tables 3, 5; Annexure D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(c) Consider translating estimates of relative risk into absolute risk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Association Between CSRS Risk Categories and Outcomes; Table 5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Report other analyses done — e.g. subgroups and interactions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— Troponin Subgroup Analysis; near-syncope vs syncope subgroup throughout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Key results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Summarise key results with reference to study objectives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Discussion ¶1; Conclusion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Limitations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 limitations, taking into account sources of potential bias or imprecision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Discussion — Limitations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Give a cautious overall interpretation of results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Discussion — all subsections; Conclusion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Generalisability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 the generalisability (external validity) of the study results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4F9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Discussion — Limitations ¶1; Conclusion ¶2</w:t>
            </w:r>
          </w:p>
        </w:tc>
      </w:tr>
      <w:tr>
        <w:tc>
          <w:tcPr>
            <w:tcW w:type="dxa" w:w="5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15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Funding</w:t>
            </w:r>
          </w:p>
        </w:tc>
        <w:tc>
          <w:tcPr>
            <w:tcW w:type="dxa" w:w="42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Give the source of funding and the role of the funders</w:t>
            </w:r>
          </w:p>
        </w:tc>
        <w:tc>
          <w:tcPr>
            <w:tcW w:type="dxa" w:w="29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Declarations — Funding</w:t>
            </w:r>
          </w:p>
        </w:tc>
      </w:tr>
    </w:tbl>
    <w:p>
      <w:pPr>
        <w:spacing w:after="8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6"/>
          <w:szCs w:val="16"/>
        </w:rPr>
        <w:t xml:space="preserve">* Indicates items where information is given separately for each group (syncope and near-syncope) where applicable.</w:t>
      </w:r>
    </w:p>
    <w:sectPr>
      <w:pgSz w:w="11906" w:h="16838" w:orient="portrait"/>
      <w:pgMar w:top="1080" w:right="900" w:bottom="108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e74cbd1e8cfd5e723f43707ca5a38fb54a682d.png"/><Relationship Id="rId8" Type="http://schemas.openxmlformats.org/officeDocument/2006/relationships/image" Target="media/7b69b98c356265464f3311bc8816ca881a7b7a2a.png"/><Relationship Id="rId9" Type="http://schemas.openxmlformats.org/officeDocument/2006/relationships/image" Target="media/f862382dc300000979b145c2f24e30eb665fe3a4.png"/><Relationship Id="rId10" Type="http://schemas.openxmlformats.org/officeDocument/2006/relationships/image" Target="media/a2dd94f36cab8c9304f53074a1ba16a56fb4de56.png"/><Relationship Id="rId11" Type="http://schemas.openxmlformats.org/officeDocument/2006/relationships/image" Target="media/73fd7edfca37a39591c406b5179678eaa3940585.png"/><Relationship Id="rId12" Type="http://schemas.openxmlformats.org/officeDocument/2006/relationships/image" Target="media/e5ef8474b054dd08506154fd2980f24208ed666d.png"/><Relationship Id="rId13" Type="http://schemas.openxmlformats.org/officeDocument/2006/relationships/image" Target="media/2685a644bdf84811390dc0af4729a31dfea97143.png"/><Relationship Id="rId14" Type="http://schemas.openxmlformats.org/officeDocument/2006/relationships/image" Target="media/d5d6eed9ed4d6ac486d3e3fa05f862dece79053e.png"/><Relationship Id="rId15" Type="http://schemas.openxmlformats.org/officeDocument/2006/relationships/image" Target="media/be6c0a3c4a50a3fff018d51d67fb2ea1620560db.png"/><Relationship Id="rId16" Type="http://schemas.openxmlformats.org/officeDocument/2006/relationships/image" Target="media/6ef60c2ef29be7a53ee84790cd31b6e4cf6eedde.png"/><Relationship Id="rId17" Type="http://schemas.openxmlformats.org/officeDocument/2006/relationships/image" Target="media/37b312c14a1b91f56ed1d958c6daa56f9483e7f1.png"/><Relationship Id="rId18" Type="http://schemas.openxmlformats.org/officeDocument/2006/relationships/image" Target="media/60e02880751226efb70bbf54349d7c26f1ba1b4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2026-05-02T09:50:45.040Z</dcterms:created>
  <dcterms:modified xsi:type="dcterms:W3CDTF">2026-05-02T09:50:45.040Z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