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32C4D7" w14:textId="77777777" w:rsidR="00BE41C9" w:rsidRDefault="00BE41C9" w:rsidP="00BE41C9">
      <w:pPr>
        <w:spacing w:line="360" w:lineRule="auto"/>
        <w:rPr>
          <w:rFonts w:ascii="Arial" w:hAnsi="Arial" w:cs="Arial"/>
          <w:b/>
          <w:bCs/>
          <w:lang w:val="en-GB"/>
        </w:rPr>
      </w:pPr>
      <w:r w:rsidRPr="002C5C41">
        <w:rPr>
          <w:rFonts w:ascii="Arial" w:hAnsi="Arial" w:cs="Arial"/>
          <w:b/>
          <w:bCs/>
          <w:lang w:val="en-GB"/>
        </w:rPr>
        <w:t>SUPPLEMENTARY MATERIAL</w:t>
      </w:r>
    </w:p>
    <w:p w14:paraId="51B65527" w14:textId="77777777" w:rsidR="00BE41C9" w:rsidRPr="002C5C41" w:rsidRDefault="00BE41C9" w:rsidP="00BE41C9">
      <w:pPr>
        <w:spacing w:after="0" w:line="360" w:lineRule="auto"/>
        <w:rPr>
          <w:rFonts w:ascii="Arial" w:hAnsi="Arial" w:cs="Arial"/>
          <w:lang w:val="en-GB"/>
        </w:rPr>
      </w:pPr>
    </w:p>
    <w:p w14:paraId="5AEDAC55" w14:textId="77777777" w:rsidR="00BE41C9" w:rsidRDefault="00BE41C9" w:rsidP="00BE41C9">
      <w:pPr>
        <w:spacing w:after="0"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Table S1: Description of predictor variables used to model the species distribution. </w:t>
      </w:r>
    </w:p>
    <w:p w14:paraId="6AF919AF" w14:textId="77777777" w:rsidR="00BE41C9" w:rsidRDefault="00BE41C9" w:rsidP="00BE41C9">
      <w:pPr>
        <w:spacing w:after="0" w:line="360" w:lineRule="auto"/>
        <w:rPr>
          <w:rFonts w:ascii="Arial" w:hAnsi="Arial" w:cs="Arial"/>
          <w:lang w:val="en-GB"/>
        </w:rPr>
      </w:pPr>
    </w:p>
    <w:tbl>
      <w:tblPr>
        <w:tblStyle w:val="TableGrid"/>
        <w:tblW w:w="8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592"/>
        <w:gridCol w:w="5937"/>
      </w:tblGrid>
      <w:tr w:rsidR="00BE41C9" w:rsidRPr="003123C7" w14:paraId="75EC25FE" w14:textId="77777777" w:rsidTr="00CC1225">
        <w:tc>
          <w:tcPr>
            <w:tcW w:w="1276" w:type="dxa"/>
            <w:tcBorders>
              <w:bottom w:val="single" w:sz="4" w:space="0" w:color="auto"/>
            </w:tcBorders>
          </w:tcPr>
          <w:p w14:paraId="715B427C" w14:textId="77777777" w:rsidR="00BE41C9" w:rsidRPr="003123C7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3123C7">
              <w:rPr>
                <w:rFonts w:ascii="Arial" w:hAnsi="Arial" w:cs="Arial"/>
                <w:b/>
                <w:bCs/>
                <w:lang w:val="en-GB"/>
              </w:rPr>
              <w:t>Drivers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5128F40" w14:textId="77777777" w:rsidR="00BE41C9" w:rsidRPr="003123C7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3123C7">
              <w:rPr>
                <w:rFonts w:ascii="Arial" w:hAnsi="Arial" w:cs="Arial"/>
                <w:b/>
                <w:bCs/>
                <w:lang w:val="en-GB"/>
              </w:rPr>
              <w:t>Variable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40E5BFF" w14:textId="77777777" w:rsidR="00BE41C9" w:rsidRPr="003123C7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3123C7">
              <w:rPr>
                <w:rFonts w:ascii="Arial" w:hAnsi="Arial" w:cs="Arial"/>
                <w:b/>
                <w:bCs/>
                <w:lang w:val="en-GB"/>
              </w:rPr>
              <w:t>Description</w:t>
            </w:r>
          </w:p>
        </w:tc>
      </w:tr>
      <w:tr w:rsidR="00BE41C9" w:rsidRPr="00BE41C9" w14:paraId="31F6922A" w14:textId="77777777" w:rsidTr="00CC1225"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F7A71BD" w14:textId="77777777" w:rsidR="00BE41C9" w:rsidRPr="003123C7" w:rsidRDefault="00BE41C9" w:rsidP="00CC1225">
            <w:pPr>
              <w:spacing w:after="0" w:line="360" w:lineRule="auto"/>
              <w:ind w:left="113" w:right="113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3123C7">
              <w:rPr>
                <w:rFonts w:ascii="Arial" w:hAnsi="Arial" w:cs="Arial"/>
                <w:b/>
                <w:bCs/>
                <w:lang w:val="en-GB"/>
              </w:rPr>
              <w:t>Human activity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76A523A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U100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E14A91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Distance to the nearest town with more than 100,000 inhabitants (km)</w:t>
            </w:r>
          </w:p>
        </w:tc>
      </w:tr>
      <w:tr w:rsidR="00BE41C9" w:rsidRPr="00BE41C9" w14:paraId="14909BB3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5B5227E7" w14:textId="77777777" w:rsidR="00BE41C9" w:rsidRPr="003123C7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79D1B02A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U500</w:t>
            </w:r>
          </w:p>
        </w:tc>
        <w:tc>
          <w:tcPr>
            <w:tcW w:w="0" w:type="auto"/>
          </w:tcPr>
          <w:p w14:paraId="7C6046FF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Distance to the nearest town with more than 500,000 inhabitants (km)</w:t>
            </w:r>
          </w:p>
        </w:tc>
      </w:tr>
      <w:tr w:rsidR="00BE41C9" w:rsidRPr="003E3B0E" w14:paraId="25C3106A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0AB1EDA2" w14:textId="77777777" w:rsidR="00BE41C9" w:rsidRPr="003123C7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F61DE4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Daut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AE59CF5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Minimun distance road (km)</w:t>
            </w:r>
          </w:p>
        </w:tc>
      </w:tr>
      <w:tr w:rsidR="00BE41C9" w:rsidRPr="003E3B0E" w14:paraId="6EA1013A" w14:textId="77777777" w:rsidTr="00CC1225"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75968D5" w14:textId="77777777" w:rsidR="00BE41C9" w:rsidRPr="003123C7" w:rsidRDefault="00BE41C9" w:rsidP="00CC1225">
            <w:pPr>
              <w:spacing w:after="0" w:line="360" w:lineRule="auto"/>
              <w:ind w:left="113" w:right="113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3123C7">
              <w:rPr>
                <w:rFonts w:ascii="Arial" w:hAnsi="Arial" w:cs="Arial"/>
                <w:b/>
                <w:bCs/>
                <w:lang w:val="en-GB"/>
              </w:rPr>
              <w:t>Geographic and topographic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C17814E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Alti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CC86394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Average altitude (m)</w:t>
            </w:r>
          </w:p>
        </w:tc>
      </w:tr>
      <w:tr w:rsidR="00BE41C9" w:rsidRPr="00BE41C9" w14:paraId="3758640C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1B8ED75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1E7A5DD3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Dalt</w:t>
            </w:r>
          </w:p>
        </w:tc>
        <w:tc>
          <w:tcPr>
            <w:tcW w:w="0" w:type="auto"/>
          </w:tcPr>
          <w:p w14:paraId="576E2398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Difference in altitude (slope, m)</w:t>
            </w:r>
          </w:p>
        </w:tc>
      </w:tr>
      <w:tr w:rsidR="00BE41C9" w:rsidRPr="003E3B0E" w14:paraId="70C8D6FB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502F46E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6D67F228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Slope</w:t>
            </w:r>
          </w:p>
        </w:tc>
        <w:tc>
          <w:tcPr>
            <w:tcW w:w="0" w:type="auto"/>
          </w:tcPr>
          <w:p w14:paraId="47C1CC56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Average slope</w:t>
            </w:r>
          </w:p>
        </w:tc>
      </w:tr>
      <w:tr w:rsidR="00BE41C9" w:rsidRPr="003E3B0E" w14:paraId="4BBA4171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3EC4FEC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7BC2EA92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Lati</w:t>
            </w:r>
          </w:p>
        </w:tc>
        <w:tc>
          <w:tcPr>
            <w:tcW w:w="0" w:type="auto"/>
          </w:tcPr>
          <w:p w14:paraId="7FADDB12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Latitude</w:t>
            </w:r>
          </w:p>
        </w:tc>
      </w:tr>
      <w:tr w:rsidR="00BE41C9" w:rsidRPr="003E3B0E" w14:paraId="33605F8B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36D684A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46A95C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Long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CDC1D64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Longitude</w:t>
            </w:r>
          </w:p>
        </w:tc>
      </w:tr>
      <w:tr w:rsidR="00BE41C9" w:rsidRPr="00BE41C9" w14:paraId="7C5082A5" w14:textId="77777777" w:rsidTr="00CC1225"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33E25A6" w14:textId="77777777" w:rsidR="00BE41C9" w:rsidRPr="003123C7" w:rsidRDefault="00BE41C9" w:rsidP="00CC1225">
            <w:pPr>
              <w:spacing w:after="0" w:line="360" w:lineRule="auto"/>
              <w:ind w:left="113" w:right="113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3123C7">
              <w:rPr>
                <w:rFonts w:ascii="Arial" w:hAnsi="Arial" w:cs="Arial"/>
                <w:b/>
                <w:bCs/>
                <w:lang w:val="en-GB"/>
              </w:rPr>
              <w:t>Weather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2371617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Tjan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6574075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Average temperature in January (ºC)</w:t>
            </w:r>
          </w:p>
        </w:tc>
      </w:tr>
      <w:tr w:rsidR="00BE41C9" w:rsidRPr="00BE41C9" w14:paraId="40FCCD59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7B0F259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1A4E044B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Tjul</w:t>
            </w:r>
          </w:p>
        </w:tc>
        <w:tc>
          <w:tcPr>
            <w:tcW w:w="0" w:type="auto"/>
          </w:tcPr>
          <w:p w14:paraId="3E07816B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Average temperature in July (ºC)</w:t>
            </w:r>
          </w:p>
        </w:tc>
      </w:tr>
      <w:tr w:rsidR="00BE41C9" w:rsidRPr="003E3B0E" w14:paraId="77E82996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D5EA341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72A9B8DF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Huja</w:t>
            </w:r>
          </w:p>
        </w:tc>
        <w:tc>
          <w:tcPr>
            <w:tcW w:w="0" w:type="auto"/>
          </w:tcPr>
          <w:p w14:paraId="74262F0E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Average humidity in January (%)</w:t>
            </w:r>
          </w:p>
        </w:tc>
      </w:tr>
      <w:tr w:rsidR="00BE41C9" w:rsidRPr="003E3B0E" w14:paraId="0FE6ADED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2090694A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5F23F0DB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Huju</w:t>
            </w:r>
          </w:p>
        </w:tc>
        <w:tc>
          <w:tcPr>
            <w:tcW w:w="0" w:type="auto"/>
          </w:tcPr>
          <w:p w14:paraId="00DBEB83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Average humidity in July (%)</w:t>
            </w:r>
          </w:p>
        </w:tc>
      </w:tr>
      <w:tr w:rsidR="00BE41C9" w:rsidRPr="003E3B0E" w14:paraId="1073A98A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1FAB0C75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00099BB1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Tmed</w:t>
            </w:r>
          </w:p>
        </w:tc>
        <w:tc>
          <w:tcPr>
            <w:tcW w:w="0" w:type="auto"/>
          </w:tcPr>
          <w:p w14:paraId="0BA69375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Average annual temperature (ºC)</w:t>
            </w:r>
          </w:p>
        </w:tc>
      </w:tr>
      <w:tr w:rsidR="00BE41C9" w:rsidRPr="00BE41C9" w14:paraId="373DC853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03BDB32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5354E4D0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Vhum</w:t>
            </w:r>
          </w:p>
        </w:tc>
        <w:tc>
          <w:tcPr>
            <w:tcW w:w="0" w:type="auto"/>
          </w:tcPr>
          <w:p w14:paraId="7ADACED5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Annual relative air humidity range</w:t>
            </w:r>
          </w:p>
        </w:tc>
      </w:tr>
      <w:tr w:rsidR="00BE41C9" w:rsidRPr="003E3B0E" w14:paraId="5F9A53C1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83AF73C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692BA5E4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Vtem</w:t>
            </w:r>
          </w:p>
        </w:tc>
        <w:tc>
          <w:tcPr>
            <w:tcW w:w="0" w:type="auto"/>
          </w:tcPr>
          <w:p w14:paraId="4A8807A6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Annual temperature range = (TJul-TJan)</w:t>
            </w:r>
          </w:p>
        </w:tc>
      </w:tr>
      <w:tr w:rsidR="00BE41C9" w:rsidRPr="003E3B0E" w14:paraId="7ABCB1DB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E8BF4E5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1A3ED09B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Perm</w:t>
            </w:r>
          </w:p>
        </w:tc>
        <w:tc>
          <w:tcPr>
            <w:tcW w:w="0" w:type="auto"/>
          </w:tcPr>
          <w:p w14:paraId="76D594DC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Soil permeability</w:t>
            </w:r>
          </w:p>
        </w:tc>
      </w:tr>
      <w:tr w:rsidR="00BE41C9" w:rsidRPr="003E3B0E" w14:paraId="40E68D92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4001B2A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031EF6CC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Inso</w:t>
            </w:r>
          </w:p>
        </w:tc>
        <w:tc>
          <w:tcPr>
            <w:tcW w:w="0" w:type="auto"/>
          </w:tcPr>
          <w:p w14:paraId="55EEB019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Mean annual insolation (hours/year)</w:t>
            </w:r>
          </w:p>
        </w:tc>
      </w:tr>
      <w:tr w:rsidR="00BE41C9" w:rsidRPr="003E3B0E" w14:paraId="20996293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7D1E664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7A8067AF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Rads</w:t>
            </w:r>
          </w:p>
        </w:tc>
        <w:tc>
          <w:tcPr>
            <w:tcW w:w="0" w:type="auto"/>
          </w:tcPr>
          <w:p w14:paraId="2B16B137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Mean annual sun radiation (KWh/m</w:t>
            </w:r>
            <w:r w:rsidRPr="003E3B0E">
              <w:rPr>
                <w:rFonts w:ascii="Arial" w:hAnsi="Arial" w:cs="Arial"/>
                <w:vertAlign w:val="superscript"/>
                <w:lang w:val="en-GB"/>
              </w:rPr>
              <w:t>2</w:t>
            </w:r>
            <w:r w:rsidRPr="003E3B0E">
              <w:rPr>
                <w:rFonts w:ascii="Arial" w:hAnsi="Arial" w:cs="Arial"/>
                <w:lang w:val="en-GB"/>
              </w:rPr>
              <w:t>/day)</w:t>
            </w:r>
          </w:p>
        </w:tc>
      </w:tr>
      <w:tr w:rsidR="00BE41C9" w:rsidRPr="003E3B0E" w14:paraId="6186DF12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76761D7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1421570A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Etp</w:t>
            </w:r>
          </w:p>
        </w:tc>
        <w:tc>
          <w:tcPr>
            <w:tcW w:w="0" w:type="auto"/>
          </w:tcPr>
          <w:p w14:paraId="5E14DD9E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Mean annual potential evapotranspiration (mm)</w:t>
            </w:r>
          </w:p>
        </w:tc>
      </w:tr>
      <w:tr w:rsidR="00BE41C9" w:rsidRPr="003E3B0E" w14:paraId="7BB36E8E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0E28AC3B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4963FC1F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Etr</w:t>
            </w:r>
          </w:p>
        </w:tc>
        <w:tc>
          <w:tcPr>
            <w:tcW w:w="0" w:type="auto"/>
          </w:tcPr>
          <w:p w14:paraId="1BCBFCF1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Mean annual real evapotranspiration (mm)</w:t>
            </w:r>
          </w:p>
        </w:tc>
      </w:tr>
      <w:tr w:rsidR="00BE41C9" w:rsidRPr="003E3B0E" w14:paraId="2395EEC2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2DA548F4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38EC8CC9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Prec</w:t>
            </w:r>
          </w:p>
        </w:tc>
        <w:tc>
          <w:tcPr>
            <w:tcW w:w="0" w:type="auto"/>
          </w:tcPr>
          <w:p w14:paraId="65E1D42F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Mean annual precipitation (mm)</w:t>
            </w:r>
          </w:p>
        </w:tc>
      </w:tr>
      <w:tr w:rsidR="00BE41C9" w:rsidRPr="003E3B0E" w14:paraId="05AF3A86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9F56098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65877212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Dipr</w:t>
            </w:r>
          </w:p>
        </w:tc>
        <w:tc>
          <w:tcPr>
            <w:tcW w:w="0" w:type="auto"/>
          </w:tcPr>
          <w:p w14:paraId="183007FD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Mean annual number of days with precipitation ≥ 0.1 mm</w:t>
            </w:r>
          </w:p>
        </w:tc>
      </w:tr>
      <w:tr w:rsidR="00BE41C9" w:rsidRPr="003E3B0E" w14:paraId="077FB3F9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2E64D057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6C997324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Pm24</w:t>
            </w:r>
          </w:p>
        </w:tc>
        <w:tc>
          <w:tcPr>
            <w:tcW w:w="0" w:type="auto"/>
          </w:tcPr>
          <w:p w14:paraId="55E32E9A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Maximum precipitation in 24 hours</w:t>
            </w:r>
          </w:p>
        </w:tc>
      </w:tr>
      <w:tr w:rsidR="00BE41C9" w:rsidRPr="003E3B0E" w14:paraId="67C49C7F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9280BC2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2057E313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Pmr</w:t>
            </w:r>
          </w:p>
        </w:tc>
        <w:tc>
          <w:tcPr>
            <w:tcW w:w="0" w:type="auto"/>
          </w:tcPr>
          <w:p w14:paraId="66AF2252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Relative maximum precipitation (Pm24/Pmed)</w:t>
            </w:r>
          </w:p>
        </w:tc>
      </w:tr>
      <w:tr w:rsidR="00BE41C9" w:rsidRPr="003E3B0E" w14:paraId="2DC8220A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CB4A5E0" w14:textId="77777777" w:rsidR="00BE41C9" w:rsidRPr="003123C7" w:rsidRDefault="00BE41C9" w:rsidP="00CC1225">
            <w:pPr>
              <w:spacing w:after="0" w:line="360" w:lineRule="auto"/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94C783D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Dihe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5AD8B5C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Frost days</w:t>
            </w:r>
          </w:p>
        </w:tc>
      </w:tr>
      <w:tr w:rsidR="00BE41C9" w:rsidRPr="003E3B0E" w14:paraId="24847609" w14:textId="77777777" w:rsidTr="00CC1225"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1CE9666" w14:textId="77777777" w:rsidR="00BE41C9" w:rsidRPr="003123C7" w:rsidRDefault="00BE41C9" w:rsidP="00CC1225">
            <w:pPr>
              <w:spacing w:after="0" w:line="360" w:lineRule="auto"/>
              <w:ind w:left="113" w:right="113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3123C7">
              <w:rPr>
                <w:rFonts w:ascii="Arial" w:hAnsi="Arial" w:cs="Arial"/>
                <w:b/>
                <w:bCs/>
                <w:lang w:val="en-GB"/>
              </w:rPr>
              <w:t>Land cover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D6CACCF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Improductive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D2E4E73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 w:rsidRPr="003E3B0E">
              <w:rPr>
                <w:rFonts w:ascii="Arial" w:hAnsi="Arial" w:cs="Arial"/>
                <w:lang w:val="en-GB"/>
              </w:rPr>
              <w:t>Improductive (%)</w:t>
            </w:r>
          </w:p>
        </w:tc>
      </w:tr>
      <w:tr w:rsidR="00BE41C9" w:rsidRPr="003E3B0E" w14:paraId="6A6A4D62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08B0EC3F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0663F07A" w14:textId="77777777" w:rsidR="00BE41C9" w:rsidRPr="003E3B0E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Urban</w:t>
            </w:r>
          </w:p>
        </w:tc>
        <w:tc>
          <w:tcPr>
            <w:tcW w:w="0" w:type="auto"/>
          </w:tcPr>
          <w:p w14:paraId="430D25A7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Urban areas (%)</w:t>
            </w:r>
          </w:p>
        </w:tc>
      </w:tr>
      <w:tr w:rsidR="00BE41C9" w:rsidRPr="003E3B0E" w14:paraId="7C9DE288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0B27A104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0A58C5F6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Roads</w:t>
            </w:r>
          </w:p>
        </w:tc>
        <w:tc>
          <w:tcPr>
            <w:tcW w:w="0" w:type="auto"/>
          </w:tcPr>
          <w:p w14:paraId="0AAF27FE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Roads (%)</w:t>
            </w:r>
          </w:p>
        </w:tc>
      </w:tr>
      <w:tr w:rsidR="00BE41C9" w:rsidRPr="003E3B0E" w14:paraId="5630C257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0088280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71835585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Mines</w:t>
            </w:r>
          </w:p>
        </w:tc>
        <w:tc>
          <w:tcPr>
            <w:tcW w:w="0" w:type="auto"/>
          </w:tcPr>
          <w:p w14:paraId="5674B42B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Mine zones (%)</w:t>
            </w:r>
          </w:p>
        </w:tc>
      </w:tr>
      <w:tr w:rsidR="00BE41C9" w:rsidRPr="003E3B0E" w14:paraId="54C00905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279C72F3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37F2AAF8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Rainfall crops</w:t>
            </w:r>
          </w:p>
        </w:tc>
        <w:tc>
          <w:tcPr>
            <w:tcW w:w="0" w:type="auto"/>
          </w:tcPr>
          <w:p w14:paraId="7395CC00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Rainfall crops (%)</w:t>
            </w:r>
          </w:p>
        </w:tc>
      </w:tr>
      <w:tr w:rsidR="00BE41C9" w:rsidRPr="003E3B0E" w14:paraId="7F7932F6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626E9BE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7DE2118F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Irrigated crops</w:t>
            </w:r>
          </w:p>
        </w:tc>
        <w:tc>
          <w:tcPr>
            <w:tcW w:w="0" w:type="auto"/>
          </w:tcPr>
          <w:p w14:paraId="64C89E99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Irrigated crops (%)</w:t>
            </w:r>
          </w:p>
        </w:tc>
      </w:tr>
      <w:tr w:rsidR="00BE41C9" w:rsidRPr="003E3B0E" w14:paraId="6187192C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7A51056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42708E94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Pasture</w:t>
            </w:r>
          </w:p>
        </w:tc>
        <w:tc>
          <w:tcPr>
            <w:tcW w:w="0" w:type="auto"/>
          </w:tcPr>
          <w:p w14:paraId="731AADB6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Pasture (%)</w:t>
            </w:r>
          </w:p>
        </w:tc>
      </w:tr>
      <w:tr w:rsidR="00BE41C9" w:rsidRPr="003E3B0E" w14:paraId="44463297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16DDA925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50AEA318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Mixed crops</w:t>
            </w:r>
          </w:p>
        </w:tc>
        <w:tc>
          <w:tcPr>
            <w:tcW w:w="0" w:type="auto"/>
          </w:tcPr>
          <w:p w14:paraId="56B3A177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Mixed crops (%)</w:t>
            </w:r>
          </w:p>
        </w:tc>
      </w:tr>
      <w:tr w:rsidR="00BE41C9" w:rsidRPr="003E3B0E" w14:paraId="1542B893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40F94F5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74D26D7E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Abandoned</w:t>
            </w:r>
          </w:p>
        </w:tc>
        <w:tc>
          <w:tcPr>
            <w:tcW w:w="0" w:type="auto"/>
          </w:tcPr>
          <w:p w14:paraId="47BF6998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Abandoned crops (%)</w:t>
            </w:r>
          </w:p>
        </w:tc>
      </w:tr>
      <w:tr w:rsidR="00BE41C9" w:rsidRPr="003E3B0E" w14:paraId="61D09B86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BAF9666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5A29AD55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Agroforestry</w:t>
            </w:r>
          </w:p>
        </w:tc>
        <w:tc>
          <w:tcPr>
            <w:tcW w:w="0" w:type="auto"/>
          </w:tcPr>
          <w:p w14:paraId="0BEB6D66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Agroforestry areas (%)</w:t>
            </w:r>
          </w:p>
        </w:tc>
      </w:tr>
      <w:tr w:rsidR="00BE41C9" w:rsidRPr="003E3B0E" w14:paraId="2F0B6840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1AEB49BC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4F7873E8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Forest</w:t>
            </w:r>
          </w:p>
        </w:tc>
        <w:tc>
          <w:tcPr>
            <w:tcW w:w="0" w:type="auto"/>
          </w:tcPr>
          <w:p w14:paraId="5B03777A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Forest (%)</w:t>
            </w:r>
          </w:p>
        </w:tc>
      </w:tr>
      <w:tr w:rsidR="00BE41C9" w:rsidRPr="003E3B0E" w14:paraId="01B35EC9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3AB2C6D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38D42EE2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Shrubland</w:t>
            </w:r>
          </w:p>
        </w:tc>
        <w:tc>
          <w:tcPr>
            <w:tcW w:w="0" w:type="auto"/>
          </w:tcPr>
          <w:p w14:paraId="3F177369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Shrubland (%)</w:t>
            </w:r>
          </w:p>
        </w:tc>
      </w:tr>
      <w:tr w:rsidR="00BE41C9" w:rsidRPr="003E3B0E" w14:paraId="0E334597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947FE1D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39EC881D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Sandrock</w:t>
            </w:r>
          </w:p>
        </w:tc>
        <w:tc>
          <w:tcPr>
            <w:tcW w:w="0" w:type="auto"/>
          </w:tcPr>
          <w:p w14:paraId="422E8864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Sand and rock (%)</w:t>
            </w:r>
          </w:p>
        </w:tc>
      </w:tr>
      <w:tr w:rsidR="00BE41C9" w:rsidRPr="003E3B0E" w14:paraId="4940A655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0015C7D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</w:tcPr>
          <w:p w14:paraId="2F460ED0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River</w:t>
            </w:r>
          </w:p>
        </w:tc>
        <w:tc>
          <w:tcPr>
            <w:tcW w:w="0" w:type="auto"/>
          </w:tcPr>
          <w:p w14:paraId="2DB30E84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Rivers (%)</w:t>
            </w:r>
          </w:p>
        </w:tc>
      </w:tr>
      <w:tr w:rsidR="00BE41C9" w:rsidRPr="003E3B0E" w14:paraId="56990374" w14:textId="77777777" w:rsidTr="00CC1225"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039F68D" w14:textId="77777777" w:rsidR="00BE41C9" w:rsidRPr="003E3B0E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AB459BC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Wetland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E36B52" w14:textId="77777777" w:rsidR="00BE41C9" w:rsidRDefault="00BE41C9" w:rsidP="00CC1225">
            <w:pPr>
              <w:spacing w:after="0"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Wetland areas (%)</w:t>
            </w:r>
          </w:p>
        </w:tc>
      </w:tr>
    </w:tbl>
    <w:p w14:paraId="47264ABD" w14:textId="77777777" w:rsidR="00BE41C9" w:rsidRDefault="00BE41C9" w:rsidP="00BE41C9">
      <w:pPr>
        <w:spacing w:after="0" w:line="24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page"/>
      </w:r>
    </w:p>
    <w:p w14:paraId="230E0715" w14:textId="77777777" w:rsidR="00BE41C9" w:rsidRDefault="00BE41C9" w:rsidP="00BE41C9">
      <w:pPr>
        <w:spacing w:after="0" w:line="360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lastRenderedPageBreak/>
        <w:t xml:space="preserve">Table S2: </w:t>
      </w:r>
      <w:r w:rsidRPr="001E4574">
        <w:rPr>
          <w:rFonts w:ascii="Arial" w:hAnsi="Arial" w:cs="Arial"/>
          <w:lang w:val="en-GB"/>
        </w:rPr>
        <w:t>Summary of the SDM techniques used to model the bat and moth distribution.</w:t>
      </w:r>
    </w:p>
    <w:p w14:paraId="6C3282F9" w14:textId="77777777" w:rsidR="00BE41C9" w:rsidRDefault="00BE41C9" w:rsidP="00BE41C9">
      <w:pPr>
        <w:spacing w:after="0" w:line="360" w:lineRule="auto"/>
        <w:jc w:val="both"/>
        <w:rPr>
          <w:rFonts w:ascii="Arial" w:hAnsi="Arial" w:cs="Arial"/>
          <w:lang w:val="en-GB"/>
        </w:rPr>
      </w:pPr>
    </w:p>
    <w:tbl>
      <w:tblPr>
        <w:tblStyle w:val="TableGrid"/>
        <w:tblW w:w="8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4"/>
        <w:gridCol w:w="274"/>
        <w:gridCol w:w="3929"/>
        <w:gridCol w:w="1194"/>
        <w:gridCol w:w="1944"/>
      </w:tblGrid>
      <w:tr w:rsidR="00BE41C9" w14:paraId="7A0CC3DB" w14:textId="77777777" w:rsidTr="00CC1225"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14:paraId="68D77C32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Technique type</w:t>
            </w:r>
          </w:p>
        </w:tc>
        <w:tc>
          <w:tcPr>
            <w:tcW w:w="4980" w:type="dxa"/>
            <w:gridSpan w:val="2"/>
            <w:tcBorders>
              <w:bottom w:val="single" w:sz="4" w:space="0" w:color="auto"/>
            </w:tcBorders>
            <w:vAlign w:val="center"/>
          </w:tcPr>
          <w:p w14:paraId="2DC4802D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Name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66761B68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Acronyms</w:t>
            </w:r>
          </w:p>
        </w:tc>
        <w:tc>
          <w:tcPr>
            <w:tcW w:w="2125" w:type="dxa"/>
            <w:tcBorders>
              <w:bottom w:val="single" w:sz="4" w:space="0" w:color="auto"/>
            </w:tcBorders>
            <w:vAlign w:val="center"/>
          </w:tcPr>
          <w:p w14:paraId="5C06558C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Reference</w:t>
            </w:r>
          </w:p>
        </w:tc>
      </w:tr>
      <w:tr w:rsidR="00BE41C9" w14:paraId="1A05553E" w14:textId="77777777" w:rsidTr="00CC1225">
        <w:tc>
          <w:tcPr>
            <w:tcW w:w="159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6C2AD41" w14:textId="77777777" w:rsidR="00BE41C9" w:rsidRDefault="00BE41C9" w:rsidP="00CC1225">
            <w:pPr>
              <w:spacing w:after="0" w:line="360" w:lineRule="auto"/>
              <w:ind w:left="113" w:right="113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Individual</w:t>
            </w:r>
          </w:p>
        </w:tc>
        <w:tc>
          <w:tcPr>
            <w:tcW w:w="4628" w:type="dxa"/>
            <w:tcBorders>
              <w:top w:val="single" w:sz="4" w:space="0" w:color="auto"/>
            </w:tcBorders>
            <w:vAlign w:val="center"/>
          </w:tcPr>
          <w:p w14:paraId="057D8AD5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Generalized Linear Model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3C43B64A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GLM</w:t>
            </w:r>
          </w:p>
        </w:tc>
        <w:tc>
          <w:tcPr>
            <w:tcW w:w="2125" w:type="dxa"/>
            <w:tcBorders>
              <w:top w:val="single" w:sz="4" w:space="0" w:color="auto"/>
            </w:tcBorders>
            <w:vAlign w:val="center"/>
          </w:tcPr>
          <w:p w14:paraId="0CB51578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{"citationID":"Qf4AGOJ0","properties":{"unsorted":true,"formattedCitation":"(McCullagh, 1984)","plainCitation":"(McCullagh, 1984)","dontUpdate":true,"noteIndex":0},"citationItems":[{"id":1219,"uris":["http://zotero.org/users/local/Ojju4Cpf/items/7BZJW2KK"],"uri":["http://zotero.org/users/local/Ojju4Cpf/items/7BZJW2KK"],"itemData":{"id":1219,"type":"article-journal","container-title":"European Journal of Operational Research","DOI":"10.1016/0377-2217(84)90282-0","ISSN":"03772217","issue":"3","journalAbbreviation":"European Journal of Operational Research","language":"en","page":"285-292","source":"DOI.org (Crossref)","title":"Generalized linear models","volume":"16","author":[{"family":"McCullagh","given":"Peter"}],"issued":{"date-parts":[["1984",6]]}}}],"schema":"https://github.com/citation-style-language/schema/raw/master/csl-citation.json"}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1E4574">
              <w:rPr>
                <w:rFonts w:ascii="Arial" w:hAnsi="Arial" w:cs="Arial"/>
              </w:rPr>
              <w:t>McCullagh, 1984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5CE061AD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59A3EB49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vAlign w:val="center"/>
          </w:tcPr>
          <w:p w14:paraId="00863F77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Maximum Entropy</w:t>
            </w:r>
          </w:p>
        </w:tc>
        <w:tc>
          <w:tcPr>
            <w:tcW w:w="236" w:type="dxa"/>
            <w:vAlign w:val="center"/>
          </w:tcPr>
          <w:p w14:paraId="393D79F1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M.Ph</w:t>
            </w:r>
          </w:p>
        </w:tc>
        <w:tc>
          <w:tcPr>
            <w:tcW w:w="2125" w:type="dxa"/>
            <w:vAlign w:val="center"/>
          </w:tcPr>
          <w:p w14:paraId="067BF7DC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{"citationID":"kRj8ZigL","properties":{"formattedCitation":"(Phillips et al., 2006)","plainCitation":"(Phillips et al., 2006)","dontUpdate":true,"noteIndex":0},"citationItems":[{"id":1230,"uris":["http://zotero.org/users/local/Ojju4Cpf/items/K98AY26A"],"uri":["http://zotero.org/users/local/Ojju4Cpf/items/K98AY26A"],"itemData":{"id":1230,"type":"article-journal","container-title":"Ecological Modelling","DOI":"10.1016/j.ecolmodel.2005.03.026","ISSN":"03043800","issue":"3-4","journalAbbreviation":"Ecological Modelling","language":"en","page":"231-259","source":"DOI.org (Crossref)","title":"Maximum entropy modeling of species geographic distributions","volume":"190","author":[{"family":"Phillips","given":"Steven J."},{"family":"Anderson","given":"Robert P."},{"family":"Schapire","given":"Robert E."}],"issued":{"date-parts":[["2006",1]]}}}],"schema":"https://github.com/citation-style-language/schema/raw/master/csl-citation.json"}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1E4574">
              <w:rPr>
                <w:rFonts w:ascii="Arial" w:hAnsi="Arial" w:cs="Arial"/>
              </w:rPr>
              <w:t>Phillips et al., 2006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52773254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271010E0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vAlign w:val="center"/>
          </w:tcPr>
          <w:p w14:paraId="2E6431D9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Random Forest</w:t>
            </w:r>
          </w:p>
        </w:tc>
        <w:tc>
          <w:tcPr>
            <w:tcW w:w="236" w:type="dxa"/>
            <w:vAlign w:val="center"/>
          </w:tcPr>
          <w:p w14:paraId="54D92ED1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RF</w:t>
            </w:r>
          </w:p>
        </w:tc>
        <w:tc>
          <w:tcPr>
            <w:tcW w:w="2125" w:type="dxa"/>
            <w:vAlign w:val="center"/>
          </w:tcPr>
          <w:p w14:paraId="2AE5F1BA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{"citationID":"3RcYj3uM","properties":{"formattedCitation":"(Breiman, 2001)","plainCitation":"(Breiman, 2001)","dontUpdate":true,"noteIndex":0},"citationItems":[{"id":1179,"uris":["http://zotero.org/users/local/Ojju4Cpf/items/YC4CVAJ7"],"uri":["http://zotero.org/users/local/Ojju4Cpf/items/YC4CVAJ7"],"itemData":{"id":1179,"type":"article-journal","container-title":"Machine Learning","DOI":"10.1023/A:1010933404324","ISSN":"08856125","issue":"1","page":"5-32","source":"DOI.org (Crossref)","title":"Random Forests","volume":"45","author":[{"family":"Breiman","given":"Leo"}],"issued":{"date-parts":[["2001"]]}}}],"schema":"https://github.com/citation-style-language/schema/raw/master/csl-citation.json"}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7A516E">
              <w:rPr>
                <w:rFonts w:ascii="Arial" w:hAnsi="Arial" w:cs="Arial"/>
              </w:rPr>
              <w:t>Breiman, 2001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06CD354A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41D29E7A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vAlign w:val="center"/>
          </w:tcPr>
          <w:p w14:paraId="48167F9E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Generalized Additive Model</w:t>
            </w:r>
          </w:p>
        </w:tc>
        <w:tc>
          <w:tcPr>
            <w:tcW w:w="236" w:type="dxa"/>
            <w:vAlign w:val="center"/>
          </w:tcPr>
          <w:p w14:paraId="222AAD50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GAM</w:t>
            </w:r>
          </w:p>
        </w:tc>
        <w:tc>
          <w:tcPr>
            <w:tcW w:w="2125" w:type="dxa"/>
            <w:vAlign w:val="center"/>
          </w:tcPr>
          <w:p w14:paraId="5A479287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{"citationID":"v2ILfJf6","properties":{"formattedCitation":"(T. J. Hastie &amp; Tibshirani, 2017)","plainCitation":"(T. J. Hastie &amp; Tibshirani, 2017)","dontUpdate":true,"noteIndex":0},"citationItems":[{"id":1207,"uris":["http://zotero.org/users/local/Ojju4Cpf/items/4N4L3U8F"],"uri":["http://zotero.org/users/local/Ojju4Cpf/items/4N4L3U8F"],"itemData":{"id":1207,"type":"book","ISBN":"0-203-75378-X","publisher":"Routledge","title":"Generalized additive models","author":[{"family":"Hastie","given":"Trevor J."},{"family":"Tibshirani","given":"Robert J."}],"issued":{"date-parts":[["2017"]]}}}],"schema":"https://github.com/citation-style-language/schema/raw/master/csl-citation.json"}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7A516E">
              <w:rPr>
                <w:rFonts w:ascii="Arial" w:hAnsi="Arial" w:cs="Arial"/>
              </w:rPr>
              <w:t>Hastie &amp; Tibshirani, 2017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3AFBA942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09820F1C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vAlign w:val="center"/>
          </w:tcPr>
          <w:p w14:paraId="5D8A53A0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Artificial Neural Network</w:t>
            </w:r>
          </w:p>
        </w:tc>
        <w:tc>
          <w:tcPr>
            <w:tcW w:w="236" w:type="dxa"/>
            <w:vAlign w:val="center"/>
          </w:tcPr>
          <w:p w14:paraId="1EB712A5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ANN</w:t>
            </w:r>
          </w:p>
        </w:tc>
        <w:tc>
          <w:tcPr>
            <w:tcW w:w="2125" w:type="dxa"/>
            <w:vAlign w:val="center"/>
          </w:tcPr>
          <w:p w14:paraId="7052FE88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{"citationID":"qWRBXeBA","properties":{"formattedCitation":"(Ripley, 2007)","plainCitation":"(Ripley, 2007)","dontUpdate":true,"noteIndex":0},"citationItems":[{"id":1232,"uris":["http://zotero.org/users/local/Ojju4Cpf/items/TQYT3P32"],"uri":["http://zotero.org/users/local/Ojju4Cpf/items/TQYT3P32"],"itemData":{"id":1232,"type":"book","ISBN":"0-521-71770-1","publisher":"Cambridge university press","title":"Pattern recognition and neural networks","author":[{"family":"Ripley","given":"Brian D."}],"issued":{"date-parts":[["2007"]]}}}],"schema":"https://github.com/citation-style-language/schema/raw/master/csl-citation.json"}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7A516E">
              <w:rPr>
                <w:rFonts w:ascii="Arial" w:hAnsi="Arial" w:cs="Arial"/>
              </w:rPr>
              <w:t>Ripley, 2007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0EDF47BE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63991A92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vAlign w:val="center"/>
          </w:tcPr>
          <w:p w14:paraId="039D4BD4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Flexible Discriminant Analysis</w:t>
            </w:r>
          </w:p>
        </w:tc>
        <w:tc>
          <w:tcPr>
            <w:tcW w:w="236" w:type="dxa"/>
            <w:vAlign w:val="center"/>
          </w:tcPr>
          <w:p w14:paraId="4472B000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FDA</w:t>
            </w:r>
          </w:p>
        </w:tc>
        <w:tc>
          <w:tcPr>
            <w:tcW w:w="2125" w:type="dxa"/>
            <w:vAlign w:val="center"/>
          </w:tcPr>
          <w:p w14:paraId="7ED6BB60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{"citationID":"l1fXt6wl","properties":{"formattedCitation":"(T. Hastie et al., 1994)","plainCitation":"(T. Hastie et al., 1994)","dontUpdate":true,"noteIndex":0},"citationItems":[{"id":1208,"uris":["http://zotero.org/users/local/Ojju4Cpf/items/RMI9YDGJ"],"uri":["http://zotero.org/users/local/Ojju4Cpf/items/RMI9YDGJ"],"itemData":{"id":1208,"type":"article-journal","container-title":"Journal of the American Statistical Association","DOI":"10.1080/01621459.1994.10476866","ISSN":"0162-1459, 1537-274X","issue":"428","journalAbbreviation":"Journal of the American Statistical Association","language":"en","page":"1255-1270","source":"DOI.org (Crossref)","title":"Flexible Discriminant Analysis by Optimal Scoring","volume":"89","author":[{"family":"Hastie","given":"Trevor"},{"family":"Tibshirani","given":"Robert"},{"family":"Buja","given":"Andreas"}],"issued":{"date-parts":[["1994",12]]}}}],"schema":"https://github.com/citation-style-language/schema/raw/master/csl-citation.json"}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7A516E">
              <w:rPr>
                <w:rFonts w:ascii="Arial" w:hAnsi="Arial" w:cs="Arial"/>
              </w:rPr>
              <w:t>Hastie et al., 1994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7F7A67CC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26CFECDC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vAlign w:val="center"/>
          </w:tcPr>
          <w:p w14:paraId="11BE8D8A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Classification Tree Analysis</w:t>
            </w:r>
          </w:p>
        </w:tc>
        <w:tc>
          <w:tcPr>
            <w:tcW w:w="236" w:type="dxa"/>
            <w:vAlign w:val="center"/>
          </w:tcPr>
          <w:p w14:paraId="5648A3E6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CTA</w:t>
            </w:r>
          </w:p>
        </w:tc>
        <w:tc>
          <w:tcPr>
            <w:tcW w:w="2125" w:type="dxa"/>
            <w:vAlign w:val="center"/>
          </w:tcPr>
          <w:p w14:paraId="3BC4944F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{"citationID":"NnumAdZK","properties":{"formattedCitation":"(Breiman et al., 2017)","plainCitation":"(Breiman et al., 2017)","dontUpdate":true,"noteIndex":0},"citationItems":[{"id":1181,"uris":["http://zotero.org/users/local/Ojju4Cpf/items/PDNT7W8A"],"uri":["http://zotero.org/users/local/Ojju4Cpf/items/PDNT7W8A"],"itemData":{"id":1181,"type":"book","ISBN":"1-315-13947-2","publisher":"Routledge","title":"Classification and regression trees","author":[{"family":"Breiman","given":"Leo"},{"family":"Friedman","given":"Jerome H."},{"family":"Olshen","given":"Richard A."},{"family":"Stone","given":"Charles J."}],"issued":{"date-parts":[["2017"]]}}}],"schema":"https://github.com/citation-style-language/schema/raw/master/csl-citation.json"}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A15780">
              <w:rPr>
                <w:rFonts w:ascii="Arial" w:hAnsi="Arial" w:cs="Arial"/>
              </w:rPr>
              <w:t>Breiman et al., 2017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7B32C2AA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15ECF9CB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tcBorders>
              <w:bottom w:val="single" w:sz="4" w:space="0" w:color="auto"/>
            </w:tcBorders>
            <w:vAlign w:val="center"/>
          </w:tcPr>
          <w:p w14:paraId="3F379DD0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Generalized Boosting Model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53AE0FD3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GBM</w:t>
            </w:r>
          </w:p>
        </w:tc>
        <w:tc>
          <w:tcPr>
            <w:tcW w:w="2125" w:type="dxa"/>
            <w:tcBorders>
              <w:bottom w:val="single" w:sz="4" w:space="0" w:color="auto"/>
            </w:tcBorders>
            <w:vAlign w:val="center"/>
          </w:tcPr>
          <w:p w14:paraId="57A1F4A2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{"citationID":"hPH20tYP","properties":{"formattedCitation":"(Elith et al., 2008)","plainCitation":"(Elith et al., 2008)","dontUpdate":true,"noteIndex":0},"citationItems":[{"id":1191,"uris":["http://zotero.org/users/local/Ojju4Cpf/items/NF4FQV2W"],"uri":["http://zotero.org/users/local/Ojju4Cpf/items/NF4FQV2W"],"itemData":{"id":1191,"type":"article-journal","container-title":"Journal of Animal Ecology","DOI":"10.1111/j.1365-2656.2008.01390.x","ISSN":"0021-8790, 1365-2656","issue":"4","journalAbbreviation":"J Anim Ecology","language":"en","page":"802-813","source":"DOI.org (Crossref)","title":"A working guide to boosted regression trees","volume":"77","author":[{"family":"Elith","given":"J."},{"family":"Leathwick","given":"J. R."},{"family":"Hastie","given":"T."}],"issued":{"date-parts":[["2008",7]]}}}],"schema":"https://github.com/citation-style-language/schema/raw/master/csl-citation.json"}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A15780">
              <w:rPr>
                <w:rFonts w:ascii="Arial" w:hAnsi="Arial" w:cs="Arial"/>
              </w:rPr>
              <w:t>Elith et al., 2008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359F4AAC" w14:textId="77777777" w:rsidTr="00CC1225">
        <w:trPr>
          <w:cantSplit/>
          <w:trHeight w:val="454"/>
        </w:trPr>
        <w:tc>
          <w:tcPr>
            <w:tcW w:w="159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562EF76" w14:textId="77777777" w:rsidR="00BE41C9" w:rsidRDefault="00BE41C9" w:rsidP="00CC1225">
            <w:pPr>
              <w:spacing w:after="0" w:line="360" w:lineRule="auto"/>
              <w:ind w:left="113" w:right="113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Ensemble</w:t>
            </w:r>
          </w:p>
        </w:tc>
        <w:tc>
          <w:tcPr>
            <w:tcW w:w="4628" w:type="dxa"/>
            <w:tcBorders>
              <w:top w:val="single" w:sz="4" w:space="0" w:color="auto"/>
            </w:tcBorders>
            <w:vAlign w:val="center"/>
          </w:tcPr>
          <w:p w14:paraId="1F897DE0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Ensemble Weight Means Probabilities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78AEC573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EWMP</w:t>
            </w:r>
          </w:p>
        </w:tc>
        <w:tc>
          <w:tcPr>
            <w:tcW w:w="212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9CD21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fldChar w:fldCharType="begin"/>
            </w:r>
            <w:r>
              <w:rPr>
                <w:rFonts w:ascii="Arial" w:hAnsi="Arial" w:cs="Arial"/>
                <w:lang w:val="en-GB"/>
              </w:rPr>
              <w:instrText xml:space="preserve"> ADDIN ZOTERO_ITEM CSL_CITATION {"citationID":"nDB5854K","properties":{"formattedCitation":"(Hao et al., 2019, 2020)","plainCitation":"(Hao et al., 2019, 2020)","dontUpdate":true,"noteIndex":0},"citationItems":[{"id":1201,"uris":["http://zotero.org/users/local/Ojju4Cpf/items/HXE5CSK3"],"uri":["http://zotero.org/users/local/Ojju4Cpf/items/HXE5CSK3"],"itemData":{"id":1201,"type":"article-journal","container-title":"Diversity and Distributions","DOI":"10.1111/ddi.12892","ISSN":"1366-9516, 1472-4642","issue":"5","journalAbbreviation":"Divers Distrib","language":"en","page":"839-852","source":"DOI.org (Crossref)","title":"A review of evidence about use and performance of species distribution modelling ensembles like BIOMOD","volume":"25","author":[{"family":"Hao","given":"Tianxiao"},{"family":"Elith","given":"Jane"},{"family":"Guillera</w:instrText>
            </w:r>
            <w:r>
              <w:rPr>
                <w:rFonts w:ascii="Cambria Math" w:hAnsi="Cambria Math" w:cs="Cambria Math"/>
                <w:lang w:val="en-GB"/>
              </w:rPr>
              <w:instrText>‐</w:instrText>
            </w:r>
            <w:r>
              <w:rPr>
                <w:rFonts w:ascii="Arial" w:hAnsi="Arial" w:cs="Arial"/>
                <w:lang w:val="en-GB"/>
              </w:rPr>
              <w:instrText>Arroita","given":"Gurutzeta"},{"family":"Lahoz</w:instrText>
            </w:r>
            <w:r>
              <w:rPr>
                <w:rFonts w:ascii="Cambria Math" w:hAnsi="Cambria Math" w:cs="Cambria Math"/>
                <w:lang w:val="en-GB"/>
              </w:rPr>
              <w:instrText>‐</w:instrText>
            </w:r>
            <w:r>
              <w:rPr>
                <w:rFonts w:ascii="Arial" w:hAnsi="Arial" w:cs="Arial"/>
                <w:lang w:val="en-GB"/>
              </w:rPr>
              <w:instrText>Monfort","given":"José J."}],"editor":[{"family":"Serra</w:instrText>
            </w:r>
            <w:r>
              <w:rPr>
                <w:rFonts w:ascii="Cambria Math" w:hAnsi="Cambria Math" w:cs="Cambria Math"/>
                <w:lang w:val="en-GB"/>
              </w:rPr>
              <w:instrText>‐</w:instrText>
            </w:r>
            <w:r>
              <w:rPr>
                <w:rFonts w:ascii="Arial" w:hAnsi="Arial" w:cs="Arial"/>
                <w:lang w:val="en-GB"/>
              </w:rPr>
              <w:instrText>Diaz","given":"Josep"}],"issued":{"date-parts":[["2019",5]]}},"label":"page"},{"id":1203,"uris":["http://zotero.org/users/local/Ojju4Cpf/items/2Z9MP5QG"],"uri":["http://zotero.org/users/local/Ojju4Cpf/items/2Z9MP5QG"],"itemData":{"id":1203,"type":"article-journal","container-title":"Ecography","DOI":"10.1111/ecog.04890","ISSN":"0906-7590, 1600-0587","issue":"4","journalAbbreviation":"Ecography","language":"en","page":"549-558","source":"DOI.org (Crossref)","title":"Testing whether ensemble modelling is advantageous for maximising predictive performance of species distribution models","volume":"43","author":[{"family":"Hao","given":"Tianxiao"},{"family":"Elith","given":"Jane"},{"family":"Lahoz</w:instrText>
            </w:r>
            <w:r>
              <w:rPr>
                <w:rFonts w:ascii="Cambria Math" w:hAnsi="Cambria Math" w:cs="Cambria Math"/>
                <w:lang w:val="en-GB"/>
              </w:rPr>
              <w:instrText>‐</w:instrText>
            </w:r>
            <w:r>
              <w:rPr>
                <w:rFonts w:ascii="Arial" w:hAnsi="Arial" w:cs="Arial"/>
                <w:lang w:val="en-GB"/>
              </w:rPr>
              <w:instrText>Monfort","given":"José J."},{"family":"Guillera</w:instrText>
            </w:r>
            <w:r>
              <w:rPr>
                <w:rFonts w:ascii="Cambria Math" w:hAnsi="Cambria Math" w:cs="Cambria Math"/>
                <w:lang w:val="en-GB"/>
              </w:rPr>
              <w:instrText>‐</w:instrText>
            </w:r>
            <w:r>
              <w:rPr>
                <w:rFonts w:ascii="Arial" w:hAnsi="Arial" w:cs="Arial"/>
                <w:lang w:val="en-GB"/>
              </w:rPr>
              <w:instrText xml:space="preserve">Arroita","given":"Gurutzeta"}],"issued":{"date-parts":[["2020",4]]}},"label":"page"}],"schema":"https://github.com/citation-style-language/schema/raw/master/csl-citation.json"} </w:instrText>
            </w:r>
            <w:r>
              <w:rPr>
                <w:rFonts w:ascii="Arial" w:hAnsi="Arial" w:cs="Arial"/>
                <w:lang w:val="en-GB"/>
              </w:rPr>
              <w:fldChar w:fldCharType="separate"/>
            </w:r>
            <w:r w:rsidRPr="00692989">
              <w:rPr>
                <w:rFonts w:ascii="Arial" w:hAnsi="Arial" w:cs="Arial"/>
              </w:rPr>
              <w:t>Hao et al., 2019, 2020</w:t>
            </w:r>
            <w:r>
              <w:rPr>
                <w:rFonts w:ascii="Arial" w:hAnsi="Arial" w:cs="Arial"/>
                <w:lang w:val="en-GB"/>
              </w:rPr>
              <w:fldChar w:fldCharType="end"/>
            </w:r>
          </w:p>
        </w:tc>
      </w:tr>
      <w:tr w:rsidR="00BE41C9" w14:paraId="239AC00D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3B00809A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vAlign w:val="center"/>
          </w:tcPr>
          <w:p w14:paraId="1D525ECD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Ensemble Means Probabilities</w:t>
            </w:r>
          </w:p>
        </w:tc>
        <w:tc>
          <w:tcPr>
            <w:tcW w:w="236" w:type="dxa"/>
            <w:vAlign w:val="center"/>
          </w:tcPr>
          <w:p w14:paraId="7C0BA38E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EMP</w:t>
            </w:r>
          </w:p>
        </w:tc>
        <w:tc>
          <w:tcPr>
            <w:tcW w:w="2125" w:type="dxa"/>
            <w:vMerge/>
            <w:tcBorders>
              <w:bottom w:val="single" w:sz="4" w:space="0" w:color="auto"/>
            </w:tcBorders>
          </w:tcPr>
          <w:p w14:paraId="658E6A8E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BE41C9" w14:paraId="30A99B79" w14:textId="77777777" w:rsidTr="00CC1225">
        <w:tc>
          <w:tcPr>
            <w:tcW w:w="1596" w:type="dxa"/>
            <w:gridSpan w:val="2"/>
            <w:vMerge/>
            <w:tcBorders>
              <w:bottom w:val="single" w:sz="4" w:space="0" w:color="auto"/>
            </w:tcBorders>
          </w:tcPr>
          <w:p w14:paraId="02C66CDF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628" w:type="dxa"/>
            <w:tcBorders>
              <w:bottom w:val="single" w:sz="4" w:space="0" w:color="auto"/>
            </w:tcBorders>
            <w:vAlign w:val="center"/>
          </w:tcPr>
          <w:p w14:paraId="114B58B1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Ensemble Model Committee Average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14:paraId="12964231" w14:textId="77777777" w:rsidR="00BE41C9" w:rsidRDefault="00BE41C9" w:rsidP="00CC1225">
            <w:pPr>
              <w:spacing w:after="0" w:line="360" w:lineRule="auto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ECA</w:t>
            </w:r>
          </w:p>
        </w:tc>
        <w:tc>
          <w:tcPr>
            <w:tcW w:w="2125" w:type="dxa"/>
            <w:vMerge/>
            <w:tcBorders>
              <w:bottom w:val="single" w:sz="4" w:space="0" w:color="auto"/>
            </w:tcBorders>
          </w:tcPr>
          <w:p w14:paraId="29760BA6" w14:textId="77777777" w:rsidR="00BE41C9" w:rsidRDefault="00BE41C9" w:rsidP="00CC1225">
            <w:pPr>
              <w:spacing w:after="0" w:line="360" w:lineRule="auto"/>
              <w:jc w:val="both"/>
              <w:rPr>
                <w:rFonts w:ascii="Arial" w:hAnsi="Arial" w:cs="Arial"/>
                <w:lang w:val="en-GB"/>
              </w:rPr>
            </w:pPr>
          </w:p>
        </w:tc>
      </w:tr>
    </w:tbl>
    <w:p w14:paraId="75BE4553" w14:textId="77777777" w:rsidR="00BE41C9" w:rsidRDefault="00BE41C9" w:rsidP="00BE41C9">
      <w:pPr>
        <w:spacing w:after="0" w:line="360" w:lineRule="auto"/>
        <w:jc w:val="both"/>
        <w:rPr>
          <w:rFonts w:ascii="Arial" w:hAnsi="Arial" w:cs="Arial"/>
          <w:lang w:val="en-GB"/>
        </w:rPr>
      </w:pPr>
    </w:p>
    <w:p w14:paraId="1F766F39" w14:textId="77777777" w:rsidR="00BE41C9" w:rsidRPr="002C5C41" w:rsidRDefault="00BE41C9" w:rsidP="00BE41C9">
      <w:pPr>
        <w:spacing w:after="0" w:line="360" w:lineRule="auto"/>
        <w:jc w:val="both"/>
        <w:rPr>
          <w:rFonts w:ascii="Arial" w:hAnsi="Arial" w:cs="Arial"/>
          <w:lang w:val="en-GB"/>
        </w:rPr>
      </w:pPr>
    </w:p>
    <w:p w14:paraId="1D95B11B" w14:textId="77777777" w:rsidR="00BE41C9" w:rsidRDefault="00BE41C9" w:rsidP="00BE41C9">
      <w:pPr>
        <w:spacing w:after="0" w:line="24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br w:type="page"/>
      </w:r>
    </w:p>
    <w:p w14:paraId="12B812A8" w14:textId="77777777" w:rsidR="00BE41C9" w:rsidRDefault="00BE41C9" w:rsidP="00BE41C9">
      <w:pPr>
        <w:spacing w:line="360" w:lineRule="auto"/>
        <w:rPr>
          <w:rFonts w:ascii="Arial" w:hAnsi="Arial" w:cs="Arial"/>
          <w:b/>
          <w:bCs/>
          <w:lang w:val="en-GB"/>
        </w:rPr>
      </w:pPr>
    </w:p>
    <w:p w14:paraId="3AB07333" w14:textId="77777777" w:rsidR="00BE41C9" w:rsidRPr="002C5C41" w:rsidRDefault="00BE41C9" w:rsidP="00BE41C9">
      <w:pPr>
        <w:spacing w:line="360" w:lineRule="auto"/>
        <w:rPr>
          <w:rFonts w:ascii="Arial" w:hAnsi="Arial" w:cs="Arial"/>
          <w:b/>
          <w:bCs/>
          <w:lang w:val="en-GB"/>
        </w:rPr>
      </w:pPr>
    </w:p>
    <w:p w14:paraId="1E403FE6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  <w:r>
        <w:rPr>
          <w:noProof/>
        </w:rPr>
        <w:drawing>
          <wp:inline distT="0" distB="0" distL="0" distR="0" wp14:anchorId="4262BEBB" wp14:editId="613BE47F">
            <wp:extent cx="5400040" cy="4153876"/>
            <wp:effectExtent l="0" t="0" r="0" b="0"/>
            <wp:docPr id="5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5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02243" w14:textId="77777777" w:rsidR="00BE41C9" w:rsidRPr="00AD5109" w:rsidRDefault="00BE41C9" w:rsidP="00BE41C9">
      <w:pPr>
        <w:spacing w:line="360" w:lineRule="auto"/>
        <w:rPr>
          <w:rFonts w:ascii="Arial" w:hAnsi="Arial" w:cs="Arial"/>
          <w:lang w:val="en-GB"/>
        </w:rPr>
      </w:pPr>
      <w:r w:rsidRPr="00AD5109">
        <w:rPr>
          <w:rFonts w:ascii="Arial" w:hAnsi="Arial" w:cs="Arial"/>
          <w:lang w:val="en-GB"/>
        </w:rPr>
        <w:t xml:space="preserve">Figure S1. Geographic distribution of estimated Animal Dark Diversity by SDM technique for bats in the Iberian Peninsula using </w:t>
      </w:r>
      <w:r w:rsidRPr="00AD5109">
        <w:rPr>
          <w:rFonts w:ascii="Arial" w:hAnsi="Arial" w:cs="Arial"/>
          <w:i/>
          <w:iCs/>
          <w:lang w:val="en-GB"/>
        </w:rPr>
        <w:t>MaxKappa</w:t>
      </w:r>
      <w:r w:rsidRPr="00AD5109">
        <w:rPr>
          <w:rFonts w:ascii="Arial" w:hAnsi="Arial" w:cs="Arial"/>
          <w:lang w:val="en-GB"/>
        </w:rPr>
        <w:t xml:space="preserve"> threshold.</w:t>
      </w:r>
    </w:p>
    <w:p w14:paraId="2E8F37A9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14:paraId="475727A2" w14:textId="77777777" w:rsidR="00BE41C9" w:rsidRDefault="00BE41C9" w:rsidP="00BE41C9">
      <w:pPr>
        <w:spacing w:after="0" w:line="240" w:lineRule="auto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br w:type="page"/>
      </w:r>
    </w:p>
    <w:p w14:paraId="75985880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14:paraId="708820DB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  <w:r>
        <w:rPr>
          <w:noProof/>
        </w:rPr>
        <w:drawing>
          <wp:inline distT="0" distB="0" distL="0" distR="0" wp14:anchorId="51B9D0CD" wp14:editId="608C1B31">
            <wp:extent cx="5400040" cy="4153876"/>
            <wp:effectExtent l="0" t="0" r="0" b="0"/>
            <wp:docPr id="6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5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1633A" w14:textId="77777777" w:rsidR="00BE41C9" w:rsidRPr="00AD5109" w:rsidRDefault="00BE41C9" w:rsidP="00BE41C9">
      <w:pPr>
        <w:spacing w:line="360" w:lineRule="auto"/>
        <w:rPr>
          <w:rFonts w:ascii="Arial" w:hAnsi="Arial" w:cs="Arial"/>
          <w:lang w:val="en-GB"/>
        </w:rPr>
      </w:pPr>
      <w:r w:rsidRPr="00AD5109">
        <w:rPr>
          <w:rFonts w:ascii="Arial" w:hAnsi="Arial" w:cs="Arial"/>
          <w:lang w:val="en-GB"/>
        </w:rPr>
        <w:t xml:space="preserve">Figure S2. Geographic distribution of estimated Animal Dark Diversity by SDM technique for bats in the Iberian Peninsula using </w:t>
      </w:r>
      <w:r w:rsidRPr="00AD5109">
        <w:rPr>
          <w:rFonts w:ascii="Arial" w:hAnsi="Arial" w:cs="Arial"/>
          <w:i/>
          <w:iCs/>
          <w:lang w:val="en-GB"/>
        </w:rPr>
        <w:t>MeanProb</w:t>
      </w:r>
      <w:r w:rsidRPr="00AD5109">
        <w:rPr>
          <w:rFonts w:ascii="Arial" w:hAnsi="Arial" w:cs="Arial"/>
          <w:lang w:val="en-GB"/>
        </w:rPr>
        <w:t xml:space="preserve"> threshold.</w:t>
      </w:r>
    </w:p>
    <w:p w14:paraId="002870AE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14:paraId="2A777710" w14:textId="77777777" w:rsidR="00BE41C9" w:rsidRDefault="00BE41C9" w:rsidP="00BE41C9">
      <w:pPr>
        <w:spacing w:after="0" w:line="240" w:lineRule="auto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br w:type="page"/>
      </w:r>
    </w:p>
    <w:p w14:paraId="441F6EF7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14:paraId="04F0CCE8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  <w:r>
        <w:rPr>
          <w:noProof/>
        </w:rPr>
        <w:drawing>
          <wp:inline distT="0" distB="0" distL="0" distR="0" wp14:anchorId="79FC1504" wp14:editId="56BF4213">
            <wp:extent cx="5400040" cy="4153876"/>
            <wp:effectExtent l="0" t="0" r="0" b="0"/>
            <wp:docPr id="7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5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18539" w14:textId="77777777" w:rsidR="00BE41C9" w:rsidRPr="00AD5109" w:rsidRDefault="00BE41C9" w:rsidP="00BE41C9">
      <w:pPr>
        <w:spacing w:line="360" w:lineRule="auto"/>
        <w:rPr>
          <w:rFonts w:ascii="Arial" w:hAnsi="Arial" w:cs="Arial"/>
          <w:lang w:val="en-GB"/>
        </w:rPr>
      </w:pPr>
      <w:r w:rsidRPr="00AD5109">
        <w:rPr>
          <w:rFonts w:ascii="Arial" w:hAnsi="Arial" w:cs="Arial"/>
          <w:lang w:val="en-GB"/>
        </w:rPr>
        <w:t xml:space="preserve">Figure S3. Geographic distribution of estimated Animal Dark Diversity by SDM technique for moths in the Iberian Peninsula using </w:t>
      </w:r>
      <w:r w:rsidRPr="00AD5109">
        <w:rPr>
          <w:rFonts w:ascii="Arial" w:hAnsi="Arial" w:cs="Arial"/>
          <w:i/>
          <w:iCs/>
          <w:lang w:val="en-GB"/>
        </w:rPr>
        <w:t>MaxKappa</w:t>
      </w:r>
      <w:r w:rsidRPr="00AD5109">
        <w:rPr>
          <w:rFonts w:ascii="Arial" w:hAnsi="Arial" w:cs="Arial"/>
          <w:lang w:val="en-GB"/>
        </w:rPr>
        <w:t xml:space="preserve"> threshold.</w:t>
      </w:r>
    </w:p>
    <w:p w14:paraId="6090A43C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14:paraId="27F98B68" w14:textId="77777777" w:rsidR="00BE41C9" w:rsidRDefault="00BE41C9" w:rsidP="00BE41C9">
      <w:pPr>
        <w:spacing w:after="0" w:line="240" w:lineRule="auto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br w:type="page"/>
      </w:r>
    </w:p>
    <w:p w14:paraId="2B65E70E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14:paraId="7F5DC87E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  <w:r>
        <w:rPr>
          <w:noProof/>
        </w:rPr>
        <w:drawing>
          <wp:inline distT="0" distB="0" distL="0" distR="0" wp14:anchorId="0256A40E" wp14:editId="50E055B2">
            <wp:extent cx="5400040" cy="4153876"/>
            <wp:effectExtent l="0" t="0" r="0" b="0"/>
            <wp:docPr id="8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5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183C2" w14:textId="77777777" w:rsidR="00BE41C9" w:rsidRPr="00AD5109" w:rsidRDefault="00BE41C9" w:rsidP="00BE41C9">
      <w:pPr>
        <w:spacing w:line="360" w:lineRule="auto"/>
        <w:rPr>
          <w:rFonts w:ascii="Arial" w:hAnsi="Arial" w:cs="Arial"/>
          <w:lang w:val="en-GB"/>
        </w:rPr>
      </w:pPr>
      <w:r w:rsidRPr="00AD5109">
        <w:rPr>
          <w:rFonts w:ascii="Arial" w:hAnsi="Arial" w:cs="Arial"/>
          <w:lang w:val="en-GB"/>
        </w:rPr>
        <w:t xml:space="preserve">Figure S4. Geographic distribution of estimated Animal Dark Diversity by SDM technique for moths in the Iberian Peninsula using </w:t>
      </w:r>
      <w:r w:rsidRPr="00AD5109">
        <w:rPr>
          <w:rFonts w:ascii="Arial" w:hAnsi="Arial" w:cs="Arial"/>
          <w:i/>
          <w:iCs/>
          <w:lang w:val="en-GB"/>
        </w:rPr>
        <w:t xml:space="preserve">MaxTSS </w:t>
      </w:r>
      <w:r w:rsidRPr="00AD5109">
        <w:rPr>
          <w:rFonts w:ascii="Arial" w:hAnsi="Arial" w:cs="Arial"/>
          <w:lang w:val="en-GB"/>
        </w:rPr>
        <w:t>threshold.</w:t>
      </w:r>
    </w:p>
    <w:p w14:paraId="2588783A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14:paraId="7F791F3C" w14:textId="77777777" w:rsidR="00BE41C9" w:rsidRDefault="00BE41C9" w:rsidP="00BE41C9">
      <w:pPr>
        <w:spacing w:after="0" w:line="240" w:lineRule="auto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sz w:val="16"/>
          <w:szCs w:val="16"/>
          <w:lang w:val="en-GB"/>
        </w:rPr>
        <w:br w:type="page"/>
      </w:r>
    </w:p>
    <w:p w14:paraId="64B03CA7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14:paraId="5813B63F" w14:textId="77777777" w:rsidR="00BE41C9" w:rsidRDefault="00BE41C9" w:rsidP="00BE41C9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  <w:r>
        <w:rPr>
          <w:noProof/>
        </w:rPr>
        <w:drawing>
          <wp:inline distT="0" distB="0" distL="0" distR="0" wp14:anchorId="494478BD" wp14:editId="62D8CACB">
            <wp:extent cx="5400040" cy="4153876"/>
            <wp:effectExtent l="0" t="0" r="0" b="0"/>
            <wp:docPr id="9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5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37817" w14:textId="77777777" w:rsidR="00BE41C9" w:rsidRPr="00AD5109" w:rsidRDefault="00BE41C9" w:rsidP="00BE41C9">
      <w:pPr>
        <w:spacing w:line="360" w:lineRule="auto"/>
        <w:rPr>
          <w:rFonts w:ascii="Arial" w:hAnsi="Arial" w:cs="Arial"/>
          <w:lang w:val="en-GB"/>
        </w:rPr>
      </w:pPr>
      <w:r w:rsidRPr="00AD5109">
        <w:rPr>
          <w:rFonts w:ascii="Arial" w:hAnsi="Arial" w:cs="Arial"/>
          <w:lang w:val="en-GB"/>
        </w:rPr>
        <w:t xml:space="preserve">Figure S5. Geographic distribution of estimated Animal Dark Diversity by SDM technique for moths in the Iberian Peninsula using </w:t>
      </w:r>
      <w:r w:rsidRPr="00AD5109">
        <w:rPr>
          <w:rFonts w:ascii="Arial" w:hAnsi="Arial" w:cs="Arial"/>
          <w:i/>
          <w:iCs/>
          <w:lang w:val="en-GB"/>
        </w:rPr>
        <w:t>MeanProb</w:t>
      </w:r>
      <w:r w:rsidRPr="00AD5109">
        <w:rPr>
          <w:rFonts w:ascii="Arial" w:hAnsi="Arial" w:cs="Arial"/>
          <w:lang w:val="en-GB"/>
        </w:rPr>
        <w:t xml:space="preserve"> threshold.</w:t>
      </w:r>
    </w:p>
    <w:p w14:paraId="703B326A" w14:textId="77777777" w:rsidR="00BE41C9" w:rsidRDefault="00BE41C9">
      <w:bookmarkStart w:id="0" w:name="_GoBack"/>
      <w:bookmarkEnd w:id="0"/>
    </w:p>
    <w:sectPr w:rsidR="00BE41C9" w:rsidSect="007416A9">
      <w:pgSz w:w="11906" w:h="16838"/>
      <w:pgMar w:top="1417" w:right="1701" w:bottom="1417" w:left="1701" w:header="0" w:footer="567" w:gutter="0"/>
      <w:lnNumType w:countBy="1" w:restart="continuous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1C9"/>
    <w:rsid w:val="00BE41C9"/>
    <w:rsid w:val="00BF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6846B"/>
  <w15:chartTrackingRefBased/>
  <w15:docId w15:val="{E5F6DA7C-6FCC-1B4E-9F9A-D3580D614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41C9"/>
    <w:pPr>
      <w:suppressAutoHyphens/>
      <w:spacing w:after="160" w:line="259" w:lineRule="auto"/>
    </w:pPr>
    <w:rPr>
      <w:rFonts w:eastAsiaTheme="minorHAnsi"/>
      <w:sz w:val="22"/>
      <w:szCs w:val="22"/>
      <w:lang w:val="es-E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1C9"/>
    <w:pPr>
      <w:suppressAutoHyphens/>
    </w:pPr>
    <w:rPr>
      <w:rFonts w:eastAsiaTheme="minorHAnsi"/>
      <w:sz w:val="22"/>
      <w:szCs w:val="22"/>
      <w:lang w:val="es-C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E41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1742</Words>
  <Characters>9933</Characters>
  <Application>Microsoft Office Word</Application>
  <DocSecurity>0</DocSecurity>
  <Lines>82</Lines>
  <Paragraphs>23</Paragraphs>
  <ScaleCrop>false</ScaleCrop>
  <Company/>
  <LinksUpToDate>false</LinksUpToDate>
  <CharactersWithSpaces>11652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2021-11-22T19:06:00Z</dcterms:created>
  <dcterms:modified xsi:type="dcterms:W3CDTF">2021-11-22T19:06:00Z</dcterms:modified>
</cp:coreProperties>
</file>