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CFCA" w14:textId="77777777" w:rsidR="005A31F4" w:rsidRPr="000828E9" w:rsidRDefault="005A31F4" w:rsidP="005A31F4">
      <w:pPr>
        <w:spacing w:after="240"/>
        <w:jc w:val="both"/>
        <w:rPr>
          <w:b/>
          <w:bCs/>
        </w:rPr>
      </w:pPr>
      <w:r>
        <w:rPr>
          <w:b/>
          <w:bCs/>
        </w:rPr>
        <w:t>APPENDIX</w:t>
      </w:r>
    </w:p>
    <w:p w14:paraId="69A82EEE" w14:textId="77777777" w:rsidR="005A31F4" w:rsidRPr="000828E9" w:rsidRDefault="005A31F4" w:rsidP="005A31F4">
      <w:r>
        <w:rPr>
          <w:b/>
          <w:bCs/>
        </w:rPr>
        <w:t>Appendix Tables</w:t>
      </w:r>
    </w:p>
    <w:p w14:paraId="741D5A48" w14:textId="77777777" w:rsidR="005A31F4" w:rsidRPr="000828E9" w:rsidRDefault="005A31F4" w:rsidP="005A31F4">
      <w:pPr>
        <w:spacing w:before="200" w:after="60"/>
        <w:jc w:val="both"/>
      </w:pPr>
      <w:r>
        <w:rPr>
          <w:b/>
          <w:bCs/>
        </w:rPr>
        <w:t>Table A1. HAC-robust NARDL summary (Newey-West standard errors). Note: The “SR θ NASCDI⁺/⁻” columns report HAC-corrected short-run θ estimates (contemporaneous term, lag 0), NOT the long-run β = −θ/λ reported as “LR NASCDI⁺/⁻” in Table 5. A delta-method OLS-versus-HAC long-run reconciliation table is omitted from this revision (see note below Table A3).</w:t>
      </w:r>
    </w:p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1016"/>
        <w:gridCol w:w="1005"/>
        <w:gridCol w:w="761"/>
        <w:gridCol w:w="516"/>
        <w:gridCol w:w="779"/>
        <w:gridCol w:w="779"/>
        <w:gridCol w:w="689"/>
        <w:gridCol w:w="1043"/>
        <w:gridCol w:w="1027"/>
        <w:gridCol w:w="1043"/>
        <w:gridCol w:w="1027"/>
      </w:tblGrid>
      <w:tr w:rsidR="005A31F4" w:rsidRPr="00463273" w14:paraId="6DB52179" w14:textId="77777777" w:rsidTr="008C31EF">
        <w:trPr>
          <w:trHeight w:val="467"/>
        </w:trPr>
        <w:tc>
          <w:tcPr>
            <w:tcW w:w="994" w:type="dxa"/>
          </w:tcPr>
          <w:p w14:paraId="251D7A6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Producer market</w:t>
            </w:r>
          </w:p>
        </w:tc>
        <w:tc>
          <w:tcPr>
            <w:tcW w:w="985" w:type="dxa"/>
          </w:tcPr>
          <w:p w14:paraId="76EDEA8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Variety</w:t>
            </w:r>
          </w:p>
        </w:tc>
        <w:tc>
          <w:tcPr>
            <w:tcW w:w="741" w:type="dxa"/>
          </w:tcPr>
          <w:p w14:paraId="204B3BD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525" w:type="dxa"/>
          </w:tcPr>
          <w:p w14:paraId="0142CE0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61" w:type="dxa"/>
          </w:tcPr>
          <w:p w14:paraId="7AE64A6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HAC ECT</w:t>
            </w:r>
          </w:p>
        </w:tc>
        <w:tc>
          <w:tcPr>
            <w:tcW w:w="775" w:type="dxa"/>
          </w:tcPr>
          <w:p w14:paraId="6FC1B1F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HAC ECT p</w:t>
            </w:r>
          </w:p>
        </w:tc>
        <w:tc>
          <w:tcPr>
            <w:tcW w:w="699" w:type="dxa"/>
          </w:tcPr>
          <w:p w14:paraId="74D5B7BB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Prod. pₕₐᶜ</w:t>
            </w:r>
          </w:p>
        </w:tc>
        <w:tc>
          <w:tcPr>
            <w:tcW w:w="1016" w:type="dxa"/>
          </w:tcPr>
          <w:p w14:paraId="45F6812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NASCDI⁺ pₕₐᶜ</w:t>
            </w:r>
          </w:p>
        </w:tc>
        <w:tc>
          <w:tcPr>
            <w:tcW w:w="1016" w:type="dxa"/>
          </w:tcPr>
          <w:p w14:paraId="1CC4ED7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NASCDI</w:t>
            </w:r>
            <w:r>
              <w:rPr>
                <w:b/>
                <w:bCs/>
                <w:sz w:val="20"/>
                <w:szCs w:val="20"/>
                <w:vertAlign w:val="superscript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pₕₐᶜ</w:t>
            </w:r>
          </w:p>
        </w:tc>
        <w:tc>
          <w:tcPr>
            <w:tcW w:w="1016" w:type="dxa"/>
          </w:tcPr>
          <w:p w14:paraId="49D6A83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SR θ NASCDI⁺</w:t>
            </w:r>
          </w:p>
        </w:tc>
        <w:tc>
          <w:tcPr>
            <w:tcW w:w="1016" w:type="dxa"/>
          </w:tcPr>
          <w:p w14:paraId="4B00832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SR θ NASCDI</w:t>
            </w:r>
            <w:r>
              <w:rPr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</w:tr>
      <w:tr w:rsidR="005A31F4" w:rsidRPr="00463273" w14:paraId="41412E22" w14:textId="77777777" w:rsidTr="008C31EF">
        <w:trPr>
          <w:trHeight w:val="233"/>
        </w:trPr>
        <w:tc>
          <w:tcPr>
            <w:tcW w:w="994" w:type="dxa"/>
          </w:tcPr>
          <w:p>
            <w:r>
              <w:t>Shopian</w:t>
            </w:r>
          </w:p>
        </w:tc>
        <w:tc>
          <w:tcPr>
            <w:tcW w:w="985" w:type="dxa"/>
          </w:tcPr>
          <w:p>
            <w:r>
              <w:t>American</w:t>
            </w:r>
          </w:p>
        </w:tc>
        <w:tc>
          <w:tcPr>
            <w:tcW w:w="741" w:type="dxa"/>
          </w:tcPr>
          <w:p>
            <w:r>
              <w:t>A</w:t>
            </w:r>
          </w:p>
        </w:tc>
        <w:tc>
          <w:tcPr>
            <w:tcW w:w="525" w:type="dxa"/>
          </w:tcPr>
          <w:p>
            <w:r>
              <w:t>72</w:t>
            </w:r>
          </w:p>
        </w:tc>
        <w:tc>
          <w:tcPr>
            <w:tcW w:w="761" w:type="dxa"/>
          </w:tcPr>
          <w:p>
            <w:r>
              <w:t>−0.267</w:t>
            </w:r>
          </w:p>
        </w:tc>
        <w:tc>
          <w:tcPr>
            <w:tcW w:w="775" w:type="dxa"/>
          </w:tcPr>
          <w:p>
            <w:r>
              <w:t>0.001</w:t>
            </w:r>
          </w:p>
        </w:tc>
        <w:tc>
          <w:tcPr>
            <w:tcW w:w="699" w:type="dxa"/>
          </w:tcPr>
          <w:p>
            <w:r>
              <w:t>0.605</w:t>
            </w:r>
          </w:p>
        </w:tc>
        <w:tc>
          <w:tcPr>
            <w:tcW w:w="1016" w:type="dxa"/>
          </w:tcPr>
          <w:p>
            <w:r>
              <w:t>0.595</w:t>
            </w:r>
          </w:p>
        </w:tc>
        <w:tc>
          <w:tcPr>
            <w:tcW w:w="1016" w:type="dxa"/>
          </w:tcPr>
          <w:p>
            <w:r>
              <w:t>0.628</w:t>
            </w:r>
          </w:p>
        </w:tc>
        <w:tc>
          <w:tcPr>
            <w:tcW w:w="1016" w:type="dxa"/>
          </w:tcPr>
          <w:p>
            <w:r>
              <w:t>0.030</w:t>
            </w:r>
          </w:p>
        </w:tc>
        <w:tc>
          <w:tcPr>
            <w:tcW w:w="1016" w:type="dxa"/>
          </w:tcPr>
          <w:p>
            <w:r>
              <w:t>−0.031</w:t>
            </w:r>
          </w:p>
        </w:tc>
      </w:tr>
      <w:tr w:rsidR="005A31F4" w:rsidRPr="00463273" w14:paraId="2C487DCC" w14:textId="77777777" w:rsidTr="008C31EF">
        <w:trPr>
          <w:trHeight w:val="233"/>
        </w:trPr>
        <w:tc>
          <w:tcPr>
            <w:tcW w:w="994" w:type="dxa"/>
          </w:tcPr>
          <w:p>
            <w:r>
              <w:t>Shopian</w:t>
            </w:r>
          </w:p>
        </w:tc>
        <w:tc>
          <w:tcPr>
            <w:tcW w:w="985" w:type="dxa"/>
          </w:tcPr>
          <w:p>
            <w:r>
              <w:t>American</w:t>
            </w:r>
          </w:p>
        </w:tc>
        <w:tc>
          <w:tcPr>
            <w:tcW w:w="741" w:type="dxa"/>
          </w:tcPr>
          <w:p>
            <w:r>
              <w:t>B</w:t>
            </w:r>
          </w:p>
        </w:tc>
        <w:tc>
          <w:tcPr>
            <w:tcW w:w="525" w:type="dxa"/>
          </w:tcPr>
          <w:p>
            <w:r>
              <w:t>72</w:t>
            </w:r>
          </w:p>
        </w:tc>
        <w:tc>
          <w:tcPr>
            <w:tcW w:w="761" w:type="dxa"/>
          </w:tcPr>
          <w:p>
            <w:r>
              <w:t>−0.198</w:t>
            </w:r>
          </w:p>
        </w:tc>
        <w:tc>
          <w:tcPr>
            <w:tcW w:w="775" w:type="dxa"/>
          </w:tcPr>
          <w:p>
            <w:r>
              <w:t>0.006</w:t>
            </w:r>
          </w:p>
        </w:tc>
        <w:tc>
          <w:tcPr>
            <w:tcW w:w="699" w:type="dxa"/>
          </w:tcPr>
          <w:p>
            <w:r>
              <w:t>0.249</w:t>
            </w:r>
          </w:p>
        </w:tc>
        <w:tc>
          <w:tcPr>
            <w:tcW w:w="1016" w:type="dxa"/>
          </w:tcPr>
          <w:p>
            <w:r>
              <w:t>0.318</w:t>
            </w:r>
          </w:p>
        </w:tc>
        <w:tc>
          <w:tcPr>
            <w:tcW w:w="1016" w:type="dxa"/>
          </w:tcPr>
          <w:p>
            <w:r>
              <w:t>0.301</w:t>
            </w:r>
          </w:p>
        </w:tc>
        <w:tc>
          <w:tcPr>
            <w:tcW w:w="1016" w:type="dxa"/>
          </w:tcPr>
          <w:p>
            <w:r>
              <w:t>0.051</w:t>
            </w:r>
          </w:p>
        </w:tc>
        <w:tc>
          <w:tcPr>
            <w:tcW w:w="1016" w:type="dxa"/>
          </w:tcPr>
          <w:p>
            <w:r>
              <w:t>−0.049</w:t>
            </w:r>
          </w:p>
        </w:tc>
      </w:tr>
      <w:tr w:rsidR="005A31F4" w:rsidRPr="00463273" w14:paraId="50F58230" w14:textId="77777777" w:rsidTr="008C31EF">
        <w:trPr>
          <w:trHeight w:val="233"/>
        </w:trPr>
        <w:tc>
          <w:tcPr>
            <w:tcW w:w="994" w:type="dxa"/>
          </w:tcPr>
          <w:p>
            <w:r>
              <w:t>Shopian</w:t>
            </w:r>
          </w:p>
        </w:tc>
        <w:tc>
          <w:tcPr>
            <w:tcW w:w="985" w:type="dxa"/>
          </w:tcPr>
          <w:p>
            <w:r>
              <w:t>Delicious</w:t>
            </w:r>
          </w:p>
        </w:tc>
        <w:tc>
          <w:tcPr>
            <w:tcW w:w="741" w:type="dxa"/>
          </w:tcPr>
          <w:p>
            <w:r>
              <w:t>A</w:t>
            </w:r>
          </w:p>
        </w:tc>
        <w:tc>
          <w:tcPr>
            <w:tcW w:w="525" w:type="dxa"/>
          </w:tcPr>
          <w:p>
            <w:r>
              <w:t>110</w:t>
            </w:r>
          </w:p>
        </w:tc>
        <w:tc>
          <w:tcPr>
            <w:tcW w:w="761" w:type="dxa"/>
          </w:tcPr>
          <w:p>
            <w:r>
              <w:t>−0.155</w:t>
            </w:r>
          </w:p>
        </w:tc>
        <w:tc>
          <w:tcPr>
            <w:tcW w:w="775" w:type="dxa"/>
          </w:tcPr>
          <w:p>
            <w:r>
              <w:t>0.000</w:t>
            </w:r>
          </w:p>
        </w:tc>
        <w:tc>
          <w:tcPr>
            <w:tcW w:w="699" w:type="dxa"/>
          </w:tcPr>
          <w:p>
            <w:r>
              <w:t>0.621</w:t>
            </w:r>
          </w:p>
        </w:tc>
        <w:tc>
          <w:tcPr>
            <w:tcW w:w="1016" w:type="dxa"/>
          </w:tcPr>
          <w:p>
            <w:r>
              <w:t>0.334</w:t>
            </w:r>
          </w:p>
        </w:tc>
        <w:tc>
          <w:tcPr>
            <w:tcW w:w="1016" w:type="dxa"/>
          </w:tcPr>
          <w:p>
            <w:r>
              <w:t>0.309</w:t>
            </w:r>
          </w:p>
        </w:tc>
        <w:tc>
          <w:tcPr>
            <w:tcW w:w="1016" w:type="dxa"/>
          </w:tcPr>
          <w:p>
            <w:r>
              <w:t>0.007</w:t>
            </w:r>
          </w:p>
        </w:tc>
        <w:tc>
          <w:tcPr>
            <w:tcW w:w="1016" w:type="dxa"/>
          </w:tcPr>
          <w:p>
            <w:r>
              <w:t>−0.009</w:t>
            </w:r>
          </w:p>
        </w:tc>
      </w:tr>
      <w:tr w:rsidR="005A31F4" w:rsidRPr="00463273" w14:paraId="6FE7E138" w14:textId="77777777" w:rsidTr="008C31EF">
        <w:trPr>
          <w:trHeight w:val="233"/>
        </w:trPr>
        <w:tc>
          <w:tcPr>
            <w:tcW w:w="994" w:type="dxa"/>
          </w:tcPr>
          <w:p>
            <w:r>
              <w:t>Shopian</w:t>
            </w:r>
          </w:p>
        </w:tc>
        <w:tc>
          <w:tcPr>
            <w:tcW w:w="985" w:type="dxa"/>
          </w:tcPr>
          <w:p>
            <w:r>
              <w:t>Delicious</w:t>
            </w:r>
          </w:p>
        </w:tc>
        <w:tc>
          <w:tcPr>
            <w:tcW w:w="741" w:type="dxa"/>
          </w:tcPr>
          <w:p>
            <w:r>
              <w:t>B</w:t>
            </w:r>
          </w:p>
        </w:tc>
        <w:tc>
          <w:tcPr>
            <w:tcW w:w="525" w:type="dxa"/>
          </w:tcPr>
          <w:p>
            <w:r>
              <w:t>110</w:t>
            </w:r>
          </w:p>
        </w:tc>
        <w:tc>
          <w:tcPr>
            <w:tcW w:w="761" w:type="dxa"/>
          </w:tcPr>
          <w:p>
            <w:r>
              <w:t>−0.115</w:t>
            </w:r>
          </w:p>
        </w:tc>
        <w:tc>
          <w:tcPr>
            <w:tcW w:w="775" w:type="dxa"/>
          </w:tcPr>
          <w:p>
            <w:r>
              <w:t>0.014</w:t>
            </w:r>
          </w:p>
        </w:tc>
        <w:tc>
          <w:tcPr>
            <w:tcW w:w="699" w:type="dxa"/>
          </w:tcPr>
          <w:p>
            <w:r>
              <w:t>0.474</w:t>
            </w:r>
          </w:p>
        </w:tc>
        <w:tc>
          <w:tcPr>
            <w:tcW w:w="1016" w:type="dxa"/>
          </w:tcPr>
          <w:p>
            <w:r>
              <w:t>0.715</w:t>
            </w:r>
          </w:p>
        </w:tc>
        <w:tc>
          <w:tcPr>
            <w:tcW w:w="1016" w:type="dxa"/>
          </w:tcPr>
          <w:p>
            <w:r>
              <w:t>0.755</w:t>
            </w:r>
          </w:p>
        </w:tc>
        <w:tc>
          <w:tcPr>
            <w:tcW w:w="1016" w:type="dxa"/>
          </w:tcPr>
          <w:p>
            <w:r>
              <w:t>0.017</w:t>
            </w:r>
          </w:p>
        </w:tc>
        <w:tc>
          <w:tcPr>
            <w:tcW w:w="1016" w:type="dxa"/>
          </w:tcPr>
          <w:p>
            <w:r>
              <w:t>−0.020</w:t>
            </w:r>
          </w:p>
        </w:tc>
      </w:tr>
      <w:tr w:rsidR="005A31F4" w:rsidRPr="00463273" w14:paraId="37BBFAB1" w14:textId="77777777" w:rsidTr="008C31EF">
        <w:trPr>
          <w:trHeight w:val="233"/>
        </w:trPr>
        <w:tc>
          <w:tcPr>
            <w:tcW w:w="994" w:type="dxa"/>
          </w:tcPr>
          <w:p>
            <w:r>
              <w:t>Sopore</w:t>
            </w:r>
          </w:p>
        </w:tc>
        <w:tc>
          <w:tcPr>
            <w:tcW w:w="985" w:type="dxa"/>
          </w:tcPr>
          <w:p>
            <w:r>
              <w:t>American</w:t>
            </w:r>
          </w:p>
        </w:tc>
        <w:tc>
          <w:tcPr>
            <w:tcW w:w="741" w:type="dxa"/>
          </w:tcPr>
          <w:p>
            <w:r>
              <w:t>A</w:t>
            </w:r>
          </w:p>
        </w:tc>
        <w:tc>
          <w:tcPr>
            <w:tcW w:w="525" w:type="dxa"/>
          </w:tcPr>
          <w:p>
            <w:r>
              <w:t>200</w:t>
            </w:r>
          </w:p>
        </w:tc>
        <w:tc>
          <w:tcPr>
            <w:tcW w:w="761" w:type="dxa"/>
          </w:tcPr>
          <w:p>
            <w:r>
              <w:t>−0.107</w:t>
            </w:r>
          </w:p>
        </w:tc>
        <w:tc>
          <w:tcPr>
            <w:tcW w:w="775" w:type="dxa"/>
          </w:tcPr>
          <w:p>
            <w:r>
              <w:t>0.018</w:t>
            </w:r>
          </w:p>
        </w:tc>
        <w:tc>
          <w:tcPr>
            <w:tcW w:w="699" w:type="dxa"/>
          </w:tcPr>
          <w:p>
            <w:r>
              <w:t>0.327</w:t>
            </w:r>
          </w:p>
        </w:tc>
        <w:tc>
          <w:tcPr>
            <w:tcW w:w="1016" w:type="dxa"/>
          </w:tcPr>
          <w:p>
            <w:r>
              <w:t>0.017</w:t>
            </w:r>
          </w:p>
        </w:tc>
        <w:tc>
          <w:tcPr>
            <w:tcW w:w="1016" w:type="dxa"/>
          </w:tcPr>
          <w:p>
            <w:r>
              <w:t>0.015</w:t>
            </w:r>
          </w:p>
        </w:tc>
        <w:tc>
          <w:tcPr>
            <w:tcW w:w="1016" w:type="dxa"/>
          </w:tcPr>
          <w:p>
            <w:r>
              <w:t>0.000</w:t>
            </w:r>
          </w:p>
        </w:tc>
        <w:tc>
          <w:tcPr>
            <w:tcW w:w="1016" w:type="dxa"/>
          </w:tcPr>
          <w:p>
            <w:r>
              <w:t>0.002</w:t>
            </w:r>
          </w:p>
        </w:tc>
      </w:tr>
      <w:tr w:rsidR="005A31F4" w:rsidRPr="00463273" w14:paraId="5F6C8498" w14:textId="77777777" w:rsidTr="008C31EF">
        <w:trPr>
          <w:trHeight w:val="233"/>
        </w:trPr>
        <w:tc>
          <w:tcPr>
            <w:tcW w:w="994" w:type="dxa"/>
          </w:tcPr>
          <w:p>
            <w:r>
              <w:t>Sopore</w:t>
            </w:r>
          </w:p>
        </w:tc>
        <w:tc>
          <w:tcPr>
            <w:tcW w:w="985" w:type="dxa"/>
          </w:tcPr>
          <w:p>
            <w:r>
              <w:t>American</w:t>
            </w:r>
          </w:p>
        </w:tc>
        <w:tc>
          <w:tcPr>
            <w:tcW w:w="741" w:type="dxa"/>
          </w:tcPr>
          <w:p>
            <w:r>
              <w:t>B</w:t>
            </w:r>
          </w:p>
        </w:tc>
        <w:tc>
          <w:tcPr>
            <w:tcW w:w="525" w:type="dxa"/>
          </w:tcPr>
          <w:p>
            <w:r>
              <w:t>200</w:t>
            </w:r>
          </w:p>
        </w:tc>
        <w:tc>
          <w:tcPr>
            <w:tcW w:w="761" w:type="dxa"/>
          </w:tcPr>
          <w:p>
            <w:r>
              <w:t>−0.132</w:t>
            </w:r>
          </w:p>
        </w:tc>
        <w:tc>
          <w:tcPr>
            <w:tcW w:w="775" w:type="dxa"/>
          </w:tcPr>
          <w:p>
            <w:r>
              <w:t>0.009</w:t>
            </w:r>
          </w:p>
        </w:tc>
        <w:tc>
          <w:tcPr>
            <w:tcW w:w="699" w:type="dxa"/>
          </w:tcPr>
          <w:p>
            <w:r>
              <w:t>0.992</w:t>
            </w:r>
          </w:p>
        </w:tc>
        <w:tc>
          <w:tcPr>
            <w:tcW w:w="1016" w:type="dxa"/>
          </w:tcPr>
          <w:p>
            <w:r>
              <w:t>0.365</w:t>
            </w:r>
          </w:p>
        </w:tc>
        <w:tc>
          <w:tcPr>
            <w:tcW w:w="1016" w:type="dxa"/>
          </w:tcPr>
          <w:p>
            <w:r>
              <w:t>0.295</w:t>
            </w:r>
          </w:p>
        </w:tc>
        <w:tc>
          <w:tcPr>
            <w:tcW w:w="1016" w:type="dxa"/>
          </w:tcPr>
          <w:p>
            <w:r>
              <w:t>0.001</w:t>
            </w:r>
          </w:p>
        </w:tc>
        <w:tc>
          <w:tcPr>
            <w:tcW w:w="1016" w:type="dxa"/>
          </w:tcPr>
          <w:p>
            <w:r>
              <w:t>0.000</w:t>
            </w:r>
          </w:p>
        </w:tc>
      </w:tr>
      <w:tr w:rsidR="005A31F4" w:rsidRPr="00463273" w14:paraId="3B12B5AC" w14:textId="77777777" w:rsidTr="008C31EF">
        <w:trPr>
          <w:trHeight w:val="233"/>
        </w:trPr>
        <w:tc>
          <w:tcPr>
            <w:tcW w:w="994" w:type="dxa"/>
          </w:tcPr>
          <w:p>
            <w:r>
              <w:t>Sopore</w:t>
            </w:r>
          </w:p>
        </w:tc>
        <w:tc>
          <w:tcPr>
            <w:tcW w:w="985" w:type="dxa"/>
          </w:tcPr>
          <w:p>
            <w:r>
              <w:t>Delicious</w:t>
            </w:r>
          </w:p>
        </w:tc>
        <w:tc>
          <w:tcPr>
            <w:tcW w:w="741" w:type="dxa"/>
          </w:tcPr>
          <w:p>
            <w:r>
              <w:t>A</w:t>
            </w:r>
          </w:p>
        </w:tc>
        <w:tc>
          <w:tcPr>
            <w:tcW w:w="525" w:type="dxa"/>
          </w:tcPr>
          <w:p>
            <w:r>
              <w:t>236</w:t>
            </w:r>
          </w:p>
        </w:tc>
        <w:tc>
          <w:tcPr>
            <w:tcW w:w="761" w:type="dxa"/>
          </w:tcPr>
          <w:p>
            <w:r>
              <w:t>−0.073</w:t>
            </w:r>
          </w:p>
        </w:tc>
        <w:tc>
          <w:tcPr>
            <w:tcW w:w="775" w:type="dxa"/>
          </w:tcPr>
          <w:p>
            <w:r>
              <w:t>0.017</w:t>
            </w:r>
          </w:p>
        </w:tc>
        <w:tc>
          <w:tcPr>
            <w:tcW w:w="699" w:type="dxa"/>
          </w:tcPr>
          <w:p>
            <w:r>
              <w:t>0.761</w:t>
            </w:r>
          </w:p>
        </w:tc>
        <w:tc>
          <w:tcPr>
            <w:tcW w:w="1016" w:type="dxa"/>
          </w:tcPr>
          <w:p>
            <w:r>
              <w:t>0.767</w:t>
            </w:r>
          </w:p>
        </w:tc>
        <w:tc>
          <w:tcPr>
            <w:tcW w:w="1016" w:type="dxa"/>
          </w:tcPr>
          <w:p>
            <w:r>
              <w:t>0.722</w:t>
            </w:r>
          </w:p>
        </w:tc>
        <w:tc>
          <w:tcPr>
            <w:tcW w:w="1016" w:type="dxa"/>
          </w:tcPr>
          <w:p>
            <w:r>
              <w:t>0.001</w:t>
            </w:r>
          </w:p>
        </w:tc>
        <w:tc>
          <w:tcPr>
            <w:tcW w:w="1016" w:type="dxa"/>
          </w:tcPr>
          <w:p>
            <w:r>
              <w:t>−0.001</w:t>
            </w:r>
          </w:p>
        </w:tc>
      </w:tr>
      <w:tr w:rsidR="005A31F4" w:rsidRPr="00463273" w14:paraId="7F1C147E" w14:textId="77777777" w:rsidTr="008C31EF">
        <w:trPr>
          <w:trHeight w:val="233"/>
        </w:trPr>
        <w:tc>
          <w:tcPr>
            <w:tcW w:w="994" w:type="dxa"/>
          </w:tcPr>
          <w:p>
            <w:r>
              <w:t>Sopore</w:t>
            </w:r>
          </w:p>
        </w:tc>
        <w:tc>
          <w:tcPr>
            <w:tcW w:w="985" w:type="dxa"/>
          </w:tcPr>
          <w:p>
            <w:r>
              <w:t>Delicious</w:t>
            </w:r>
          </w:p>
        </w:tc>
        <w:tc>
          <w:tcPr>
            <w:tcW w:w="741" w:type="dxa"/>
          </w:tcPr>
          <w:p>
            <w:r>
              <w:t>B</w:t>
            </w:r>
          </w:p>
        </w:tc>
        <w:tc>
          <w:tcPr>
            <w:tcW w:w="525" w:type="dxa"/>
          </w:tcPr>
          <w:p>
            <w:r>
              <w:t>236</w:t>
            </w:r>
          </w:p>
        </w:tc>
        <w:tc>
          <w:tcPr>
            <w:tcW w:w="761" w:type="dxa"/>
          </w:tcPr>
          <w:p>
            <w:r>
              <w:t>−0.052</w:t>
            </w:r>
          </w:p>
        </w:tc>
        <w:tc>
          <w:tcPr>
            <w:tcW w:w="775" w:type="dxa"/>
          </w:tcPr>
          <w:p>
            <w:r>
              <w:t>0.048</w:t>
            </w:r>
          </w:p>
        </w:tc>
        <w:tc>
          <w:tcPr>
            <w:tcW w:w="699" w:type="dxa"/>
          </w:tcPr>
          <w:p>
            <w:r>
              <w:t>0.388</w:t>
            </w:r>
          </w:p>
        </w:tc>
        <w:tc>
          <w:tcPr>
            <w:tcW w:w="1016" w:type="dxa"/>
          </w:tcPr>
          <w:p>
            <w:r>
              <w:t>0.796</w:t>
            </w:r>
          </w:p>
        </w:tc>
        <w:tc>
          <w:tcPr>
            <w:tcW w:w="1016" w:type="dxa"/>
          </w:tcPr>
          <w:p>
            <w:r>
              <w:t>0.836</w:t>
            </w:r>
          </w:p>
        </w:tc>
        <w:tc>
          <w:tcPr>
            <w:tcW w:w="1016" w:type="dxa"/>
          </w:tcPr>
          <w:p>
            <w:r>
              <w:t>0.001</w:t>
            </w:r>
          </w:p>
        </w:tc>
        <w:tc>
          <w:tcPr>
            <w:tcW w:w="1016" w:type="dxa"/>
          </w:tcPr>
          <w:p>
            <w:r>
              <w:t>−0.003</w:t>
            </w:r>
          </w:p>
        </w:tc>
      </w:tr>
    </w:tbl>
    <w:p w14:paraId="734B11F8" w14:textId="77777777" w:rsidR="005A31F4" w:rsidRPr="00463273" w:rsidRDefault="005A31F4" w:rsidP="005A31F4">
      <w:pPr>
        <w:spacing w:after="14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Note. HAC = Newey-West inference. SR θ NASCDI columns are HAC-corrected short-run coefficients from the first-difference layer of the NARDL (contemporaneous, lag 0). They are NOT the long-run β values from Table 5, though under the verified GDELT-lexicon NASCDI they are of comparable, not amplified, magnitude to those values (Section 5.6). ECT is HAC-significant at the 5% level in all eight equations, and at the 1% level in four of eight; Sopore-Delicious Grade B is the weakest (HAC p = 0.048).</w:t>
      </w:r>
    </w:p>
    <w:p w14:paraId="21FD3C06" w14:textId="77777777" w:rsidR="005A31F4" w:rsidRPr="000828E9" w:rsidRDefault="005A31F4" w:rsidP="005A31F4">
      <w:pPr>
        <w:spacing w:before="40" w:after="40"/>
      </w:pPr>
    </w:p>
    <w:p w14:paraId="0AF47F6F" w14:textId="77777777" w:rsidR="005A31F4" w:rsidRPr="000828E9" w:rsidRDefault="005A31F4" w:rsidP="005A31F4">
      <w:pPr>
        <w:spacing w:before="200" w:after="60"/>
      </w:pPr>
      <w:r>
        <w:rPr>
          <w:b/>
          <w:bCs/>
        </w:rPr>
        <w:t>Table A2. Extended residual diagnostics and cointegration checks.</w:t>
      </w:r>
    </w:p>
    <w:tbl>
      <w:tblPr>
        <w:tblStyle w:val="TableGrid"/>
        <w:tblW w:w="9800" w:type="dxa"/>
        <w:tblLook w:val="04A0" w:firstRow="1" w:lastRow="0" w:firstColumn="1" w:lastColumn="0" w:noHBand="0" w:noVBand="1"/>
      </w:tblPr>
      <w:tblGrid>
        <w:gridCol w:w="1150"/>
        <w:gridCol w:w="1135"/>
        <w:gridCol w:w="853"/>
        <w:gridCol w:w="868"/>
        <w:gridCol w:w="931"/>
        <w:gridCol w:w="922"/>
        <w:gridCol w:w="908"/>
        <w:gridCol w:w="982"/>
        <w:gridCol w:w="998"/>
        <w:gridCol w:w="1053"/>
      </w:tblGrid>
      <w:tr w:rsidR="005A31F4" w:rsidRPr="00463273" w14:paraId="5A8F8183" w14:textId="77777777" w:rsidTr="008C31EF">
        <w:trPr>
          <w:trHeight w:val="822"/>
        </w:trPr>
        <w:tc>
          <w:tcPr>
            <w:tcW w:w="1150" w:type="dxa"/>
          </w:tcPr>
          <w:p w14:paraId="60C98337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Producer market</w:t>
            </w:r>
          </w:p>
        </w:tc>
        <w:tc>
          <w:tcPr>
            <w:tcW w:w="1135" w:type="dxa"/>
          </w:tcPr>
          <w:p w14:paraId="2DBBB02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Variety</w:t>
            </w:r>
          </w:p>
        </w:tc>
        <w:tc>
          <w:tcPr>
            <w:tcW w:w="853" w:type="dxa"/>
          </w:tcPr>
          <w:p w14:paraId="14623DA3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Grade</w:t>
            </w:r>
          </w:p>
        </w:tc>
        <w:tc>
          <w:tcPr>
            <w:tcW w:w="868" w:type="dxa"/>
          </w:tcPr>
          <w:p w14:paraId="17E34BC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BG-LM p</w:t>
            </w:r>
          </w:p>
        </w:tc>
        <w:tc>
          <w:tcPr>
            <w:tcW w:w="931" w:type="dxa"/>
          </w:tcPr>
          <w:p w14:paraId="05DF595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Ljung-Box p</w:t>
            </w:r>
          </w:p>
        </w:tc>
        <w:tc>
          <w:tcPr>
            <w:tcW w:w="922" w:type="dxa"/>
          </w:tcPr>
          <w:p w14:paraId="6473AAC8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BP p</w:t>
            </w:r>
          </w:p>
        </w:tc>
        <w:tc>
          <w:tcPr>
            <w:tcW w:w="908" w:type="dxa"/>
          </w:tcPr>
          <w:p w14:paraId="446BB9B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White p</w:t>
            </w:r>
          </w:p>
        </w:tc>
        <w:tc>
          <w:tcPr>
            <w:tcW w:w="982" w:type="dxa"/>
          </w:tcPr>
          <w:p w14:paraId="73C13D88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ARCH-LM p</w:t>
            </w:r>
          </w:p>
        </w:tc>
        <w:tc>
          <w:tcPr>
            <w:tcW w:w="998" w:type="dxa"/>
          </w:tcPr>
          <w:p w14:paraId="57627B3F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RESET p</w:t>
            </w:r>
          </w:p>
        </w:tc>
        <w:tc>
          <w:tcPr>
            <w:tcW w:w="1053" w:type="dxa"/>
          </w:tcPr>
          <w:p w14:paraId="781F0F01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ADF residual p</w:t>
            </w:r>
          </w:p>
        </w:tc>
      </w:tr>
      <w:tr w:rsidR="005A31F4" w:rsidRPr="00463273" w14:paraId="2E6E33A1" w14:textId="77777777" w:rsidTr="008C31EF">
        <w:trPr>
          <w:trHeight w:val="274"/>
        </w:trPr>
        <w:tc>
          <w:tcPr>
            <w:tcW w:w="1150" w:type="dxa"/>
          </w:tcPr>
          <w:p w14:paraId="4E686B03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Shopian</w:t>
            </w:r>
          </w:p>
        </w:tc>
        <w:tc>
          <w:tcPr>
            <w:tcW w:w="1135" w:type="dxa"/>
          </w:tcPr>
          <w:p w14:paraId="16DE259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American</w:t>
            </w:r>
          </w:p>
        </w:tc>
        <w:tc>
          <w:tcPr>
            <w:tcW w:w="853" w:type="dxa"/>
          </w:tcPr>
          <w:p w14:paraId="6353C62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868" w:type="dxa"/>
          </w:tcPr>
          <w:p w14:paraId="1FE49809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0.004</w:t>
            </w:r>
          </w:p>
        </w:tc>
        <w:tc>
          <w:tcPr>
            <w:tcW w:w="931" w:type="dxa"/>
          </w:tcPr>
          <w:p w14:paraId="1FA96604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0.680</w:t>
            </w:r>
          </w:p>
        </w:tc>
        <w:tc>
          <w:tcPr>
            <w:tcW w:w="922" w:type="dxa"/>
          </w:tcPr>
          <w:p w14:paraId="40BB6BA3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0.035</w:t>
            </w:r>
          </w:p>
        </w:tc>
        <w:tc>
          <w:tcPr>
            <w:tcW w:w="908" w:type="dxa"/>
          </w:tcPr>
          <w:p w14:paraId="711D314A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0.445</w:t>
            </w:r>
          </w:p>
        </w:tc>
        <w:tc>
          <w:tcPr>
            <w:tcW w:w="982" w:type="dxa"/>
          </w:tcPr>
          <w:p w14:paraId="07F8E55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0.964</w:t>
            </w:r>
          </w:p>
        </w:tc>
        <w:tc>
          <w:tcPr>
            <w:tcW w:w="998" w:type="dxa"/>
          </w:tcPr>
          <w:p w14:paraId="7283CF76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0.011</w:t>
            </w:r>
          </w:p>
        </w:tc>
        <w:tc>
          <w:tcPr>
            <w:tcW w:w="1053" w:type="dxa"/>
          </w:tcPr>
          <w:p w14:paraId="45BAE84A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4.72e-08</w:t>
            </w:r>
          </w:p>
        </w:tc>
      </w:tr>
      <w:tr w:rsidR="005A31F4" w:rsidRPr="00463273" w14:paraId="7BDA9796" w14:textId="77777777" w:rsidTr="008C31EF">
        <w:trPr>
          <w:trHeight w:val="274"/>
        </w:trPr>
        <w:tc>
          <w:tcPr>
            <w:tcW w:w="1150" w:type="dxa"/>
          </w:tcPr>
          <w:p w14:paraId="54BF6BA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Shopian</w:t>
            </w:r>
          </w:p>
        </w:tc>
        <w:tc>
          <w:tcPr>
            <w:tcW w:w="1135" w:type="dxa"/>
          </w:tcPr>
          <w:p w14:paraId="4E928A9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American</w:t>
            </w:r>
          </w:p>
        </w:tc>
        <w:tc>
          <w:tcPr>
            <w:tcW w:w="853" w:type="dxa"/>
          </w:tcPr>
          <w:p w14:paraId="66DA916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868" w:type="dxa"/>
          </w:tcPr>
          <w:p w14:paraId="6A09D7A4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0.002</w:t>
            </w:r>
          </w:p>
        </w:tc>
        <w:tc>
          <w:tcPr>
            <w:tcW w:w="931" w:type="dxa"/>
          </w:tcPr>
          <w:p w14:paraId="16A28EA4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0.861</w:t>
            </w:r>
          </w:p>
        </w:tc>
        <w:tc>
          <w:tcPr>
            <w:tcW w:w="922" w:type="dxa"/>
          </w:tcPr>
          <w:p w14:paraId="7546D7CE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0.011</w:t>
            </w:r>
          </w:p>
        </w:tc>
        <w:tc>
          <w:tcPr>
            <w:tcW w:w="908" w:type="dxa"/>
          </w:tcPr>
          <w:p w14:paraId="39D1FCD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0.445</w:t>
            </w:r>
          </w:p>
        </w:tc>
        <w:tc>
          <w:tcPr>
            <w:tcW w:w="982" w:type="dxa"/>
          </w:tcPr>
          <w:p w14:paraId="47DC7E8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0.953</w:t>
            </w:r>
          </w:p>
        </w:tc>
        <w:tc>
          <w:tcPr>
            <w:tcW w:w="998" w:type="dxa"/>
          </w:tcPr>
          <w:p w14:paraId="70EE8EA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0.059</w:t>
            </w:r>
          </w:p>
        </w:tc>
        <w:tc>
          <w:tcPr>
            <w:tcW w:w="1053" w:type="dxa"/>
          </w:tcPr>
          <w:p w14:paraId="0AE4854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2.73e-14</w:t>
            </w:r>
          </w:p>
        </w:tc>
      </w:tr>
      <w:tr w:rsidR="005A31F4" w:rsidRPr="00463273" w14:paraId="154A03AE" w14:textId="77777777" w:rsidTr="008C31EF">
        <w:trPr>
          <w:trHeight w:val="274"/>
        </w:trPr>
        <w:tc>
          <w:tcPr>
            <w:tcW w:w="1150" w:type="dxa"/>
          </w:tcPr>
          <w:p w14:paraId="0BF653A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Shopian</w:t>
            </w:r>
          </w:p>
        </w:tc>
        <w:tc>
          <w:tcPr>
            <w:tcW w:w="1135" w:type="dxa"/>
          </w:tcPr>
          <w:p w14:paraId="03F4C2D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Delicious</w:t>
            </w:r>
          </w:p>
        </w:tc>
        <w:tc>
          <w:tcPr>
            <w:tcW w:w="853" w:type="dxa"/>
          </w:tcPr>
          <w:p w14:paraId="5FE3149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868" w:type="dxa"/>
          </w:tcPr>
          <w:p w14:paraId="2599829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0.693</w:t>
            </w:r>
          </w:p>
        </w:tc>
        <w:tc>
          <w:tcPr>
            <w:tcW w:w="931" w:type="dxa"/>
          </w:tcPr>
          <w:p w14:paraId="0D342C0F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0.848</w:t>
            </w:r>
          </w:p>
        </w:tc>
        <w:tc>
          <w:tcPr>
            <w:tcW w:w="922" w:type="dxa"/>
          </w:tcPr>
          <w:p w14:paraId="258AF452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0.047</w:t>
            </w:r>
          </w:p>
        </w:tc>
        <w:tc>
          <w:tcPr>
            <w:tcW w:w="908" w:type="dxa"/>
          </w:tcPr>
          <w:p w14:paraId="5ECBC27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0.402</w:t>
            </w:r>
          </w:p>
        </w:tc>
        <w:tc>
          <w:tcPr>
            <w:tcW w:w="982" w:type="dxa"/>
          </w:tcPr>
          <w:p w14:paraId="49EFE61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0.997</w:t>
            </w:r>
          </w:p>
        </w:tc>
        <w:tc>
          <w:tcPr>
            <w:tcW w:w="998" w:type="dxa"/>
          </w:tcPr>
          <w:p w14:paraId="135A9CD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0.082</w:t>
            </w:r>
          </w:p>
        </w:tc>
        <w:tc>
          <w:tcPr>
            <w:tcW w:w="1053" w:type="dxa"/>
          </w:tcPr>
          <w:p w14:paraId="163F4BC2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2.28e-18</w:t>
            </w:r>
          </w:p>
        </w:tc>
      </w:tr>
      <w:tr w:rsidR="005A31F4" w:rsidRPr="00463273" w14:paraId="73A03884" w14:textId="77777777" w:rsidTr="008C31EF">
        <w:trPr>
          <w:trHeight w:val="274"/>
        </w:trPr>
        <w:tc>
          <w:tcPr>
            <w:tcW w:w="1150" w:type="dxa"/>
          </w:tcPr>
          <w:p w14:paraId="537BF883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Shopian</w:t>
            </w:r>
          </w:p>
        </w:tc>
        <w:tc>
          <w:tcPr>
            <w:tcW w:w="1135" w:type="dxa"/>
          </w:tcPr>
          <w:p w14:paraId="55F98C4F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Delicious</w:t>
            </w:r>
          </w:p>
        </w:tc>
        <w:tc>
          <w:tcPr>
            <w:tcW w:w="853" w:type="dxa"/>
          </w:tcPr>
          <w:p w14:paraId="6188A0E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868" w:type="dxa"/>
          </w:tcPr>
          <w:p w14:paraId="519238A1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0.485</w:t>
            </w:r>
          </w:p>
        </w:tc>
        <w:tc>
          <w:tcPr>
            <w:tcW w:w="931" w:type="dxa"/>
          </w:tcPr>
          <w:p w14:paraId="7193497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0.906</w:t>
            </w:r>
          </w:p>
        </w:tc>
        <w:tc>
          <w:tcPr>
            <w:tcW w:w="922" w:type="dxa"/>
          </w:tcPr>
          <w:p w14:paraId="3A770173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  <w:tc>
          <w:tcPr>
            <w:tcW w:w="908" w:type="dxa"/>
          </w:tcPr>
          <w:p w14:paraId="027F65B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0.376</w:t>
            </w:r>
          </w:p>
        </w:tc>
        <w:tc>
          <w:tcPr>
            <w:tcW w:w="982" w:type="dxa"/>
          </w:tcPr>
          <w:p w14:paraId="6C6E7F5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0.764</w:t>
            </w:r>
          </w:p>
        </w:tc>
        <w:tc>
          <w:tcPr>
            <w:tcW w:w="998" w:type="dxa"/>
          </w:tcPr>
          <w:p w14:paraId="66170BB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  <w:tc>
          <w:tcPr>
            <w:tcW w:w="1053" w:type="dxa"/>
          </w:tcPr>
          <w:p w14:paraId="1D2A1CD1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5.76e-18</w:t>
            </w:r>
          </w:p>
        </w:tc>
      </w:tr>
      <w:tr w:rsidR="005A31F4" w:rsidRPr="00463273" w14:paraId="13EEA5AC" w14:textId="77777777" w:rsidTr="008C31EF">
        <w:trPr>
          <w:trHeight w:val="274"/>
        </w:trPr>
        <w:tc>
          <w:tcPr>
            <w:tcW w:w="1150" w:type="dxa"/>
          </w:tcPr>
          <w:p w14:paraId="64A521C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Sopore</w:t>
            </w:r>
          </w:p>
        </w:tc>
        <w:tc>
          <w:tcPr>
            <w:tcW w:w="1135" w:type="dxa"/>
          </w:tcPr>
          <w:p w14:paraId="2E0EAD6F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American</w:t>
            </w:r>
          </w:p>
        </w:tc>
        <w:tc>
          <w:tcPr>
            <w:tcW w:w="853" w:type="dxa"/>
          </w:tcPr>
          <w:p w14:paraId="04204DC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868" w:type="dxa"/>
          </w:tcPr>
          <w:p w14:paraId="66536AB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0.447</w:t>
            </w:r>
          </w:p>
        </w:tc>
        <w:tc>
          <w:tcPr>
            <w:tcW w:w="931" w:type="dxa"/>
          </w:tcPr>
          <w:p w14:paraId="293279A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0.651</w:t>
            </w:r>
          </w:p>
        </w:tc>
        <w:tc>
          <w:tcPr>
            <w:tcW w:w="922" w:type="dxa"/>
          </w:tcPr>
          <w:p w14:paraId="1072B15A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0.341</w:t>
            </w:r>
          </w:p>
        </w:tc>
        <w:tc>
          <w:tcPr>
            <w:tcW w:w="908" w:type="dxa"/>
          </w:tcPr>
          <w:p w14:paraId="1B0A727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0.427</w:t>
            </w:r>
          </w:p>
        </w:tc>
        <w:tc>
          <w:tcPr>
            <w:tcW w:w="982" w:type="dxa"/>
          </w:tcPr>
          <w:p w14:paraId="7AD5C526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0.614</w:t>
            </w:r>
          </w:p>
        </w:tc>
        <w:tc>
          <w:tcPr>
            <w:tcW w:w="998" w:type="dxa"/>
          </w:tcPr>
          <w:p w14:paraId="75F92A0E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0.004</w:t>
            </w:r>
          </w:p>
        </w:tc>
        <w:tc>
          <w:tcPr>
            <w:tcW w:w="1053" w:type="dxa"/>
          </w:tcPr>
          <w:p w14:paraId="72CF409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2.38e-26</w:t>
            </w:r>
          </w:p>
        </w:tc>
      </w:tr>
      <w:tr w:rsidR="005A31F4" w:rsidRPr="00463273" w14:paraId="0D33137F" w14:textId="77777777" w:rsidTr="008C31EF">
        <w:trPr>
          <w:trHeight w:val="274"/>
        </w:trPr>
        <w:tc>
          <w:tcPr>
            <w:tcW w:w="1150" w:type="dxa"/>
          </w:tcPr>
          <w:p w14:paraId="45567AD8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Sopore</w:t>
            </w:r>
          </w:p>
        </w:tc>
        <w:tc>
          <w:tcPr>
            <w:tcW w:w="1135" w:type="dxa"/>
          </w:tcPr>
          <w:p w14:paraId="21B395A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American</w:t>
            </w:r>
          </w:p>
        </w:tc>
        <w:tc>
          <w:tcPr>
            <w:tcW w:w="853" w:type="dxa"/>
          </w:tcPr>
          <w:p w14:paraId="017FD6D9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868" w:type="dxa"/>
          </w:tcPr>
          <w:p w14:paraId="2061ED6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0.095</w:t>
            </w:r>
          </w:p>
        </w:tc>
        <w:tc>
          <w:tcPr>
            <w:tcW w:w="931" w:type="dxa"/>
          </w:tcPr>
          <w:p w14:paraId="67DCF5C3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0.460</w:t>
            </w:r>
          </w:p>
        </w:tc>
        <w:tc>
          <w:tcPr>
            <w:tcW w:w="922" w:type="dxa"/>
          </w:tcPr>
          <w:p w14:paraId="22CD166A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0.936</w:t>
            </w:r>
          </w:p>
        </w:tc>
        <w:tc>
          <w:tcPr>
            <w:tcW w:w="908" w:type="dxa"/>
          </w:tcPr>
          <w:p w14:paraId="30E1B72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0.313</w:t>
            </w:r>
          </w:p>
        </w:tc>
        <w:tc>
          <w:tcPr>
            <w:tcW w:w="982" w:type="dxa"/>
          </w:tcPr>
          <w:p w14:paraId="5E3B1F9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0.299</w:t>
            </w:r>
          </w:p>
        </w:tc>
        <w:tc>
          <w:tcPr>
            <w:tcW w:w="998" w:type="dxa"/>
          </w:tcPr>
          <w:p w14:paraId="1D36C875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0.002</w:t>
            </w:r>
          </w:p>
        </w:tc>
        <w:tc>
          <w:tcPr>
            <w:tcW w:w="1053" w:type="dxa"/>
          </w:tcPr>
          <w:p w14:paraId="59B4EE9E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2.17e-26</w:t>
            </w:r>
          </w:p>
        </w:tc>
      </w:tr>
      <w:tr w:rsidR="005A31F4" w:rsidRPr="00463273" w14:paraId="51029DFE" w14:textId="77777777" w:rsidTr="008C31EF">
        <w:trPr>
          <w:trHeight w:val="261"/>
        </w:trPr>
        <w:tc>
          <w:tcPr>
            <w:tcW w:w="1150" w:type="dxa"/>
          </w:tcPr>
          <w:p w14:paraId="7B7F986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Sopore</w:t>
            </w:r>
          </w:p>
        </w:tc>
        <w:tc>
          <w:tcPr>
            <w:tcW w:w="1135" w:type="dxa"/>
          </w:tcPr>
          <w:p w14:paraId="6907444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Delicious</w:t>
            </w:r>
          </w:p>
        </w:tc>
        <w:tc>
          <w:tcPr>
            <w:tcW w:w="853" w:type="dxa"/>
          </w:tcPr>
          <w:p w14:paraId="56D3E229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868" w:type="dxa"/>
          </w:tcPr>
          <w:p w14:paraId="199834D6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0.843</w:t>
            </w:r>
          </w:p>
        </w:tc>
        <w:tc>
          <w:tcPr>
            <w:tcW w:w="931" w:type="dxa"/>
          </w:tcPr>
          <w:p w14:paraId="7F2FA578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0.999</w:t>
            </w:r>
          </w:p>
        </w:tc>
        <w:tc>
          <w:tcPr>
            <w:tcW w:w="922" w:type="dxa"/>
          </w:tcPr>
          <w:p w14:paraId="61EBE17B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0.035</w:t>
            </w:r>
          </w:p>
        </w:tc>
        <w:tc>
          <w:tcPr>
            <w:tcW w:w="908" w:type="dxa"/>
          </w:tcPr>
          <w:p w14:paraId="3136135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0.433</w:t>
            </w:r>
          </w:p>
        </w:tc>
        <w:tc>
          <w:tcPr>
            <w:tcW w:w="982" w:type="dxa"/>
          </w:tcPr>
          <w:p w14:paraId="028F9F8F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  <w:tc>
          <w:tcPr>
            <w:tcW w:w="998" w:type="dxa"/>
          </w:tcPr>
          <w:p w14:paraId="5AE8ECF7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  <w:tc>
          <w:tcPr>
            <w:tcW w:w="1053" w:type="dxa"/>
          </w:tcPr>
          <w:p w14:paraId="34D7AC88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4.22e-28</w:t>
            </w:r>
          </w:p>
        </w:tc>
      </w:tr>
      <w:tr w:rsidR="005A31F4" w:rsidRPr="00463273" w14:paraId="0129A07D" w14:textId="77777777" w:rsidTr="008C31EF">
        <w:trPr>
          <w:trHeight w:val="274"/>
        </w:trPr>
        <w:tc>
          <w:tcPr>
            <w:tcW w:w="1150" w:type="dxa"/>
          </w:tcPr>
          <w:p w14:paraId="6C740924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Sopore</w:t>
            </w:r>
          </w:p>
        </w:tc>
        <w:tc>
          <w:tcPr>
            <w:tcW w:w="1135" w:type="dxa"/>
          </w:tcPr>
          <w:p w14:paraId="3A8F8B3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Delicious</w:t>
            </w:r>
          </w:p>
        </w:tc>
        <w:tc>
          <w:tcPr>
            <w:tcW w:w="853" w:type="dxa"/>
          </w:tcPr>
          <w:p w14:paraId="2FDB7380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868" w:type="dxa"/>
          </w:tcPr>
          <w:p w14:paraId="10EABEC8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0.709</w:t>
            </w:r>
          </w:p>
        </w:tc>
        <w:tc>
          <w:tcPr>
            <w:tcW w:w="931" w:type="dxa"/>
          </w:tcPr>
          <w:p w14:paraId="18A5CADC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0.777</w:t>
            </w:r>
          </w:p>
        </w:tc>
        <w:tc>
          <w:tcPr>
            <w:tcW w:w="922" w:type="dxa"/>
          </w:tcPr>
          <w:p w14:paraId="2B642959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0.879</w:t>
            </w:r>
          </w:p>
        </w:tc>
        <w:tc>
          <w:tcPr>
            <w:tcW w:w="908" w:type="dxa"/>
          </w:tcPr>
          <w:p w14:paraId="3C93037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0.415</w:t>
            </w:r>
          </w:p>
        </w:tc>
        <w:tc>
          <w:tcPr>
            <w:tcW w:w="982" w:type="dxa"/>
          </w:tcPr>
          <w:p w14:paraId="6EF9A92D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0.999</w:t>
            </w:r>
          </w:p>
        </w:tc>
        <w:tc>
          <w:tcPr>
            <w:tcW w:w="998" w:type="dxa"/>
          </w:tcPr>
          <w:p w14:paraId="7ADC0A39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0.166</w:t>
            </w:r>
          </w:p>
        </w:tc>
        <w:tc>
          <w:tcPr>
            <w:tcW w:w="1053" w:type="dxa"/>
          </w:tcPr>
          <w:p w14:paraId="668115AE" w14:textId="77777777" w:rsidR="005A31F4" w:rsidRPr="00463273" w:rsidRDefault="005A31F4" w:rsidP="008C31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4.33e-28</w:t>
            </w:r>
          </w:p>
        </w:tc>
      </w:tr>
    </w:tbl>
    <w:p w14:paraId="34FE7A95" w14:textId="77777777" w:rsidR="005A31F4" w:rsidRPr="00463273" w:rsidRDefault="005A31F4" w:rsidP="005A31F4">
      <w:pPr>
        <w:spacing w:after="14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Note. BG-LM: Breusch-Godfrey LM test; White: White heteroskedasticity test; ARCH-LM: autoregressive conditional heteroskedasticity test; RESET: Ramsey specification test. ADF residual p &lt; 0.05 confirms Engle-Granger cointegration (Engle and Granger, 1987).</w:t>
      </w:r>
    </w:p>
    <w:p w14:paraId="21B16F30" w14:textId="77777777" w:rsidR="005A31F4" w:rsidRPr="000828E9" w:rsidRDefault="005A31F4" w:rsidP="005A31F4">
      <w:pPr>
        <w:spacing w:before="40" w:after="40"/>
      </w:pPr>
    </w:p>
    <w:p w14:paraId="2F03473D" w14:textId="77777777" w:rsidR="005A31F4" w:rsidRPr="000828E9" w:rsidRDefault="005A31F4" w:rsidP="005A31F4">
      <w:pPr>
        <w:spacing w:before="40" w:after="40"/>
      </w:pPr>
    </w:p>
    <w:p w14:paraId="2BD0B33C" w14:textId="77777777" w:rsidR="005A31F4" w:rsidRPr="000828E9" w:rsidRDefault="005A31F4" w:rsidP="005A31F4">
      <w:pPr>
        <w:spacing w:before="40" w:after="40"/>
      </w:pPr>
    </w:p>
    <w:p w14:paraId="0078CC3F" w14:textId="77777777" w:rsidR="005A31F4" w:rsidRPr="000828E9" w:rsidRDefault="005A31F4" w:rsidP="005A31F4">
      <w:pPr>
        <w:spacing w:before="40" w:after="40"/>
      </w:pPr>
    </w:p>
    <w:p w14:paraId="354034A3" w14:textId="77777777" w:rsidR="005A31F4" w:rsidRPr="000828E9" w:rsidRDefault="005A31F4" w:rsidP="005A31F4">
      <w:pPr>
        <w:spacing w:before="40" w:after="40"/>
      </w:pPr>
    </w:p>
    <w:p w14:paraId="7B3025B2" w14:textId="77777777" w:rsidR="005A31F4" w:rsidRPr="000828E9" w:rsidRDefault="005A31F4" w:rsidP="005A31F4">
      <w:pPr>
        <w:spacing w:before="40" w:after="40"/>
      </w:pPr>
    </w:p>
    <w:p w14:paraId="01230E83" w14:textId="77777777" w:rsidR="005A31F4" w:rsidRPr="000828E9" w:rsidRDefault="005A31F4" w:rsidP="005A31F4">
      <w:pPr>
        <w:spacing w:before="200" w:after="60"/>
      </w:pPr>
      <w:r>
        <w:rPr>
          <w:b/>
          <w:bCs/>
        </w:rPr>
        <w:lastRenderedPageBreak/>
        <w:t>Table A3. CUSUM and CUSUMSQ structural stability summary.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285"/>
        <w:gridCol w:w="1201"/>
        <w:gridCol w:w="913"/>
        <w:gridCol w:w="1006"/>
        <w:gridCol w:w="1150"/>
        <w:gridCol w:w="1150"/>
        <w:gridCol w:w="1217"/>
        <w:gridCol w:w="1438"/>
      </w:tblGrid>
      <w:tr w:rsidR="005A31F4" w:rsidRPr="00463273" w14:paraId="4CF425A8" w14:textId="77777777" w:rsidTr="008C31EF">
        <w:tc>
          <w:tcPr>
            <w:tcW w:w="1350" w:type="dxa"/>
          </w:tcPr>
          <w:p w14:paraId="38F059F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Producer market</w:t>
            </w:r>
          </w:p>
        </w:tc>
        <w:tc>
          <w:tcPr>
            <w:tcW w:w="1250" w:type="dxa"/>
          </w:tcPr>
          <w:p w14:paraId="77B8DA5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Variety</w:t>
            </w:r>
          </w:p>
        </w:tc>
        <w:tc>
          <w:tcPr>
            <w:tcW w:w="950" w:type="dxa"/>
          </w:tcPr>
          <w:p w14:paraId="099CE69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100" w:type="dxa"/>
          </w:tcPr>
          <w:p w14:paraId="6347F91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after lags</w:t>
            </w:r>
          </w:p>
        </w:tc>
        <w:tc>
          <w:tcPr>
            <w:tcW w:w="1200" w:type="dxa"/>
          </w:tcPr>
          <w:p w14:paraId="5B2AC77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CUSUM stat</w:t>
            </w:r>
          </w:p>
        </w:tc>
        <w:tc>
          <w:tcPr>
            <w:tcW w:w="1200" w:type="dxa"/>
          </w:tcPr>
          <w:p w14:paraId="1332BBE2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CUSUM p</w:t>
            </w:r>
          </w:p>
        </w:tc>
        <w:tc>
          <w:tcPr>
            <w:tcW w:w="1200" w:type="dxa"/>
          </w:tcPr>
          <w:p w14:paraId="1C5E818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CUSUMSQ breach</w:t>
            </w:r>
          </w:p>
        </w:tc>
        <w:tc>
          <w:tcPr>
            <w:tcW w:w="1110" w:type="dxa"/>
          </w:tcPr>
          <w:p w14:paraId="709CDDC1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Interpretation</w:t>
            </w:r>
          </w:p>
        </w:tc>
      </w:tr>
      <w:tr w:rsidR="005A31F4" w:rsidRPr="00463273" w14:paraId="7B8A3154" w14:textId="77777777" w:rsidTr="008C31EF">
        <w:tc>
          <w:tcPr>
            <w:tcW w:w="1350" w:type="dxa"/>
          </w:tcPr>
          <w:p w14:paraId="4D55714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50" w:type="dxa"/>
          </w:tcPr>
          <w:p w14:paraId="61E7831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950" w:type="dxa"/>
          </w:tcPr>
          <w:p w14:paraId="099BE79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100" w:type="dxa"/>
          </w:tcPr>
          <w:p w14:paraId="3D10391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00" w:type="dxa"/>
          </w:tcPr>
          <w:p w14:paraId="326BDC4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0.454</w:t>
            </w:r>
          </w:p>
        </w:tc>
        <w:tc>
          <w:tcPr>
            <w:tcW w:w="1200" w:type="dxa"/>
          </w:tcPr>
          <w:p w14:paraId="6EEEB2A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0.986</w:t>
            </w:r>
          </w:p>
        </w:tc>
        <w:tc>
          <w:tcPr>
            <w:tcW w:w="1200" w:type="dxa"/>
          </w:tcPr>
          <w:p w14:paraId="5649DF6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6B0D628A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70989C88" w14:textId="77777777" w:rsidTr="008C31EF">
        <w:tc>
          <w:tcPr>
            <w:tcW w:w="1350" w:type="dxa"/>
          </w:tcPr>
          <w:p w14:paraId="7F93649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50" w:type="dxa"/>
          </w:tcPr>
          <w:p w14:paraId="5487DA0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950" w:type="dxa"/>
          </w:tcPr>
          <w:p w14:paraId="7AC486F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100" w:type="dxa"/>
          </w:tcPr>
          <w:p w14:paraId="607AFA6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00" w:type="dxa"/>
          </w:tcPr>
          <w:p w14:paraId="68E4929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0.415</w:t>
            </w:r>
          </w:p>
        </w:tc>
        <w:tc>
          <w:tcPr>
            <w:tcW w:w="1200" w:type="dxa"/>
          </w:tcPr>
          <w:p w14:paraId="23D8708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0.995</w:t>
            </w:r>
          </w:p>
        </w:tc>
        <w:tc>
          <w:tcPr>
            <w:tcW w:w="1200" w:type="dxa"/>
          </w:tcPr>
          <w:p w14:paraId="4162352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6F9CE20A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5BA0AD5F" w14:textId="77777777" w:rsidTr="008C31EF">
        <w:tc>
          <w:tcPr>
            <w:tcW w:w="1350" w:type="dxa"/>
          </w:tcPr>
          <w:p w14:paraId="29B9F3D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50" w:type="dxa"/>
          </w:tcPr>
          <w:p w14:paraId="5DCC17E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950" w:type="dxa"/>
          </w:tcPr>
          <w:p w14:paraId="79BDFDD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100" w:type="dxa"/>
          </w:tcPr>
          <w:p w14:paraId="08C003C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</w:tcPr>
          <w:p w14:paraId="495E186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0.503</w:t>
            </w:r>
          </w:p>
        </w:tc>
        <w:tc>
          <w:tcPr>
            <w:tcW w:w="1200" w:type="dxa"/>
          </w:tcPr>
          <w:p w14:paraId="39DAEDD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0.962</w:t>
            </w:r>
          </w:p>
        </w:tc>
        <w:tc>
          <w:tcPr>
            <w:tcW w:w="1200" w:type="dxa"/>
          </w:tcPr>
          <w:p w14:paraId="1EE3942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1BB72204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412AFF58" w14:textId="77777777" w:rsidTr="008C31EF">
        <w:tc>
          <w:tcPr>
            <w:tcW w:w="1350" w:type="dxa"/>
          </w:tcPr>
          <w:p w14:paraId="3E27FF0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50" w:type="dxa"/>
          </w:tcPr>
          <w:p w14:paraId="1F6EE65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950" w:type="dxa"/>
          </w:tcPr>
          <w:p w14:paraId="7C875FA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100" w:type="dxa"/>
          </w:tcPr>
          <w:p w14:paraId="706EB2B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</w:tcPr>
          <w:p w14:paraId="61CBC15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0.479</w:t>
            </w:r>
          </w:p>
        </w:tc>
        <w:tc>
          <w:tcPr>
            <w:tcW w:w="1200" w:type="dxa"/>
          </w:tcPr>
          <w:p w14:paraId="60C622B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0.976</w:t>
            </w:r>
          </w:p>
        </w:tc>
        <w:tc>
          <w:tcPr>
            <w:tcW w:w="1200" w:type="dxa"/>
          </w:tcPr>
          <w:p w14:paraId="2C2EB214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16727CD0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5B3B60B5" w14:textId="77777777" w:rsidTr="008C31EF">
        <w:tc>
          <w:tcPr>
            <w:tcW w:w="1350" w:type="dxa"/>
          </w:tcPr>
          <w:p w14:paraId="2992AD42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50" w:type="dxa"/>
          </w:tcPr>
          <w:p w14:paraId="7B0D921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950" w:type="dxa"/>
          </w:tcPr>
          <w:p w14:paraId="52AA89B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100" w:type="dxa"/>
          </w:tcPr>
          <w:p w14:paraId="737334E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</w:tcPr>
          <w:p w14:paraId="25C298C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0.677</w:t>
            </w:r>
          </w:p>
        </w:tc>
        <w:tc>
          <w:tcPr>
            <w:tcW w:w="1200" w:type="dxa"/>
          </w:tcPr>
          <w:p w14:paraId="356BF01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0.749</w:t>
            </w:r>
          </w:p>
        </w:tc>
        <w:tc>
          <w:tcPr>
            <w:tcW w:w="1200" w:type="dxa"/>
          </w:tcPr>
          <w:p w14:paraId="08E7A95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3A57F413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75D9FDA8" w14:textId="77777777" w:rsidTr="008C31EF">
        <w:tc>
          <w:tcPr>
            <w:tcW w:w="1350" w:type="dxa"/>
          </w:tcPr>
          <w:p w14:paraId="0FF9D78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50" w:type="dxa"/>
          </w:tcPr>
          <w:p w14:paraId="7ECCF182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950" w:type="dxa"/>
          </w:tcPr>
          <w:p w14:paraId="175A084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100" w:type="dxa"/>
          </w:tcPr>
          <w:p w14:paraId="73FC75F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</w:tcPr>
          <w:p w14:paraId="37466D5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0.579</w:t>
            </w:r>
          </w:p>
        </w:tc>
        <w:tc>
          <w:tcPr>
            <w:tcW w:w="1200" w:type="dxa"/>
          </w:tcPr>
          <w:p w14:paraId="23DD1F3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0.891</w:t>
            </w:r>
          </w:p>
        </w:tc>
        <w:tc>
          <w:tcPr>
            <w:tcW w:w="1200" w:type="dxa"/>
          </w:tcPr>
          <w:p w14:paraId="750413F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387EDC66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47929CF7" w14:textId="77777777" w:rsidTr="008C31EF">
        <w:tc>
          <w:tcPr>
            <w:tcW w:w="1350" w:type="dxa"/>
          </w:tcPr>
          <w:p w14:paraId="46E5169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50" w:type="dxa"/>
          </w:tcPr>
          <w:p w14:paraId="5DA12CD2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950" w:type="dxa"/>
          </w:tcPr>
          <w:p w14:paraId="0B415F71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100" w:type="dxa"/>
          </w:tcPr>
          <w:p w14:paraId="65F71BC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00" w:type="dxa"/>
          </w:tcPr>
          <w:p w14:paraId="53F1CE8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0.585</w:t>
            </w:r>
          </w:p>
        </w:tc>
        <w:tc>
          <w:tcPr>
            <w:tcW w:w="1200" w:type="dxa"/>
          </w:tcPr>
          <w:p w14:paraId="7E8CE91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0.884</w:t>
            </w:r>
          </w:p>
        </w:tc>
        <w:tc>
          <w:tcPr>
            <w:tcW w:w="1200" w:type="dxa"/>
          </w:tcPr>
          <w:p w14:paraId="7ED6B4E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0DE5E519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  <w:tr w:rsidR="005A31F4" w:rsidRPr="00463273" w14:paraId="67ABCFA9" w14:textId="77777777" w:rsidTr="008C31EF">
        <w:tc>
          <w:tcPr>
            <w:tcW w:w="1350" w:type="dxa"/>
          </w:tcPr>
          <w:p w14:paraId="5E9C820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50" w:type="dxa"/>
          </w:tcPr>
          <w:p w14:paraId="353424C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950" w:type="dxa"/>
          </w:tcPr>
          <w:p w14:paraId="2C73938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100" w:type="dxa"/>
          </w:tcPr>
          <w:p w14:paraId="68F056F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00" w:type="dxa"/>
          </w:tcPr>
          <w:p w14:paraId="6745649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0.621</w:t>
            </w:r>
          </w:p>
        </w:tc>
        <w:tc>
          <w:tcPr>
            <w:tcW w:w="1200" w:type="dxa"/>
          </w:tcPr>
          <w:p w14:paraId="6C32239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0.836</w:t>
            </w:r>
          </w:p>
        </w:tc>
        <w:tc>
          <w:tcPr>
            <w:tcW w:w="1200" w:type="dxa"/>
          </w:tcPr>
          <w:p w14:paraId="5A8D47E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10" w:type="dxa"/>
          </w:tcPr>
          <w:p w14:paraId="790C4B25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stable; variance shifts</w:t>
            </w:r>
          </w:p>
        </w:tc>
      </w:tr>
    </w:tbl>
    <w:p w14:paraId="454A8519" w14:textId="77777777" w:rsidR="005A31F4" w:rsidRPr="00463273" w:rsidRDefault="005A31F4" w:rsidP="005A31F4">
      <w:pPr>
        <w:spacing w:after="14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Note. CUSUM stability (p &gt; 0.05 in all equations) confirms mean parameter estimates are structurally stable throughout the sample. CUSUMSQ breach in all equations indicates time-varying residual variance; Table A5 reports a BIC-based mean-shift screen on the weekly NASCDI series as a modest, exploratory characterisation of this instability, not a validated Bai-Perron multiple-break test (</w:t>
      </w:r>
      <w:proofErr w:type="spellStart"/>
      <w:r>
        <w:rPr>
          <w:i/>
          <w:iCs/>
          <w:sz w:val="22"/>
          <w:szCs w:val="22"/>
        </w:rPr>
        <w:t>Brümmer</w:t>
      </w:r>
      <w:proofErr w:type="spellEnd"/>
      <w:r>
        <w:rPr>
          <w:i/>
          <w:iCs/>
          <w:sz w:val="22"/>
          <w:szCs w:val="22"/>
        </w:rPr>
        <w:t xml:space="preserve"> et al., 2009; </w:t>
      </w:r>
      <w:proofErr w:type="spellStart"/>
      <w:r>
        <w:rPr>
          <w:i/>
          <w:iCs/>
          <w:sz w:val="22"/>
          <w:szCs w:val="22"/>
        </w:rPr>
        <w:t>Chitete</w:t>
      </w:r>
      <w:proofErr w:type="spellEnd"/>
      <w:r>
        <w:rPr>
          <w:i/>
          <w:iCs/>
          <w:sz w:val="22"/>
          <w:szCs w:val="22"/>
        </w:rPr>
        <w:t xml:space="preserve"> et al., 2025).</w:t>
      </w:r>
    </w:p>
    <w:p w14:paraId="56E0EFD7" w14:textId="77777777" w:rsidR="005A31F4" w:rsidRPr="000828E9" w:rsidRDefault="005A31F4" w:rsidP="005A31F4">
      <w:pPr>
        <w:spacing w:before="40" w:after="40"/>
      </w:pPr>
    </w:p>
    <w:p w14:paraId="0E5DEA31" w14:textId="77777777" w:rsidR="005A31F4" w:rsidRPr="00D260CD" w:rsidRDefault="005A31F4" w:rsidP="005A31F4">
      <w:pPr>
        <w:spacing w:before="60" w:after="140"/>
        <w:jc w:val="both"/>
        <w:rPr>
          <w:sz w:val="22"/>
          <w:szCs w:val="22"/>
        </w:rPr>
      </w:pPr>
      <w:r>
        <w:rPr>
          <w:sz w:val="22"/>
          <w:szCs w:val="22"/>
        </w:rPr>
        <w:t>A delta-method OLS-versus-HAC long-run reconciliation table is omitted from this revision: as noted in Section 5.6, no chain in the GDELT GKG-based specification has an ECT small enough relative to its short-run θ coefficients to produce the large OLS/HAC divergence that motivated this table in the earlier event-calendar-based draft, so the comparison is no longer informative.</w:t>
      </w:r>
    </w:p>
    <w:p w14:paraId="43EE2088" w14:textId="77777777" w:rsidR="005A31F4" w:rsidRDefault="005A31F4" w:rsidP="005A31F4">
      <w:pPr>
        <w:spacing w:before="200" w:after="60"/>
        <w:rPr>
          <w:b/>
          <w:bCs/>
        </w:rPr>
      </w:pPr>
    </w:p>
    <w:p w14:paraId="2162ED3B" w14:textId="77777777" w:rsidR="005A31F4" w:rsidRPr="000828E9" w:rsidRDefault="005A31F4" w:rsidP="005A31F4">
      <w:pPr>
        <w:spacing w:before="200" w:after="60"/>
        <w:jc w:val="both"/>
      </w:pPr>
      <w:r>
        <w:rPr>
          <w:b/>
          <w:bCs/>
        </w:rPr>
        <w:t xml:space="preserve">Table A5. Exploratory BIC-based mean-shift screen for the weekly NASCDI series (not a validated Bai-Perron, </w:t>
      </w:r>
      <w:proofErr w:type="spellStart"/>
      <w:r>
        <w:rPr>
          <w:b/>
          <w:bCs/>
        </w:rPr>
        <w:t>Zivot</w:t>
      </w:r>
      <w:proofErr w:type="spellEnd"/>
      <w:r>
        <w:rPr>
          <w:b/>
          <w:bCs/>
        </w:rPr>
        <w:t>-Andrews, or Lee-</w:t>
      </w:r>
      <w:proofErr w:type="spellStart"/>
      <w:r>
        <w:rPr>
          <w:b/>
          <w:bCs/>
        </w:rPr>
        <w:t>Strazicich</w:t>
      </w:r>
      <w:proofErr w:type="spellEnd"/>
      <w:r>
        <w:rPr>
          <w:b/>
          <w:bCs/>
        </w:rPr>
        <w:t xml:space="preserve"> break test). </w:t>
      </w:r>
      <w:r>
        <w:t xml:space="preserve">The BIC-preferred solution selects two candidate mean shifts, in the weeks of 2015-08-23 and 2018-03-04, versus zero- and one-break alternatives. We do not report </w:t>
      </w:r>
      <w:proofErr w:type="spellStart"/>
      <w:r>
        <w:t>Zivot</w:t>
      </w:r>
      <w:proofErr w:type="spellEnd"/>
      <w:r>
        <w:t>-Andrews single-break unit-root tests, Lee-</w:t>
      </w:r>
      <w:proofErr w:type="spellStart"/>
      <w:r>
        <w:t>Strazicich</w:t>
      </w:r>
      <w:proofErr w:type="spellEnd"/>
      <w:r>
        <w:t xml:space="preserve"> two-break LM tests, or a formally implemented Bai-Perron multiple-break procedure in this revision: an independent from-scratch implementation of </w:t>
      </w:r>
      <w:proofErr w:type="spellStart"/>
      <w:r>
        <w:t>Zivot</w:t>
      </w:r>
      <w:proofErr w:type="spellEnd"/>
      <w:r>
        <w:t>-Andrews produced mixed results (including non-convergence for two series) that would require further reconciliation before inclusion, and neither Lee-</w:t>
      </w:r>
      <w:proofErr w:type="spellStart"/>
      <w:r>
        <w:t>Strazicich</w:t>
      </w:r>
      <w:proofErr w:type="spellEnd"/>
      <w:r>
        <w:t xml:space="preserve"> nor a properly validated Bai-Perron procedure was completed on the GDELT-based series for this revision. We flag formal, software-validated break-date identification as a priority for follow-up work (Section 9) and do not characterise the mean-shift screen’s two candidate dates as corresponding to specific known events (e.g., the August 2019 Article 370 reorganisation or the March 2020 COVID-19 onset), since they do not align with either date.</w:t>
      </w:r>
    </w:p>
    <w:p w14:paraId="6B33B285" w14:textId="77777777" w:rsidR="005A31F4" w:rsidRPr="000828E9" w:rsidRDefault="005A31F4" w:rsidP="005A31F4">
      <w:pPr>
        <w:spacing w:before="40" w:after="40"/>
      </w:pPr>
    </w:p>
    <w:p w14:paraId="39547A19" w14:textId="77777777" w:rsidR="005A31F4" w:rsidRPr="000828E9" w:rsidRDefault="005A31F4" w:rsidP="005A31F4">
      <w:pPr>
        <w:spacing w:before="200" w:after="60"/>
        <w:rPr>
          <w:b/>
          <w:bCs/>
        </w:rPr>
      </w:pPr>
    </w:p>
    <w:p w14:paraId="78DCEC91" w14:textId="77777777" w:rsidR="005A31F4" w:rsidRDefault="005A31F4" w:rsidP="005A31F4">
      <w:pPr>
        <w:spacing w:before="200" w:after="60"/>
        <w:rPr>
          <w:b/>
          <w:bCs/>
        </w:rPr>
      </w:pPr>
    </w:p>
    <w:p w14:paraId="4E6C6E8F" w14:textId="77777777" w:rsidR="005A31F4" w:rsidRPr="000828E9" w:rsidRDefault="005A31F4" w:rsidP="005A31F4">
      <w:pPr>
        <w:spacing w:before="200" w:after="60"/>
      </w:pPr>
      <w:r>
        <w:rPr>
          <w:b/>
          <w:bCs/>
        </w:rPr>
        <w:lastRenderedPageBreak/>
        <w:t>Table A6. Toda-Yamamoto (1995) modified Wald Granger causality tests for all eight price pairs.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052"/>
        <w:gridCol w:w="1047"/>
        <w:gridCol w:w="748"/>
        <w:gridCol w:w="1296"/>
        <w:gridCol w:w="1296"/>
        <w:gridCol w:w="1296"/>
        <w:gridCol w:w="1296"/>
        <w:gridCol w:w="1329"/>
      </w:tblGrid>
      <w:tr w:rsidR="005A31F4" w:rsidRPr="00463273" w14:paraId="30C74FC5" w14:textId="77777777" w:rsidTr="008C31EF">
        <w:tc>
          <w:tcPr>
            <w:tcW w:w="1200" w:type="dxa"/>
          </w:tcPr>
          <w:p w14:paraId="30DA55C4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Producer market</w:t>
            </w:r>
          </w:p>
        </w:tc>
        <w:tc>
          <w:tcPr>
            <w:tcW w:w="1200" w:type="dxa"/>
          </w:tcPr>
          <w:p w14:paraId="431916AC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Variety</w:t>
            </w:r>
          </w:p>
        </w:tc>
        <w:tc>
          <w:tcPr>
            <w:tcW w:w="800" w:type="dxa"/>
          </w:tcPr>
          <w:p w14:paraId="34878F7D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1100" w:type="dxa"/>
          </w:tcPr>
          <w:p w14:paraId="4F98816E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Term.→</w:t>
            </w:r>
            <w:proofErr w:type="gramEnd"/>
            <w:r>
              <w:rPr>
                <w:b/>
                <w:bCs/>
                <w:sz w:val="18"/>
                <w:szCs w:val="18"/>
              </w:rPr>
              <w:t>Prod</w:t>
            </w:r>
            <w:proofErr w:type="spellEnd"/>
            <w:r>
              <w:rPr>
                <w:b/>
                <w:bCs/>
                <w:sz w:val="18"/>
                <w:szCs w:val="18"/>
              </w:rPr>
              <w:t>. χ²</w:t>
            </w:r>
          </w:p>
        </w:tc>
        <w:tc>
          <w:tcPr>
            <w:tcW w:w="1100" w:type="dxa"/>
          </w:tcPr>
          <w:p w14:paraId="28AA3CB1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Term.→</w:t>
            </w:r>
            <w:proofErr w:type="gramEnd"/>
            <w:r>
              <w:rPr>
                <w:b/>
                <w:bCs/>
                <w:sz w:val="18"/>
                <w:szCs w:val="18"/>
              </w:rPr>
              <w:t>Prod</w:t>
            </w:r>
            <w:proofErr w:type="spellEnd"/>
            <w:r>
              <w:rPr>
                <w:b/>
                <w:bCs/>
                <w:sz w:val="18"/>
                <w:szCs w:val="18"/>
              </w:rPr>
              <w:t>. p</w:t>
            </w:r>
          </w:p>
        </w:tc>
        <w:tc>
          <w:tcPr>
            <w:tcW w:w="1100" w:type="dxa"/>
          </w:tcPr>
          <w:p w14:paraId="25E7231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Prod.→Term</w:t>
            </w:r>
            <w:proofErr w:type="spellEnd"/>
            <w:r>
              <w:rPr>
                <w:b/>
                <w:bCs/>
                <w:sz w:val="18"/>
                <w:szCs w:val="18"/>
              </w:rPr>
              <w:t>. χ²</w:t>
            </w:r>
          </w:p>
        </w:tc>
        <w:tc>
          <w:tcPr>
            <w:tcW w:w="1100" w:type="dxa"/>
          </w:tcPr>
          <w:p w14:paraId="2F396266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Prod.→Term</w:t>
            </w:r>
            <w:proofErr w:type="spellEnd"/>
            <w:r>
              <w:rPr>
                <w:b/>
                <w:bCs/>
                <w:sz w:val="18"/>
                <w:szCs w:val="18"/>
              </w:rPr>
              <w:t>. p</w:t>
            </w:r>
          </w:p>
        </w:tc>
        <w:tc>
          <w:tcPr>
            <w:tcW w:w="1760" w:type="dxa"/>
          </w:tcPr>
          <w:p w14:paraId="4780BC5E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Dominant direction</w:t>
            </w:r>
          </w:p>
        </w:tc>
      </w:tr>
      <w:tr w:rsidR="005A31F4" w:rsidRPr="00463273" w14:paraId="2FC0D101" w14:textId="77777777" w:rsidTr="008C31EF">
        <w:tc>
          <w:tcPr>
            <w:tcW w:w="1200" w:type="dxa"/>
          </w:tcPr>
          <w:p w14:paraId="694C0870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Shopian</w:t>
            </w:r>
          </w:p>
        </w:tc>
        <w:tc>
          <w:tcPr>
            <w:tcW w:w="1200" w:type="dxa"/>
          </w:tcPr>
          <w:p w14:paraId="24ECA2A8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American</w:t>
            </w:r>
          </w:p>
        </w:tc>
        <w:tc>
          <w:tcPr>
            <w:tcW w:w="800" w:type="dxa"/>
          </w:tcPr>
          <w:p w14:paraId="2528C51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100" w:type="dxa"/>
          </w:tcPr>
          <w:p w14:paraId="281D2CAA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0.063</w:t>
            </w:r>
          </w:p>
        </w:tc>
        <w:tc>
          <w:tcPr>
            <w:tcW w:w="1100" w:type="dxa"/>
          </w:tcPr>
          <w:p w14:paraId="02474988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0.803</w:t>
            </w:r>
          </w:p>
        </w:tc>
        <w:tc>
          <w:tcPr>
            <w:tcW w:w="1100" w:type="dxa"/>
          </w:tcPr>
          <w:p w14:paraId="03DC9CBC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0.615</w:t>
            </w:r>
          </w:p>
        </w:tc>
        <w:tc>
          <w:tcPr>
            <w:tcW w:w="1100" w:type="dxa"/>
          </w:tcPr>
          <w:p w14:paraId="41757FDD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0.435</w:t>
            </w:r>
          </w:p>
        </w:tc>
        <w:tc>
          <w:tcPr>
            <w:tcW w:w="1760" w:type="dxa"/>
          </w:tcPr>
          <w:p w14:paraId="53B70828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</w:tr>
      <w:tr w:rsidR="005A31F4" w:rsidRPr="00463273" w14:paraId="3C64FC9B" w14:textId="77777777" w:rsidTr="008C31EF">
        <w:tc>
          <w:tcPr>
            <w:tcW w:w="1200" w:type="dxa"/>
          </w:tcPr>
          <w:p w14:paraId="131EF17A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Shopian</w:t>
            </w:r>
          </w:p>
        </w:tc>
        <w:tc>
          <w:tcPr>
            <w:tcW w:w="1200" w:type="dxa"/>
          </w:tcPr>
          <w:p w14:paraId="25228E31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American</w:t>
            </w:r>
          </w:p>
        </w:tc>
        <w:tc>
          <w:tcPr>
            <w:tcW w:w="800" w:type="dxa"/>
          </w:tcPr>
          <w:p w14:paraId="39B5C278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100" w:type="dxa"/>
          </w:tcPr>
          <w:p w14:paraId="0CF2592D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1.944</w:t>
            </w:r>
          </w:p>
        </w:tc>
        <w:tc>
          <w:tcPr>
            <w:tcW w:w="1100" w:type="dxa"/>
          </w:tcPr>
          <w:p w14:paraId="4853D62F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0.168</w:t>
            </w:r>
          </w:p>
        </w:tc>
        <w:tc>
          <w:tcPr>
            <w:tcW w:w="1100" w:type="dxa"/>
          </w:tcPr>
          <w:p w14:paraId="534CA3D0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0.325</w:t>
            </w:r>
          </w:p>
        </w:tc>
        <w:tc>
          <w:tcPr>
            <w:tcW w:w="1100" w:type="dxa"/>
          </w:tcPr>
          <w:p w14:paraId="3E353B21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0.571</w:t>
            </w:r>
          </w:p>
        </w:tc>
        <w:tc>
          <w:tcPr>
            <w:tcW w:w="1760" w:type="dxa"/>
          </w:tcPr>
          <w:p w14:paraId="1B2A2F4A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</w:tr>
      <w:tr w:rsidR="005A31F4" w:rsidRPr="00463273" w14:paraId="7BC91CD7" w14:textId="77777777" w:rsidTr="008C31EF">
        <w:tc>
          <w:tcPr>
            <w:tcW w:w="1200" w:type="dxa"/>
          </w:tcPr>
          <w:p w14:paraId="093B8E2B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Shopian</w:t>
            </w:r>
          </w:p>
        </w:tc>
        <w:tc>
          <w:tcPr>
            <w:tcW w:w="1200" w:type="dxa"/>
          </w:tcPr>
          <w:p w14:paraId="4CC9C284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Delicious</w:t>
            </w:r>
          </w:p>
        </w:tc>
        <w:tc>
          <w:tcPr>
            <w:tcW w:w="800" w:type="dxa"/>
          </w:tcPr>
          <w:p w14:paraId="733812F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100" w:type="dxa"/>
          </w:tcPr>
          <w:p w14:paraId="493BDBAE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0.214</w:t>
            </w:r>
          </w:p>
        </w:tc>
        <w:tc>
          <w:tcPr>
            <w:tcW w:w="1100" w:type="dxa"/>
          </w:tcPr>
          <w:p w14:paraId="18676F2A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0.645</w:t>
            </w:r>
          </w:p>
        </w:tc>
        <w:tc>
          <w:tcPr>
            <w:tcW w:w="1100" w:type="dxa"/>
          </w:tcPr>
          <w:p w14:paraId="532066A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3.382</w:t>
            </w:r>
          </w:p>
        </w:tc>
        <w:tc>
          <w:tcPr>
            <w:tcW w:w="1100" w:type="dxa"/>
          </w:tcPr>
          <w:p w14:paraId="1D0E66E4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0.069*</w:t>
            </w:r>
          </w:p>
        </w:tc>
        <w:tc>
          <w:tcPr>
            <w:tcW w:w="1760" w:type="dxa"/>
          </w:tcPr>
          <w:p w14:paraId="4C8DECFA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Producer → Terminal (marginal)</w:t>
            </w:r>
          </w:p>
        </w:tc>
      </w:tr>
      <w:tr w:rsidR="005A31F4" w:rsidRPr="00463273" w14:paraId="09BB2AA0" w14:textId="77777777" w:rsidTr="008C31EF">
        <w:tc>
          <w:tcPr>
            <w:tcW w:w="1200" w:type="dxa"/>
          </w:tcPr>
          <w:p w14:paraId="6D646521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Shopian</w:t>
            </w:r>
          </w:p>
        </w:tc>
        <w:tc>
          <w:tcPr>
            <w:tcW w:w="1200" w:type="dxa"/>
          </w:tcPr>
          <w:p w14:paraId="3F889B19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Delicious</w:t>
            </w:r>
          </w:p>
        </w:tc>
        <w:tc>
          <w:tcPr>
            <w:tcW w:w="800" w:type="dxa"/>
          </w:tcPr>
          <w:p w14:paraId="76B2EE8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100" w:type="dxa"/>
          </w:tcPr>
          <w:p w14:paraId="49750F06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100" w:type="dxa"/>
          </w:tcPr>
          <w:p w14:paraId="2ACE47B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0.966</w:t>
            </w:r>
          </w:p>
        </w:tc>
        <w:tc>
          <w:tcPr>
            <w:tcW w:w="1100" w:type="dxa"/>
          </w:tcPr>
          <w:p w14:paraId="46A174CB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4.998</w:t>
            </w:r>
          </w:p>
        </w:tc>
        <w:tc>
          <w:tcPr>
            <w:tcW w:w="1100" w:type="dxa"/>
          </w:tcPr>
          <w:p w14:paraId="3B0A76A0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0.027**</w:t>
            </w:r>
          </w:p>
        </w:tc>
        <w:tc>
          <w:tcPr>
            <w:tcW w:w="1760" w:type="dxa"/>
          </w:tcPr>
          <w:p w14:paraId="1B759AAA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Producer → Terminal</w:t>
            </w:r>
          </w:p>
        </w:tc>
      </w:tr>
      <w:tr w:rsidR="005A31F4" w:rsidRPr="00463273" w14:paraId="727EAD97" w14:textId="77777777" w:rsidTr="008C31EF">
        <w:tc>
          <w:tcPr>
            <w:tcW w:w="1200" w:type="dxa"/>
          </w:tcPr>
          <w:p w14:paraId="6C5EFECF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Sopore</w:t>
            </w:r>
          </w:p>
        </w:tc>
        <w:tc>
          <w:tcPr>
            <w:tcW w:w="1200" w:type="dxa"/>
          </w:tcPr>
          <w:p w14:paraId="13623E5E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American</w:t>
            </w:r>
          </w:p>
        </w:tc>
        <w:tc>
          <w:tcPr>
            <w:tcW w:w="800" w:type="dxa"/>
          </w:tcPr>
          <w:p w14:paraId="3AFF56AB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100" w:type="dxa"/>
          </w:tcPr>
          <w:p w14:paraId="70ACB2A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0.292</w:t>
            </w:r>
          </w:p>
        </w:tc>
        <w:tc>
          <w:tcPr>
            <w:tcW w:w="1100" w:type="dxa"/>
          </w:tcPr>
          <w:p w14:paraId="2C4E1339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0.589</w:t>
            </w:r>
          </w:p>
        </w:tc>
        <w:tc>
          <w:tcPr>
            <w:tcW w:w="1100" w:type="dxa"/>
          </w:tcPr>
          <w:p w14:paraId="4A443CDC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100" w:type="dxa"/>
          </w:tcPr>
          <w:p w14:paraId="36DFA4E1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0.973</w:t>
            </w:r>
          </w:p>
        </w:tc>
        <w:tc>
          <w:tcPr>
            <w:tcW w:w="1760" w:type="dxa"/>
          </w:tcPr>
          <w:p w14:paraId="3CC5273A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</w:tr>
      <w:tr w:rsidR="005A31F4" w:rsidRPr="00463273" w14:paraId="03E42F06" w14:textId="77777777" w:rsidTr="008C31EF">
        <w:tc>
          <w:tcPr>
            <w:tcW w:w="1200" w:type="dxa"/>
          </w:tcPr>
          <w:p w14:paraId="00D66BAD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Sopore</w:t>
            </w:r>
          </w:p>
        </w:tc>
        <w:tc>
          <w:tcPr>
            <w:tcW w:w="1200" w:type="dxa"/>
          </w:tcPr>
          <w:p w14:paraId="3CED7C07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American</w:t>
            </w:r>
          </w:p>
        </w:tc>
        <w:tc>
          <w:tcPr>
            <w:tcW w:w="800" w:type="dxa"/>
          </w:tcPr>
          <w:p w14:paraId="7DBBEA83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100" w:type="dxa"/>
          </w:tcPr>
          <w:p w14:paraId="2D20A451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1.117</w:t>
            </w:r>
          </w:p>
        </w:tc>
        <w:tc>
          <w:tcPr>
            <w:tcW w:w="1100" w:type="dxa"/>
          </w:tcPr>
          <w:p w14:paraId="584C93A9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0.292</w:t>
            </w:r>
          </w:p>
        </w:tc>
        <w:tc>
          <w:tcPr>
            <w:tcW w:w="1100" w:type="dxa"/>
          </w:tcPr>
          <w:p w14:paraId="0CC9AB3D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100" w:type="dxa"/>
          </w:tcPr>
          <w:p w14:paraId="2FBB0BC4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0.977</w:t>
            </w:r>
          </w:p>
        </w:tc>
        <w:tc>
          <w:tcPr>
            <w:tcW w:w="1760" w:type="dxa"/>
          </w:tcPr>
          <w:p w14:paraId="35BF386B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</w:tr>
      <w:tr w:rsidR="005A31F4" w:rsidRPr="00463273" w14:paraId="51CC7561" w14:textId="77777777" w:rsidTr="008C31EF">
        <w:tc>
          <w:tcPr>
            <w:tcW w:w="1200" w:type="dxa"/>
          </w:tcPr>
          <w:p w14:paraId="63ECBDF6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Sopore</w:t>
            </w:r>
          </w:p>
        </w:tc>
        <w:tc>
          <w:tcPr>
            <w:tcW w:w="1200" w:type="dxa"/>
          </w:tcPr>
          <w:p w14:paraId="0C407CD5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Delicious</w:t>
            </w:r>
          </w:p>
        </w:tc>
        <w:tc>
          <w:tcPr>
            <w:tcW w:w="800" w:type="dxa"/>
          </w:tcPr>
          <w:p w14:paraId="2101B187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100" w:type="dxa"/>
          </w:tcPr>
          <w:p w14:paraId="590439B8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0.079</w:t>
            </w:r>
          </w:p>
        </w:tc>
        <w:tc>
          <w:tcPr>
            <w:tcW w:w="1100" w:type="dxa"/>
          </w:tcPr>
          <w:p w14:paraId="12273218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0.924</w:t>
            </w:r>
          </w:p>
        </w:tc>
        <w:tc>
          <w:tcPr>
            <w:tcW w:w="1100" w:type="dxa"/>
          </w:tcPr>
          <w:p w14:paraId="04B98BED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0.510</w:t>
            </w:r>
          </w:p>
        </w:tc>
        <w:tc>
          <w:tcPr>
            <w:tcW w:w="1100" w:type="dxa"/>
          </w:tcPr>
          <w:p w14:paraId="5D39C854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0.601</w:t>
            </w:r>
          </w:p>
        </w:tc>
        <w:tc>
          <w:tcPr>
            <w:tcW w:w="1760" w:type="dxa"/>
          </w:tcPr>
          <w:p w14:paraId="0CC7386D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</w:tr>
      <w:tr w:rsidR="005A31F4" w:rsidRPr="00463273" w14:paraId="72529210" w14:textId="77777777" w:rsidTr="008C31EF">
        <w:tc>
          <w:tcPr>
            <w:tcW w:w="1200" w:type="dxa"/>
          </w:tcPr>
          <w:p w14:paraId="2BBFE487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Sopore</w:t>
            </w:r>
          </w:p>
        </w:tc>
        <w:tc>
          <w:tcPr>
            <w:tcW w:w="1200" w:type="dxa"/>
          </w:tcPr>
          <w:p w14:paraId="7BAEE428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Delicious</w:t>
            </w:r>
          </w:p>
        </w:tc>
        <w:tc>
          <w:tcPr>
            <w:tcW w:w="800" w:type="dxa"/>
          </w:tcPr>
          <w:p w14:paraId="7F73DFEB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100" w:type="dxa"/>
          </w:tcPr>
          <w:p w14:paraId="1B623149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0.863</w:t>
            </w:r>
          </w:p>
        </w:tc>
        <w:tc>
          <w:tcPr>
            <w:tcW w:w="1100" w:type="dxa"/>
          </w:tcPr>
          <w:p w14:paraId="21097B30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0.423</w:t>
            </w:r>
          </w:p>
        </w:tc>
        <w:tc>
          <w:tcPr>
            <w:tcW w:w="1100" w:type="dxa"/>
          </w:tcPr>
          <w:p w14:paraId="03C7A6B9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2.189</w:t>
            </w:r>
          </w:p>
        </w:tc>
        <w:tc>
          <w:tcPr>
            <w:tcW w:w="1100" w:type="dxa"/>
          </w:tcPr>
          <w:p w14:paraId="1D53C939" w14:textId="77777777" w:rsidR="005A31F4" w:rsidRPr="00463273" w:rsidRDefault="005A31F4" w:rsidP="008C31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0.114</w:t>
            </w:r>
          </w:p>
        </w:tc>
        <w:tc>
          <w:tcPr>
            <w:tcW w:w="1760" w:type="dxa"/>
          </w:tcPr>
          <w:p w14:paraId="325B4428" w14:textId="77777777" w:rsidR="005A31F4" w:rsidRPr="00463273" w:rsidRDefault="005A31F4" w:rsidP="008C31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</w:tr>
    </w:tbl>
    <w:p w14:paraId="64BA605A" w14:textId="77777777" w:rsidR="005A31F4" w:rsidRPr="00463273" w:rsidRDefault="005A31F4" w:rsidP="005A31F4">
      <w:pPr>
        <w:spacing w:after="14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Note. Toda-Yamamoto (1995) modified Wald test, valid for </w:t>
      </w:r>
      <w:proofErr w:type="gramStart"/>
      <w:r>
        <w:rPr>
          <w:i/>
          <w:iCs/>
          <w:sz w:val="22"/>
          <w:szCs w:val="22"/>
        </w:rPr>
        <w:t>I(</w:t>
      </w:r>
      <w:proofErr w:type="gramEnd"/>
      <w:r>
        <w:rPr>
          <w:i/>
          <w:iCs/>
          <w:sz w:val="22"/>
          <w:szCs w:val="22"/>
        </w:rPr>
        <w:t>1) and cointegrated variables. *** p &lt; 0.01; ** p &lt; 0.05; * p &lt; 0.10. The terminal-to-producer restriction is not rejected at the 5% level in any of the eight chains; the producer-to-terminal restriction is rejected for Shopian-Delicious Grade B and marginal for Shopian-Delicious Grade A. The producer-dependent specification is retained on institutional grounds (Section 5.2), not because this test confirms a dominant terminal-to-producer direction; Shopian-Delicious Grade B is examined in reverse-direction NARDL in Table A7 as the chain with the strongest evidence of causality running the other way.</w:t>
      </w:r>
    </w:p>
    <w:p w14:paraId="5D0F564D" w14:textId="77777777" w:rsidR="005A31F4" w:rsidRPr="000828E9" w:rsidRDefault="005A31F4" w:rsidP="005A31F4">
      <w:pPr>
        <w:spacing w:before="200" w:after="60"/>
        <w:jc w:val="both"/>
      </w:pPr>
      <w:r>
        <w:rPr>
          <w:b/>
          <w:bCs/>
        </w:rPr>
        <w:t>Table A7. Reverse-direction NARDL (terminal price as dependent variable) for Shopian-Delicious Grade B   robustness check, since this chain shows the strongest (though still only marginal) evidence of producer-to-terminal causality in Table A6.</w:t>
      </w:r>
    </w:p>
    <w:tbl>
      <w:tblPr>
        <w:tblStyle w:val="TableGrid"/>
        <w:tblW w:w="9337" w:type="dxa"/>
        <w:tblLook w:val="04A0" w:firstRow="1" w:lastRow="0" w:firstColumn="1" w:lastColumn="0" w:noHBand="0" w:noVBand="1"/>
      </w:tblPr>
      <w:tblGrid>
        <w:gridCol w:w="1316"/>
        <w:gridCol w:w="1217"/>
        <w:gridCol w:w="847"/>
        <w:gridCol w:w="819"/>
        <w:gridCol w:w="1243"/>
        <w:gridCol w:w="1242"/>
        <w:gridCol w:w="1426"/>
        <w:gridCol w:w="1227"/>
      </w:tblGrid>
      <w:tr w:rsidR="005A31F4" w:rsidRPr="00463273" w14:paraId="38E440E8" w14:textId="77777777" w:rsidTr="008C31EF">
        <w:trPr>
          <w:trHeight w:val="441"/>
        </w:trPr>
        <w:tc>
          <w:tcPr>
            <w:tcW w:w="1290" w:type="dxa"/>
          </w:tcPr>
          <w:p w14:paraId="306EC09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Specification</w:t>
            </w:r>
          </w:p>
        </w:tc>
        <w:tc>
          <w:tcPr>
            <w:tcW w:w="1244" w:type="dxa"/>
          </w:tcPr>
          <w:p w14:paraId="23DFE51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Chain</w:t>
            </w:r>
          </w:p>
        </w:tc>
        <w:tc>
          <w:tcPr>
            <w:tcW w:w="879" w:type="dxa"/>
          </w:tcPr>
          <w:p w14:paraId="5F642A3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23" w:type="dxa"/>
          </w:tcPr>
          <w:p w14:paraId="20B5A80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ECT</w:t>
            </w:r>
          </w:p>
        </w:tc>
        <w:tc>
          <w:tcPr>
            <w:tcW w:w="1263" w:type="dxa"/>
          </w:tcPr>
          <w:p w14:paraId="73FADE2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LR NASCDI⁺</w:t>
            </w:r>
          </w:p>
        </w:tc>
        <w:tc>
          <w:tcPr>
            <w:tcW w:w="1263" w:type="dxa"/>
          </w:tcPr>
          <w:p w14:paraId="7A29ED1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LR NASCDI</w:t>
            </w:r>
            <w:r>
              <w:rPr>
                <w:b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487" w:type="dxa"/>
          </w:tcPr>
          <w:p w14:paraId="357A551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LR Wald (p)</w:t>
            </w:r>
          </w:p>
        </w:tc>
        <w:tc>
          <w:tcPr>
            <w:tcW w:w="1088" w:type="dxa"/>
          </w:tcPr>
          <w:p w14:paraId="312022D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Conclusion</w:t>
            </w:r>
          </w:p>
        </w:tc>
      </w:tr>
      <w:tr w:rsidR="005A31F4" w:rsidRPr="00463273" w14:paraId="69E73F62" w14:textId="77777777" w:rsidTr="008C31EF">
        <w:trPr>
          <w:trHeight w:val="662"/>
        </w:trPr>
        <w:tc>
          <w:tcPr>
            <w:tcW w:w="1290" w:type="dxa"/>
          </w:tcPr>
          <w:p w14:paraId="279AD8B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Baseline (prod. dep.)</w:t>
            </w:r>
          </w:p>
        </w:tc>
        <w:tc>
          <w:tcPr>
            <w:tcW w:w="1244" w:type="dxa"/>
          </w:tcPr>
          <w:p w14:paraId="7A79263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Shopian-Del.-B</w:t>
            </w:r>
          </w:p>
        </w:tc>
        <w:tc>
          <w:tcPr>
            <w:tcW w:w="879" w:type="dxa"/>
          </w:tcPr>
          <w:p w14:paraId="14BD0E1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23" w:type="dxa"/>
          </w:tcPr>
          <w:p w14:paraId="33D23BA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−0.115</w:t>
            </w:r>
          </w:p>
        </w:tc>
        <w:tc>
          <w:tcPr>
            <w:tcW w:w="1263" w:type="dxa"/>
          </w:tcPr>
          <w:p w14:paraId="23486C50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−0.006</w:t>
            </w:r>
          </w:p>
        </w:tc>
        <w:tc>
          <w:tcPr>
            <w:tcW w:w="1263" w:type="dxa"/>
          </w:tcPr>
          <w:p w14:paraId="2C6FF45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487" w:type="dxa"/>
          </w:tcPr>
          <w:p w14:paraId="5DFD2E5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0.115 (0.735)</w:t>
            </w:r>
          </w:p>
        </w:tc>
        <w:tc>
          <w:tcPr>
            <w:tcW w:w="1088" w:type="dxa"/>
          </w:tcPr>
          <w:p w14:paraId="54E82BDA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LR asymmetry; SR marginal (p=0.065, Table A1)</w:t>
            </w:r>
          </w:p>
        </w:tc>
      </w:tr>
      <w:tr w:rsidR="005A31F4" w:rsidRPr="00463273" w14:paraId="1E4C1181" w14:textId="77777777" w:rsidTr="008C31EF">
        <w:trPr>
          <w:trHeight w:val="673"/>
        </w:trPr>
        <w:tc>
          <w:tcPr>
            <w:tcW w:w="1290" w:type="dxa"/>
          </w:tcPr>
          <w:p w14:paraId="67776FB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Reverse (term. dep.)</w:t>
            </w:r>
          </w:p>
        </w:tc>
        <w:tc>
          <w:tcPr>
            <w:tcW w:w="1244" w:type="dxa"/>
          </w:tcPr>
          <w:p w14:paraId="6C06770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Shopian-Del.-B</w:t>
            </w:r>
          </w:p>
        </w:tc>
        <w:tc>
          <w:tcPr>
            <w:tcW w:w="879" w:type="dxa"/>
          </w:tcPr>
          <w:p w14:paraId="4F1151C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23" w:type="dxa"/>
          </w:tcPr>
          <w:p w14:paraId="667B6AC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−0.126</w:t>
            </w:r>
          </w:p>
        </w:tc>
        <w:tc>
          <w:tcPr>
            <w:tcW w:w="1263" w:type="dxa"/>
          </w:tcPr>
          <w:p w14:paraId="27BD320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0.028</w:t>
            </w:r>
          </w:p>
        </w:tc>
        <w:tc>
          <w:tcPr>
            <w:tcW w:w="1263" w:type="dxa"/>
          </w:tcPr>
          <w:p w14:paraId="20363F6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−0.026</w:t>
            </w:r>
          </w:p>
        </w:tc>
        <w:tc>
          <w:tcPr>
            <w:tcW w:w="1487" w:type="dxa"/>
          </w:tcPr>
          <w:p w14:paraId="5C2AC64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2.917 (0.088)</w:t>
            </w:r>
          </w:p>
        </w:tc>
        <w:tc>
          <w:tcPr>
            <w:tcW w:w="1088" w:type="dxa"/>
          </w:tcPr>
          <w:p w14:paraId="700581A9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Marginal LR asymmetry; directionally consistent</w:t>
            </w:r>
          </w:p>
        </w:tc>
      </w:tr>
    </w:tbl>
    <w:p w14:paraId="674844EC" w14:textId="77777777" w:rsidR="005A31F4" w:rsidRPr="00463273" w:rsidRDefault="005A31F4" w:rsidP="005A31F4">
      <w:pPr>
        <w:spacing w:after="14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Note. Estimating Shopian-Delicious Grade B in reverse (terminal price as dependent variable) yields a similarly small, not-quite-significant long-run asymmetry (Wald p = 0.088) and a comparable ECT, indicating that the paper's central finding of largely non-significant long-run asymmetry is not an artefact of the producer-dependent directional specification for this chain.</w:t>
      </w:r>
    </w:p>
    <w:p w14:paraId="5A890160" w14:textId="77777777" w:rsidR="005A31F4" w:rsidRPr="000828E9" w:rsidRDefault="005A31F4" w:rsidP="005A31F4">
      <w:pPr>
        <w:spacing w:before="40" w:after="40"/>
      </w:pPr>
    </w:p>
    <w:p w14:paraId="5506B270" w14:textId="77777777" w:rsidR="005A31F4" w:rsidRPr="000828E9" w:rsidRDefault="005A31F4" w:rsidP="005A31F4">
      <w:pPr>
        <w:spacing w:before="200" w:after="60"/>
        <w:rPr>
          <w:b/>
          <w:bCs/>
        </w:rPr>
      </w:pPr>
    </w:p>
    <w:p w14:paraId="7CF86879" w14:textId="77777777" w:rsidR="005A31F4" w:rsidRPr="000828E9" w:rsidRDefault="005A31F4" w:rsidP="005A31F4">
      <w:pPr>
        <w:spacing w:before="200" w:after="60"/>
        <w:rPr>
          <w:b/>
          <w:bCs/>
        </w:rPr>
      </w:pPr>
    </w:p>
    <w:p w14:paraId="60CCD879" w14:textId="77777777" w:rsidR="005A31F4" w:rsidRPr="000828E9" w:rsidRDefault="005A31F4" w:rsidP="005A31F4">
      <w:pPr>
        <w:spacing w:before="200" w:after="60"/>
        <w:rPr>
          <w:b/>
          <w:bCs/>
        </w:rPr>
      </w:pPr>
    </w:p>
    <w:p w14:paraId="2D99972A" w14:textId="77777777" w:rsidR="005A31F4" w:rsidRPr="000828E9" w:rsidRDefault="005A31F4" w:rsidP="005A31F4">
      <w:pPr>
        <w:spacing w:before="200" w:after="60"/>
        <w:rPr>
          <w:b/>
          <w:bCs/>
        </w:rPr>
      </w:pPr>
    </w:p>
    <w:p w14:paraId="7848EDBC" w14:textId="77777777" w:rsidR="005A31F4" w:rsidRPr="000828E9" w:rsidRDefault="005A31F4" w:rsidP="005A31F4">
      <w:pPr>
        <w:spacing w:before="200" w:after="60"/>
        <w:rPr>
          <w:b/>
          <w:bCs/>
        </w:rPr>
      </w:pPr>
    </w:p>
    <w:p w14:paraId="20D55071" w14:textId="77777777" w:rsidR="005A31F4" w:rsidRPr="000828E9" w:rsidRDefault="005A31F4" w:rsidP="005A31F4">
      <w:pPr>
        <w:spacing w:before="200" w:after="60"/>
        <w:jc w:val="both"/>
      </w:pPr>
      <w:r>
        <w:rPr>
          <w:b/>
          <w:bCs/>
        </w:rPr>
        <w:lastRenderedPageBreak/>
        <w:t>Table A8. COVID-19 exclusion sensitivity analysis: Wald asymmetry statistics under (a) COVID-Excluded Index (CEI) and (b) COVID dummy variable control.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188"/>
        <w:gridCol w:w="1186"/>
        <w:gridCol w:w="797"/>
        <w:gridCol w:w="995"/>
        <w:gridCol w:w="990"/>
        <w:gridCol w:w="1083"/>
        <w:gridCol w:w="1216"/>
        <w:gridCol w:w="1905"/>
      </w:tblGrid>
      <w:tr w:rsidR="005A31F4" w:rsidRPr="00463273" w14:paraId="714F8179" w14:textId="77777777" w:rsidTr="008C31EF">
        <w:tc>
          <w:tcPr>
            <w:tcW w:w="1200" w:type="dxa"/>
          </w:tcPr>
          <w:p w14:paraId="327BBE5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Producer market</w:t>
            </w:r>
          </w:p>
        </w:tc>
        <w:tc>
          <w:tcPr>
            <w:tcW w:w="1200" w:type="dxa"/>
          </w:tcPr>
          <w:p w14:paraId="5042E248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Variety</w:t>
            </w:r>
          </w:p>
        </w:tc>
        <w:tc>
          <w:tcPr>
            <w:tcW w:w="800" w:type="dxa"/>
          </w:tcPr>
          <w:p w14:paraId="30EFBE9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00" w:type="dxa"/>
          </w:tcPr>
          <w:p w14:paraId="786FB04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Baseline LR Wald p</w:t>
            </w:r>
          </w:p>
        </w:tc>
        <w:tc>
          <w:tcPr>
            <w:tcW w:w="1000" w:type="dxa"/>
          </w:tcPr>
          <w:p w14:paraId="6FCA4C3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LR Wald p*</w:t>
            </w:r>
          </w:p>
        </w:tc>
        <w:tc>
          <w:tcPr>
            <w:tcW w:w="1100" w:type="dxa"/>
          </w:tcPr>
          <w:p w14:paraId="3EDAAB4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Dₜ LR Wald p</w:t>
            </w:r>
          </w:p>
        </w:tc>
        <w:tc>
          <w:tcPr>
            <w:tcW w:w="1100" w:type="dxa"/>
          </w:tcPr>
          <w:p w14:paraId="65E99FC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Asymmetry preserved?</w:t>
            </w:r>
          </w:p>
        </w:tc>
        <w:tc>
          <w:tcPr>
            <w:tcW w:w="1960" w:type="dxa"/>
          </w:tcPr>
          <w:p w14:paraId="4EA37F1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Assessment</w:t>
            </w:r>
          </w:p>
        </w:tc>
      </w:tr>
      <w:tr w:rsidR="005A31F4" w:rsidRPr="00463273" w14:paraId="5596B427" w14:textId="77777777" w:rsidTr="008C31EF">
        <w:tc>
          <w:tcPr>
            <w:tcW w:w="1200" w:type="dxa"/>
          </w:tcPr>
          <w:p w14:paraId="1227034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00" w:type="dxa"/>
          </w:tcPr>
          <w:p w14:paraId="7DB5B29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800" w:type="dxa"/>
          </w:tcPr>
          <w:p w14:paraId="3E91A8CB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000" w:type="dxa"/>
          </w:tcPr>
          <w:p w14:paraId="75054E7B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0.611</w:t>
            </w:r>
          </w:p>
        </w:tc>
        <w:tc>
          <w:tcPr>
            <w:tcW w:w="1000" w:type="dxa"/>
          </w:tcPr>
          <w:p w14:paraId="67A0C39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0.633</w:t>
            </w:r>
          </w:p>
        </w:tc>
        <w:tc>
          <w:tcPr>
            <w:tcW w:w="1100" w:type="dxa"/>
          </w:tcPr>
          <w:p w14:paraId="1D7D2C7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0.527</w:t>
            </w:r>
          </w:p>
        </w:tc>
        <w:tc>
          <w:tcPr>
            <w:tcW w:w="1100" w:type="dxa"/>
          </w:tcPr>
          <w:p w14:paraId="662071B4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960" w:type="dxa"/>
          </w:tcPr>
          <w:p w14:paraId="05B6EC5F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LR asymmetry at baseline</w:t>
            </w:r>
          </w:p>
        </w:tc>
      </w:tr>
      <w:tr w:rsidR="005A31F4" w:rsidRPr="00463273" w14:paraId="3269D9F0" w14:textId="77777777" w:rsidTr="008C31EF">
        <w:tc>
          <w:tcPr>
            <w:tcW w:w="1200" w:type="dxa"/>
          </w:tcPr>
          <w:p w14:paraId="118A2C7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00" w:type="dxa"/>
          </w:tcPr>
          <w:p w14:paraId="7CD9759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800" w:type="dxa"/>
          </w:tcPr>
          <w:p w14:paraId="3D8165A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00" w:type="dxa"/>
          </w:tcPr>
          <w:p w14:paraId="2825368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0.310</w:t>
            </w:r>
          </w:p>
        </w:tc>
        <w:tc>
          <w:tcPr>
            <w:tcW w:w="1000" w:type="dxa"/>
          </w:tcPr>
          <w:p w14:paraId="36AA56E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0.309</w:t>
            </w:r>
          </w:p>
        </w:tc>
        <w:tc>
          <w:tcPr>
            <w:tcW w:w="1100" w:type="dxa"/>
          </w:tcPr>
          <w:p w14:paraId="3FD49EA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0.377</w:t>
            </w:r>
          </w:p>
        </w:tc>
        <w:tc>
          <w:tcPr>
            <w:tcW w:w="1100" w:type="dxa"/>
          </w:tcPr>
          <w:p w14:paraId="5AD84CFB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960" w:type="dxa"/>
          </w:tcPr>
          <w:p w14:paraId="370E15DF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LR asymmetry at baseline</w:t>
            </w:r>
          </w:p>
        </w:tc>
      </w:tr>
      <w:tr w:rsidR="005A31F4" w:rsidRPr="00463273" w14:paraId="1133D451" w14:textId="77777777" w:rsidTr="008C31EF">
        <w:tc>
          <w:tcPr>
            <w:tcW w:w="1200" w:type="dxa"/>
          </w:tcPr>
          <w:p w14:paraId="21DAA26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00" w:type="dxa"/>
          </w:tcPr>
          <w:p w14:paraId="5B96326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800" w:type="dxa"/>
          </w:tcPr>
          <w:p w14:paraId="2C19389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000" w:type="dxa"/>
          </w:tcPr>
          <w:p w14:paraId="5E9DE801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0.321</w:t>
            </w:r>
          </w:p>
        </w:tc>
        <w:tc>
          <w:tcPr>
            <w:tcW w:w="1000" w:type="dxa"/>
          </w:tcPr>
          <w:p w14:paraId="6ADA49B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0.279</w:t>
            </w:r>
          </w:p>
        </w:tc>
        <w:tc>
          <w:tcPr>
            <w:tcW w:w="1100" w:type="dxa"/>
          </w:tcPr>
          <w:p w14:paraId="534A41F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0.241</w:t>
            </w:r>
          </w:p>
        </w:tc>
        <w:tc>
          <w:tcPr>
            <w:tcW w:w="1100" w:type="dxa"/>
          </w:tcPr>
          <w:p w14:paraId="62D1E7AA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960" w:type="dxa"/>
          </w:tcPr>
          <w:p w14:paraId="29B1486A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LR asymmetry at baseline</w:t>
            </w:r>
          </w:p>
        </w:tc>
      </w:tr>
      <w:tr w:rsidR="005A31F4" w:rsidRPr="00463273" w14:paraId="4DDFBE78" w14:textId="77777777" w:rsidTr="008C31EF">
        <w:tc>
          <w:tcPr>
            <w:tcW w:w="1200" w:type="dxa"/>
          </w:tcPr>
          <w:p w14:paraId="0C64D7A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Shopian</w:t>
            </w:r>
          </w:p>
        </w:tc>
        <w:tc>
          <w:tcPr>
            <w:tcW w:w="1200" w:type="dxa"/>
          </w:tcPr>
          <w:p w14:paraId="13B3072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800" w:type="dxa"/>
          </w:tcPr>
          <w:p w14:paraId="56262DF2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00" w:type="dxa"/>
          </w:tcPr>
          <w:p w14:paraId="11BD8165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0.735</w:t>
            </w:r>
          </w:p>
        </w:tc>
        <w:tc>
          <w:tcPr>
            <w:tcW w:w="1000" w:type="dxa"/>
          </w:tcPr>
          <w:p w14:paraId="2E19C96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0.687</w:t>
            </w:r>
          </w:p>
        </w:tc>
        <w:tc>
          <w:tcPr>
            <w:tcW w:w="1100" w:type="dxa"/>
          </w:tcPr>
          <w:p w14:paraId="2E5103E2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0.455</w:t>
            </w:r>
          </w:p>
        </w:tc>
        <w:tc>
          <w:tcPr>
            <w:tcW w:w="1100" w:type="dxa"/>
          </w:tcPr>
          <w:p w14:paraId="750ED229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960" w:type="dxa"/>
          </w:tcPr>
          <w:p w14:paraId="54A15FA9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LR asymmetry at baseline</w:t>
            </w:r>
          </w:p>
        </w:tc>
      </w:tr>
      <w:tr w:rsidR="005A31F4" w:rsidRPr="00463273" w14:paraId="2BF72E31" w14:textId="77777777" w:rsidTr="008C31EF">
        <w:tc>
          <w:tcPr>
            <w:tcW w:w="1200" w:type="dxa"/>
          </w:tcPr>
          <w:p w14:paraId="1B9AE6E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00" w:type="dxa"/>
          </w:tcPr>
          <w:p w14:paraId="2098CF3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800" w:type="dxa"/>
          </w:tcPr>
          <w:p w14:paraId="2152134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000" w:type="dxa"/>
          </w:tcPr>
          <w:p w14:paraId="64BB2BC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0.016**</w:t>
            </w:r>
          </w:p>
        </w:tc>
        <w:tc>
          <w:tcPr>
            <w:tcW w:w="1000" w:type="dxa"/>
          </w:tcPr>
          <w:p w14:paraId="7B8BD4C6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0.017**</w:t>
            </w:r>
          </w:p>
        </w:tc>
        <w:tc>
          <w:tcPr>
            <w:tcW w:w="1100" w:type="dxa"/>
          </w:tcPr>
          <w:p w14:paraId="3E6E9B74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0.036**</w:t>
            </w:r>
          </w:p>
        </w:tc>
        <w:tc>
          <w:tcPr>
            <w:tcW w:w="1100" w:type="dxa"/>
          </w:tcPr>
          <w:p w14:paraId="344E7DCB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960" w:type="dxa"/>
          </w:tcPr>
          <w:p w14:paraId="423CA79E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LR asymmetry present; robust to dummy control</w:t>
            </w:r>
          </w:p>
        </w:tc>
      </w:tr>
      <w:tr w:rsidR="005A31F4" w:rsidRPr="00463273" w14:paraId="34EE5CAE" w14:textId="77777777" w:rsidTr="008C31EF">
        <w:tc>
          <w:tcPr>
            <w:tcW w:w="1200" w:type="dxa"/>
          </w:tcPr>
          <w:p w14:paraId="44B3E6D1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00" w:type="dxa"/>
          </w:tcPr>
          <w:p w14:paraId="44AAB1AC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</w:t>
            </w:r>
          </w:p>
        </w:tc>
        <w:tc>
          <w:tcPr>
            <w:tcW w:w="800" w:type="dxa"/>
          </w:tcPr>
          <w:p w14:paraId="636EF3D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00" w:type="dxa"/>
          </w:tcPr>
          <w:p w14:paraId="328D6F9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0.329</w:t>
            </w:r>
          </w:p>
        </w:tc>
        <w:tc>
          <w:tcPr>
            <w:tcW w:w="1000" w:type="dxa"/>
          </w:tcPr>
          <w:p w14:paraId="76FE268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0.313</w:t>
            </w:r>
          </w:p>
        </w:tc>
        <w:tc>
          <w:tcPr>
            <w:tcW w:w="1100" w:type="dxa"/>
          </w:tcPr>
          <w:p w14:paraId="0F18F7DD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0.254</w:t>
            </w:r>
          </w:p>
        </w:tc>
        <w:tc>
          <w:tcPr>
            <w:tcW w:w="1100" w:type="dxa"/>
          </w:tcPr>
          <w:p w14:paraId="4BE9A5A3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60" w:type="dxa"/>
          </w:tcPr>
          <w:p w14:paraId="5D843B93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asymmetry; unchanged</w:t>
            </w:r>
          </w:p>
        </w:tc>
      </w:tr>
      <w:tr w:rsidR="005A31F4" w:rsidRPr="00463273" w14:paraId="4D361029" w14:textId="77777777" w:rsidTr="008C31EF">
        <w:tc>
          <w:tcPr>
            <w:tcW w:w="1200" w:type="dxa"/>
          </w:tcPr>
          <w:p w14:paraId="376656BA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00" w:type="dxa"/>
          </w:tcPr>
          <w:p w14:paraId="6C19FD6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800" w:type="dxa"/>
          </w:tcPr>
          <w:p w14:paraId="3C1B3E7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000" w:type="dxa"/>
          </w:tcPr>
          <w:p w14:paraId="7C386AB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0.745</w:t>
            </w:r>
          </w:p>
        </w:tc>
        <w:tc>
          <w:tcPr>
            <w:tcW w:w="1000" w:type="dxa"/>
          </w:tcPr>
          <w:p w14:paraId="1B62E89E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0.703</w:t>
            </w:r>
          </w:p>
        </w:tc>
        <w:tc>
          <w:tcPr>
            <w:tcW w:w="1100" w:type="dxa"/>
          </w:tcPr>
          <w:p w14:paraId="3C82ABD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0.957</w:t>
            </w:r>
          </w:p>
        </w:tc>
        <w:tc>
          <w:tcPr>
            <w:tcW w:w="1100" w:type="dxa"/>
          </w:tcPr>
          <w:p w14:paraId="7C0865DF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60" w:type="dxa"/>
          </w:tcPr>
          <w:p w14:paraId="69391060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asymmetry; unchanged</w:t>
            </w:r>
          </w:p>
        </w:tc>
      </w:tr>
      <w:tr w:rsidR="005A31F4" w:rsidRPr="00463273" w14:paraId="3EAAEFE7" w14:textId="77777777" w:rsidTr="008C31EF">
        <w:tc>
          <w:tcPr>
            <w:tcW w:w="1200" w:type="dxa"/>
          </w:tcPr>
          <w:p w14:paraId="2E16D434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Sopore</w:t>
            </w:r>
          </w:p>
        </w:tc>
        <w:tc>
          <w:tcPr>
            <w:tcW w:w="1200" w:type="dxa"/>
          </w:tcPr>
          <w:p w14:paraId="3CD7AA87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Delicious</w:t>
            </w:r>
          </w:p>
        </w:tc>
        <w:tc>
          <w:tcPr>
            <w:tcW w:w="800" w:type="dxa"/>
          </w:tcPr>
          <w:p w14:paraId="38B5DC81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000" w:type="dxa"/>
          </w:tcPr>
          <w:p w14:paraId="33D90413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0.816</w:t>
            </w:r>
          </w:p>
        </w:tc>
        <w:tc>
          <w:tcPr>
            <w:tcW w:w="1000" w:type="dxa"/>
          </w:tcPr>
          <w:p w14:paraId="277E241F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0.882</w:t>
            </w:r>
          </w:p>
        </w:tc>
        <w:tc>
          <w:tcPr>
            <w:tcW w:w="1100" w:type="dxa"/>
          </w:tcPr>
          <w:p w14:paraId="2D3C7D39" w14:textId="77777777" w:rsidR="005A31F4" w:rsidRPr="00463273" w:rsidRDefault="005A31F4" w:rsidP="008C31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0.951</w:t>
            </w:r>
          </w:p>
        </w:tc>
        <w:tc>
          <w:tcPr>
            <w:tcW w:w="1100" w:type="dxa"/>
          </w:tcPr>
          <w:p w14:paraId="049CC3E2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960" w:type="dxa"/>
          </w:tcPr>
          <w:p w14:paraId="0D137638" w14:textId="77777777" w:rsidR="005A31F4" w:rsidRPr="00463273" w:rsidRDefault="005A31F4" w:rsidP="008C31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asymmetry; unchanged</w:t>
            </w:r>
          </w:p>
        </w:tc>
      </w:tr>
    </w:tbl>
    <w:p w14:paraId="3EC2352E" w14:textId="77777777" w:rsidR="005A31F4" w:rsidRPr="00463273" w:rsidRDefault="005A31F4" w:rsidP="005A31F4">
      <w:pPr>
        <w:spacing w:before="60" w:after="14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Note. CEI = COVID-Excluded Index (weekly NASCDI recomputed after removing scored-news rows whose full text matches covid|coronavirus|sars-cov-2 within the March 2020-December 2021 window, using the complete scored-news corpus in data/</w:t>
      </w:r>
      <w:proofErr w:type="spellStart"/>
      <w:r>
        <w:rPr>
          <w:i/>
          <w:iCs/>
          <w:sz w:val="22"/>
          <w:szCs w:val="22"/>
        </w:rPr>
        <w:t>nascdi_news</w:t>
      </w:r>
      <w:proofErr w:type="spellEnd"/>
      <w:r>
        <w:rPr>
          <w:i/>
          <w:iCs/>
          <w:sz w:val="22"/>
          <w:szCs w:val="22"/>
        </w:rPr>
        <w:t xml:space="preserve">/news_scored.csv; 16,891 index-article rows were removed across 128 affected days, and the daily raw score, news volume, and normalisation were recomputed before re-aggregating to weekly and re-estimating). This is now a genuine, independently computed re-run, not the placeholder reported in earlier drafts. Dₜ = COVID dummy variable (1 = March 2020-December 2021); this column is a separately, independently estimated check. Under the baseline, CEI, and Dₜ-control specifications alike, long-run asymmetry is significant only for Sopore-American Grade A (baseline p=0.016, CEI p=0.017, Dₜ-control p=0.036); no chain changes significance status across the three specifications. Of the Dₜ coefficients themselves, only Sopore-American Grade A is HAC-significant (coefficient=0.035, p=0.044); no other chain's Dₜ coefficient is HAC-significant (Table A8 estimation log). This confirms that the paper's main </w:t>
      </w:r>
      <w:proofErr w:type="gramStart"/>
      <w:r>
        <w:rPr>
          <w:i/>
          <w:iCs/>
          <w:sz w:val="22"/>
          <w:szCs w:val="22"/>
        </w:rPr>
        <w:t>finding ,</w:t>
      </w:r>
      <w:proofErr w:type="gramEnd"/>
      <w:r>
        <w:rPr>
          <w:i/>
          <w:iCs/>
          <w:sz w:val="22"/>
          <w:szCs w:val="22"/>
        </w:rPr>
        <w:t xml:space="preserve"> long-run asymmetric disruption transmission is the exception rather than concentrated in any particular chain (Section 5.3</w:t>
      </w:r>
      <w:proofErr w:type="gramStart"/>
      <w:r>
        <w:rPr>
          <w:i/>
          <w:iCs/>
          <w:sz w:val="22"/>
          <w:szCs w:val="22"/>
        </w:rPr>
        <w:t>) ,</w:t>
      </w:r>
      <w:proofErr w:type="gramEnd"/>
      <w:r>
        <w:rPr>
          <w:i/>
          <w:iCs/>
          <w:sz w:val="22"/>
          <w:szCs w:val="22"/>
        </w:rPr>
        <w:t xml:space="preserve"> is robust to COVID-19 exclusion under both the keyword-based index </w:t>
      </w:r>
      <w:proofErr w:type="spellStart"/>
      <w:r>
        <w:rPr>
          <w:i/>
          <w:iCs/>
          <w:sz w:val="22"/>
          <w:szCs w:val="22"/>
        </w:rPr>
        <w:t>recomputation</w:t>
      </w:r>
      <w:proofErr w:type="spellEnd"/>
      <w:r>
        <w:rPr>
          <w:i/>
          <w:iCs/>
          <w:sz w:val="22"/>
          <w:szCs w:val="22"/>
        </w:rPr>
        <w:t xml:space="preserve"> and the dummy-variable control, and additionally identifies Sopore-American Grade A as the one chain whose price dynamics were themselves measurably shifted during the pandemic window.</w:t>
      </w:r>
    </w:p>
    <w:p w14:paraId="3B7EEB65" w14:textId="77777777" w:rsidR="005A31F4" w:rsidRDefault="005A31F4" w:rsidP="005A31F4">
      <w:pPr>
        <w:spacing w:before="60" w:after="140"/>
        <w:rPr>
          <w:b/>
          <w:bCs/>
        </w:rPr>
      </w:pPr>
    </w:p>
    <w:p w14:paraId="0F1958B0" w14:textId="77777777" w:rsidR="005A31F4" w:rsidRDefault="005A31F4" w:rsidP="005A31F4">
      <w:pPr>
        <w:spacing w:before="60" w:after="140"/>
        <w:rPr>
          <w:b/>
          <w:bCs/>
        </w:rPr>
      </w:pPr>
    </w:p>
    <w:p w14:paraId="5A6C06FE" w14:textId="77777777" w:rsidR="005A31F4" w:rsidRDefault="005A31F4" w:rsidP="005A31F4">
      <w:pPr>
        <w:spacing w:before="60" w:after="140"/>
        <w:rPr>
          <w:b/>
          <w:bCs/>
        </w:rPr>
      </w:pPr>
    </w:p>
    <w:p w14:paraId="7D551ACE" w14:textId="77777777" w:rsidR="005A31F4" w:rsidRDefault="005A31F4" w:rsidP="005A31F4">
      <w:pPr>
        <w:spacing w:before="60" w:after="140"/>
        <w:rPr>
          <w:b/>
          <w:bCs/>
        </w:rPr>
      </w:pPr>
    </w:p>
    <w:p w14:paraId="44F25D8D" w14:textId="77777777" w:rsidR="005A31F4" w:rsidRDefault="005A31F4" w:rsidP="005A31F4">
      <w:pPr>
        <w:spacing w:before="60" w:after="140"/>
        <w:rPr>
          <w:b/>
          <w:bCs/>
        </w:rPr>
      </w:pPr>
    </w:p>
    <w:p w14:paraId="20FBC8DC" w14:textId="77777777" w:rsidR="005A31F4" w:rsidRDefault="005A31F4" w:rsidP="005A31F4">
      <w:pPr>
        <w:spacing w:before="60" w:after="140"/>
        <w:rPr>
          <w:b/>
          <w:bCs/>
        </w:rPr>
      </w:pPr>
    </w:p>
    <w:p w14:paraId="76556334" w14:textId="77777777" w:rsidR="005A31F4" w:rsidRDefault="005A31F4" w:rsidP="005A31F4">
      <w:pPr>
        <w:spacing w:before="60" w:after="140"/>
        <w:rPr>
          <w:b/>
          <w:bCs/>
        </w:rPr>
      </w:pPr>
    </w:p>
    <w:p w14:paraId="44CBC670" w14:textId="77777777" w:rsidR="005A31F4" w:rsidRDefault="005A31F4" w:rsidP="005A31F4">
      <w:pPr>
        <w:spacing w:before="60" w:after="140"/>
        <w:rPr>
          <w:b/>
          <w:bCs/>
        </w:rPr>
      </w:pPr>
    </w:p>
    <w:p w14:paraId="58889CF7" w14:textId="77777777" w:rsidR="005A31F4" w:rsidRPr="00766599" w:rsidRDefault="005A31F4" w:rsidP="005A31F4">
      <w:pPr>
        <w:spacing w:before="60" w:after="140"/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34CB770D" wp14:editId="7CA3072F">
            <wp:simplePos x="0" y="0"/>
            <wp:positionH relativeFrom="margin">
              <wp:align>center</wp:align>
            </wp:positionH>
            <wp:positionV relativeFrom="margin">
              <wp:posOffset>388620</wp:posOffset>
            </wp:positionV>
            <wp:extent cx="5646420" cy="6850380"/>
            <wp:effectExtent l="0" t="0" r="0" b="7620"/>
            <wp:wrapSquare wrapText="bothSides"/>
            <wp:docPr id="1211013003" name="Picture 1211013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685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Appendix Figures</w:t>
      </w:r>
    </w:p>
    <w:p w14:paraId="0BFA8740" w14:textId="77777777" w:rsidR="005A31F4" w:rsidRPr="00463273" w:rsidRDefault="005A31F4" w:rsidP="005A31F4">
      <w:pPr>
        <w:spacing w:before="120" w:after="60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Figure A1. Individual dynamic multiplier profiles by market, variety, and grade. Solid lines: NASCDI⁺ responses; dashed lines: NASCDI- responses. Each panel shows cumulative response over a 20-week horizon (Shin et al., 2014).</w:t>
      </w:r>
      <w:r>
        <w:rPr>
          <w:i/>
          <w:iCs/>
          <w:sz w:val="22"/>
          <w:szCs w:val="22"/>
          <w:vertAlign w:val="superscript"/>
        </w:rPr>
      </w:r>
      <w:r>
        <w:rPr>
          <w:i/>
          <w:iCs/>
          <w:sz w:val="22"/>
          <w:szCs w:val="22"/>
        </w:rPr>
      </w:r>
    </w:p>
    <w:p w14:paraId="25235BB9" w14:textId="77777777" w:rsidR="005A31F4" w:rsidRPr="000828E9" w:rsidRDefault="005A31F4" w:rsidP="005A31F4">
      <w:pPr>
        <w:spacing w:before="120" w:after="60"/>
        <w:jc w:val="center"/>
      </w:pPr>
    </w:p>
    <w:p w14:paraId="588287E5" w14:textId="77777777" w:rsidR="005A31F4" w:rsidRPr="00463273" w:rsidRDefault="005A31F4" w:rsidP="005A31F4">
      <w:pPr>
        <w:spacing w:before="60" w:after="2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0288" behindDoc="0" locked="0" layoutInCell="1" allowOverlap="1" wp14:anchorId="155791A2" wp14:editId="5B7ABB8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23560" cy="6858000"/>
            <wp:effectExtent l="0" t="0" r="0" b="0"/>
            <wp:wrapSquare wrapText="bothSides"/>
            <wp:docPr id="597928028" name="Picture 597928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2"/>
          <w:szCs w:val="22"/>
        </w:rPr>
        <w:t>Figure A2. Bootstrapped 95% confidence-band profiles for dynamic multiplier estimates across all eight market-variety-grade equations.</w:t>
      </w:r>
    </w:p>
    <w:p w14:paraId="22A4452B" w14:textId="77777777" w:rsidR="005A31F4" w:rsidRPr="000828E9" w:rsidRDefault="005A31F4" w:rsidP="005A31F4">
      <w:pPr>
        <w:spacing w:before="120" w:after="60"/>
        <w:jc w:val="center"/>
      </w:pPr>
    </w:p>
    <w:p w14:paraId="12FE4875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402E6F12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5067D2B7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E7A3046" wp14:editId="009AA04F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4944745" cy="3345815"/>
            <wp:effectExtent l="0" t="0" r="8255" b="6985"/>
            <wp:wrapSquare wrapText="bothSides"/>
            <wp:docPr id="1792624077" name="Picture 179262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374" cy="3348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B93C4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6930A582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A4A6E3B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64738687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3EFCD29E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428CE9E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2C8B475C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763D6498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2C4902B2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7F93AAA" w14:textId="77777777" w:rsidR="005A31F4" w:rsidRDefault="005A31F4" w:rsidP="005A31F4">
      <w:pPr>
        <w:spacing w:before="60" w:after="220"/>
        <w:rPr>
          <w:i/>
          <w:iCs/>
        </w:rPr>
      </w:pPr>
    </w:p>
    <w:p w14:paraId="7F4C309E" w14:textId="77777777" w:rsidR="005A31F4" w:rsidRPr="00463273" w:rsidRDefault="005A31F4" w:rsidP="005A31F4">
      <w:pPr>
        <w:spacing w:before="60" w:after="220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Figure A3. Three-dimensional dynamic response surface combining all eight market-variety-grade equations across the horizon dimension (weeks 1-20).</w:t>
      </w:r>
    </w:p>
    <w:p w14:paraId="28F22BB0" w14:textId="77777777" w:rsidR="005A31F4" w:rsidRPr="000828E9" w:rsidRDefault="005A31F4" w:rsidP="005A31F4">
      <w:pPr>
        <w:spacing w:before="120" w:after="60"/>
        <w:jc w:val="center"/>
      </w:pPr>
    </w:p>
    <w:p w14:paraId="6D82D660" w14:textId="77777777" w:rsidR="005A31F4" w:rsidRPr="000828E9" w:rsidRDefault="005A31F4" w:rsidP="005A31F4">
      <w:pPr>
        <w:spacing w:before="60" w:after="2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2336" behindDoc="0" locked="0" layoutInCell="1" allowOverlap="1" wp14:anchorId="4704B6FD" wp14:editId="1AECDBE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45288" cy="7700010"/>
            <wp:effectExtent l="0" t="0" r="5715" b="0"/>
            <wp:wrapSquare wrapText="bothSides"/>
            <wp:docPr id="2092859200" name="Picture 2092859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288" cy="770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2"/>
          <w:szCs w:val="22"/>
        </w:rPr>
        <w:t>Figure A4. Exploratory descriptive radar profiles by market, variety, and grade, combining the joint lagged-level F diagnostic, long-run asymmetry difference, ECT magnitude, and R². These are normalised descriptive metrics, not a validated welfare or vulnerability index.</w:t>
      </w:r>
    </w:p>
    <w:p w14:paraId="4F67201A" w14:textId="77777777" w:rsidR="005A31F4" w:rsidRPr="000828E9" w:rsidRDefault="005A31F4" w:rsidP="005A31F4">
      <w:pPr>
        <w:spacing w:before="120" w:after="6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3360" behindDoc="0" locked="0" layoutInCell="1" allowOverlap="1" wp14:anchorId="0BBD29FA" wp14:editId="7300155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87340" cy="6682740"/>
            <wp:effectExtent l="0" t="0" r="3810" b="3810"/>
            <wp:wrapSquare wrapText="bothSides"/>
            <wp:docPr id="1115674528" name="Picture 111567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668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2"/>
          <w:szCs w:val="22"/>
        </w:rPr>
        <w:t>Figure A5. CUSUM stability diagnostics for all eight estimated equations. All paths remain within the 95% envelope, confirming mean parameter stability throughout the sample.</w:t>
      </w:r>
    </w:p>
    <w:p w14:paraId="42476FC5" w14:textId="77777777" w:rsidR="005A31F4" w:rsidRPr="000828E9" w:rsidRDefault="005A31F4" w:rsidP="005A31F4">
      <w:pPr>
        <w:spacing w:before="120" w:after="60"/>
        <w:jc w:val="center"/>
      </w:pPr>
    </w:p>
    <w:p w14:paraId="4997A8BD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5A314223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2EC30CA3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BC88D7A" w14:textId="77777777" w:rsidR="005A31F4" w:rsidRPr="000828E9" w:rsidRDefault="005A31F4" w:rsidP="005A31F4">
      <w:pPr>
        <w:spacing w:before="60" w:after="2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4384" behindDoc="0" locked="0" layoutInCell="1" allowOverlap="1" wp14:anchorId="65407DCE" wp14:editId="76272CC3">
            <wp:simplePos x="0" y="0"/>
            <wp:positionH relativeFrom="margin">
              <wp:posOffset>64770</wp:posOffset>
            </wp:positionH>
            <wp:positionV relativeFrom="margin">
              <wp:align>top</wp:align>
            </wp:positionV>
            <wp:extent cx="5966460" cy="7400925"/>
            <wp:effectExtent l="0" t="0" r="0" b="9525"/>
            <wp:wrapSquare wrapText="bothSides"/>
            <wp:docPr id="1437606917" name="Picture 1437606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2"/>
          <w:szCs w:val="22"/>
        </w:rPr>
        <w:t>Figure A6. CUSUMSQ stability diagnostics for all eight estimated equations. All paths cross the 95% envelope, indicating episodic residual variance instability; we do not attribute this to specific dated regimes in this revision (Section 5.6, Table A5).</w:t>
      </w:r>
    </w:p>
    <w:p w14:paraId="27E84701" w14:textId="77777777" w:rsidR="005A31F4" w:rsidRPr="000828E9" w:rsidRDefault="005A31F4" w:rsidP="005A31F4">
      <w:pPr>
        <w:spacing w:before="120" w:after="60"/>
        <w:jc w:val="center"/>
      </w:pPr>
    </w:p>
    <w:p w14:paraId="14F8C85C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7ED2861" wp14:editId="4032EEA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473575" cy="3108960"/>
            <wp:effectExtent l="0" t="0" r="3175" b="0"/>
            <wp:wrapSquare wrapText="bothSides"/>
            <wp:docPr id="2097398686" name="Picture 2097398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57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B207B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3C89C4DB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C51EBEA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3DD42821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F1455B4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1A289A75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22BA3998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5D4053CF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07DC1301" w14:textId="77777777" w:rsidR="005A31F4" w:rsidRDefault="005A31F4" w:rsidP="005A31F4">
      <w:pPr>
        <w:spacing w:before="60" w:after="220"/>
        <w:rPr>
          <w:i/>
          <w:iCs/>
          <w:sz w:val="22"/>
          <w:szCs w:val="22"/>
        </w:rPr>
      </w:pPr>
    </w:p>
    <w:p w14:paraId="20D1C8EF" w14:textId="77777777" w:rsidR="005A31F4" w:rsidRPr="000828E9" w:rsidRDefault="005A31F4" w:rsidP="005A31F4">
      <w:pPr>
        <w:spacing w:before="60" w:after="220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Figure A7. Exploratory ranking of chains by absolute difference in long-run NASCDI⁺ and NASCDI- effects. Values are narrowly distributed (0.010-0.047), with no chain dominating the ranking.</w:t>
      </w:r>
    </w:p>
    <w:p w14:paraId="2B163BD0" w14:textId="77777777" w:rsidR="005A31F4" w:rsidRPr="000828E9" w:rsidRDefault="005A31F4" w:rsidP="005A31F4">
      <w:pPr>
        <w:spacing w:before="120" w:after="60"/>
        <w:jc w:val="center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CFB29BA" wp14:editId="4A7CBE54">
            <wp:simplePos x="0" y="0"/>
            <wp:positionH relativeFrom="column">
              <wp:posOffset>670560</wp:posOffset>
            </wp:positionH>
            <wp:positionV relativeFrom="paragraph">
              <wp:posOffset>125095</wp:posOffset>
            </wp:positionV>
            <wp:extent cx="4411980" cy="3148965"/>
            <wp:effectExtent l="0" t="0" r="7620" b="0"/>
            <wp:wrapSquare wrapText="bothSides"/>
            <wp:docPr id="1761384118" name="Picture 1761384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015CE1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4254CDB3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4A641B14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7D6F99F1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3D719DEC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4AC44BD0" w14:textId="77777777" w:rsidR="005A31F4" w:rsidRPr="000828E9" w:rsidRDefault="005A31F4" w:rsidP="005A31F4">
      <w:pPr>
        <w:spacing w:before="60" w:after="220"/>
        <w:jc w:val="center"/>
        <w:rPr>
          <w:i/>
          <w:iCs/>
        </w:rPr>
      </w:pPr>
    </w:p>
    <w:p w14:paraId="679D45AC" w14:textId="77777777" w:rsidR="005A31F4" w:rsidRPr="000828E9" w:rsidRDefault="005A31F4" w:rsidP="005A31F4"/>
    <w:p w14:paraId="1786D2E5" w14:textId="77777777" w:rsidR="005A31F4" w:rsidRPr="000828E9" w:rsidRDefault="005A31F4" w:rsidP="005A31F4"/>
    <w:p w14:paraId="2A5554E3" w14:textId="77777777" w:rsidR="005A31F4" w:rsidRPr="000828E9" w:rsidRDefault="005A31F4" w:rsidP="005A31F4"/>
    <w:p w14:paraId="26A65D10" w14:textId="77777777" w:rsidR="005A31F4" w:rsidRPr="000828E9" w:rsidRDefault="005A31F4" w:rsidP="005A31F4"/>
    <w:p w14:paraId="574CE50F" w14:textId="77777777" w:rsidR="005A31F4" w:rsidRPr="000828E9" w:rsidRDefault="005A31F4" w:rsidP="005A31F4"/>
    <w:p w14:paraId="3BFC5DC5" w14:textId="77777777" w:rsidR="005A31F4" w:rsidRPr="000828E9" w:rsidRDefault="005A31F4" w:rsidP="005A31F4"/>
    <w:p w14:paraId="5BA628EE" w14:textId="77777777" w:rsidR="005A31F4" w:rsidRPr="000828E9" w:rsidRDefault="005A31F4" w:rsidP="005A31F4"/>
    <w:p w14:paraId="107D0E8D" w14:textId="77777777" w:rsidR="005A31F4" w:rsidRPr="000828E9" w:rsidRDefault="005A31F4" w:rsidP="005A31F4">
      <w:pPr>
        <w:tabs>
          <w:tab w:val="left" w:pos="2148"/>
        </w:tabs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Figure A8. Market-level composition of exploratory asymmetry magnitude: summed absolute long-run asymmetry differences by market. Sopore's total is marginally higher than Shopian's, underscoring that the underlying asymmetry pattern is not concentrated in a single market or chain.</w:t>
      </w:r>
    </w:p>
    <w:p w14:paraId="28A3F3C4" w14:textId="77777777" w:rsidR="005A31F4" w:rsidRPr="000828E9" w:rsidRDefault="005A31F4" w:rsidP="005A31F4">
      <w:pPr>
        <w:spacing w:before="60" w:after="2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anchor distT="0" distB="0" distL="114300" distR="114300" simplePos="0" relativeHeight="251667456" behindDoc="0" locked="0" layoutInCell="1" allowOverlap="1" wp14:anchorId="2E9E7CCD" wp14:editId="1126879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402580" cy="3086100"/>
            <wp:effectExtent l="0" t="0" r="7620" b="0"/>
            <wp:wrapSquare wrapText="bothSides"/>
            <wp:docPr id="1049951111" name="Picture 104995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2"/>
          <w:szCs w:val="22"/>
        </w:rPr>
        <w:t>Figure A9. Model scenario responses under a one-standard-deviation weekly NASCDI shock (SD = 9.44). Price response trajectories across all eight chains show comparable orders of magnitude, without extreme concentration in any single chain.</w:t>
      </w:r>
    </w:p>
    <w:p w14:paraId="72043A05" w14:textId="77777777" w:rsidR="00D70056" w:rsidRPr="005A31F4" w:rsidRDefault="00D70056" w:rsidP="005A31F4"/>
    <w:sectPr w:rsidR="00D70056" w:rsidRPr="005A31F4" w:rsidSect="005A31F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56"/>
    <w:rsid w:val="002E5124"/>
    <w:rsid w:val="00475F39"/>
    <w:rsid w:val="005A31F4"/>
    <w:rsid w:val="00653D34"/>
    <w:rsid w:val="00794E12"/>
    <w:rsid w:val="009A0DB9"/>
    <w:rsid w:val="00D70056"/>
    <w:rsid w:val="00F9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A8DE7"/>
  <w15:chartTrackingRefBased/>
  <w15:docId w15:val="{3E36019D-7424-4D17-AFB2-352BFB23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0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0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0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0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0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0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0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0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0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0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0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0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0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0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0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0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0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0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0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0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0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00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0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05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7005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1727</Words>
  <Characters>9849</Characters>
  <Application>Microsoft Office Word</Application>
  <DocSecurity>0</DocSecurity>
  <Lines>82</Lines>
  <Paragraphs>23</Paragraphs>
  <ScaleCrop>false</ScaleCrop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 Masroor</dc:creator>
  <cp:keywords/>
  <dc:description/>
  <cp:lastModifiedBy>Dar Masroor</cp:lastModifiedBy>
  <cp:revision>5</cp:revision>
  <dcterms:created xsi:type="dcterms:W3CDTF">2026-08-15T08:52:00Z</dcterms:created>
  <dcterms:modified xsi:type="dcterms:W3CDTF">2026-08-22T12:42:00Z</dcterms:modified>
</cp:coreProperties>
</file>