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FA53F">
      <w:pPr>
        <w:pStyle w:val="164"/>
        <w:jc w:val="center"/>
        <w:rPr>
          <w:sz w:val="21"/>
          <w:szCs w:val="21"/>
        </w:rPr>
      </w:pPr>
      <w:r>
        <w:rPr>
          <w:sz w:val="21"/>
          <w:szCs w:val="21"/>
        </w:rPr>
        <w:t>Supplementary Tables</w:t>
      </w:r>
    </w:p>
    <w:p w14:paraId="04D3A7F5">
      <w:pPr>
        <w:pStyle w:val="165"/>
        <w:jc w:val="left"/>
        <w:rPr>
          <w:sz w:val="21"/>
          <w:szCs w:val="21"/>
        </w:rPr>
      </w:pPr>
      <w:r>
        <w:rPr>
          <w:sz w:val="21"/>
          <w:szCs w:val="21"/>
        </w:rPr>
        <w:t>Supplementary Table S1. Demographic characteristics and feedback of patients included in the pretest of the Simplified Chinese PHOSA-ACLR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516"/>
        <w:gridCol w:w="816"/>
        <w:gridCol w:w="2053"/>
        <w:gridCol w:w="1490"/>
        <w:gridCol w:w="1707"/>
        <w:gridCol w:w="1640"/>
        <w:gridCol w:w="1932"/>
        <w:gridCol w:w="1321"/>
        <w:gridCol w:w="1763"/>
        <w:gridCol w:w="2020"/>
      </w:tblGrid>
      <w:tr w14:paraId="5453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" w:hRule="atLeast"/>
          <w:jc w:val="center"/>
        </w:trPr>
        <w:tc>
          <w:tcPr>
            <w:tcW w:w="56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CB851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ID</w:t>
            </w:r>
          </w:p>
        </w:tc>
        <w:tc>
          <w:tcPr>
            <w:tcW w:w="51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2ADD3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Age</w:t>
            </w:r>
          </w:p>
        </w:tc>
        <w:tc>
          <w:tcPr>
            <w:tcW w:w="81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60065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Sex</w:t>
            </w:r>
          </w:p>
        </w:tc>
        <w:tc>
          <w:tcPr>
            <w:tcW w:w="205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3705C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Education</w:t>
            </w:r>
          </w:p>
        </w:tc>
        <w:tc>
          <w:tcPr>
            <w:tcW w:w="149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A99AA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Pre-injury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exercise frequency</w:t>
            </w:r>
          </w:p>
        </w:tc>
        <w:tc>
          <w:tcPr>
            <w:tcW w:w="170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C91E5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Activity at injury</w:t>
            </w:r>
          </w:p>
        </w:tc>
        <w:tc>
          <w:tcPr>
            <w:tcW w:w="16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09344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Comprehension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of instructions</w:t>
            </w:r>
          </w:p>
        </w:tc>
        <w:tc>
          <w:tcPr>
            <w:tcW w:w="193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F93F0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Distinction between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“pain” and “harm”</w:t>
            </w:r>
          </w:p>
        </w:tc>
        <w:tc>
          <w:tcPr>
            <w:tcW w:w="132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0A3F0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Image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recognition</w:t>
            </w:r>
          </w:p>
        </w:tc>
        <w:tc>
          <w:tcPr>
            <w:tcW w:w="176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F4003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Understanding of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0–10 rating</w:t>
            </w:r>
          </w:p>
        </w:tc>
        <w:tc>
          <w:tcPr>
            <w:tcW w:w="202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ECEA4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Key feedback</w:t>
            </w:r>
          </w:p>
        </w:tc>
      </w:tr>
      <w:tr w14:paraId="55ED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56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33ECD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P01</w:t>
            </w:r>
          </w:p>
        </w:tc>
        <w:tc>
          <w:tcPr>
            <w:tcW w:w="51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11547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22</w:t>
            </w:r>
          </w:p>
        </w:tc>
        <w:tc>
          <w:tcPr>
            <w:tcW w:w="816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B3CE6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Male</w:t>
            </w:r>
          </w:p>
        </w:tc>
        <w:tc>
          <w:tcPr>
            <w:tcW w:w="2053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31ACE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Junior college</w:t>
            </w:r>
          </w:p>
        </w:tc>
        <w:tc>
          <w:tcPr>
            <w:tcW w:w="149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ECC28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1–3 times/week</w:t>
            </w:r>
          </w:p>
        </w:tc>
        <w:tc>
          <w:tcPr>
            <w:tcW w:w="1707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0B894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Ball sport</w:t>
            </w:r>
          </w:p>
        </w:tc>
        <w:tc>
          <w:tcPr>
            <w:tcW w:w="164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6952F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8D470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18342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812B1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C54B1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Overall comprehension was good. Running, squatting, sudden stopping, and pivoting were easy to judge when paired with the images, with no obvious ambiguity.</w:t>
            </w:r>
          </w:p>
        </w:tc>
      </w:tr>
      <w:tr w14:paraId="38765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82F744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1703D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9902F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6450E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Junior college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54BA0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4–7 times/week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0D1B7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Non-ball sport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FDF52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82E66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84E4D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73944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4950C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“Sliding (similar to a sliding tackle in soccer)” was understandable, but the soccer-specific context could narrow interpretation; simplification was suggested.</w:t>
            </w:r>
          </w:p>
        </w:tc>
      </w:tr>
      <w:tr w14:paraId="38DF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792BF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B96B2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71F8D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Female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B9482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Postgraduate or above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F0F5C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4–7 times/week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9A534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Ball sport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30386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B67BA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6EB9F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03041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68F29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image for Item 8 was understandable. “Hopscotch” was readily associated with a children’s game; changing it to “single-leg hopping” was suggested.</w:t>
            </w:r>
          </w:p>
        </w:tc>
      </w:tr>
      <w:tr w14:paraId="6D674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7E9A9D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1DCD7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07BD6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DE8FF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Bachelor’s degree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3D727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4–7 times/week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738DF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Non-ball sport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2B293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67360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8058E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C0027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010CA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“Side lunge” was generally understandable, but the direction of movement was not sufficiently explicit; changing it to “lateral lunge” was suggested.</w:t>
            </w:r>
          </w:p>
        </w:tc>
      </w:tr>
      <w:tr w14:paraId="17E7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87AF1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6C10C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F7DD5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Female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82F5C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Postgraduate or above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580FE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1–3 times/week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2A72E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Ball sport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09811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Mostly 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78786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Further explanation needed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D24974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2533C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9FB15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wording corresponding to “distress” could be interpreted as “whether it hurts.” Clarification was suggested: “Do not consider the degree of pain; rate only the degree of harm.”</w:t>
            </w:r>
          </w:p>
        </w:tc>
      </w:tr>
      <w:tr w14:paraId="7057F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D21FB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29568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30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4E7CC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58718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Bachelor’s degree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4E202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1–3 times/month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A8D5B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Ball sport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B5183D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09323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A2142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C7E83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39CADD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“Start sprinting” was somewhat repetitive; “pivoting movement (switching/changing direction)” was overly broad and was suggested to be simplified.</w:t>
            </w:r>
          </w:p>
        </w:tc>
      </w:tr>
      <w:tr w14:paraId="6198D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3B02E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P07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F1FD1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36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ECDA7D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Female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26923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High school/technical secondary school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CD1FE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1–3 times/month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24328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Non-sport activity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6A671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7F988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CDEFC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identifiable with images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3F66F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93BA1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Without the images, “side lunge,” “sliding,” and “hopscotch” were less intuitive; the trampoline item was also considered too wordy.</w:t>
            </w:r>
          </w:p>
        </w:tc>
      </w:tr>
      <w:tr w14:paraId="5E9A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35573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0E181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41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FBCE1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Female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921CF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Bachelor’s degree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D7612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1–3 times/week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F6957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Ball sport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1B7BA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55A46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73D7C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12 items identified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08775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26772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“Sudden stop” was intuitive, but “suddenly decelerate--stop” sounded unnatural; changing it to “suddenly decelerate and stop (sudden stop)” was suggested.</w:t>
            </w:r>
          </w:p>
        </w:tc>
      </w:tr>
      <w:tr w14:paraId="29EA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56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F4281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P09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46C29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48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934FB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Male</w:t>
            </w:r>
          </w:p>
        </w:tc>
        <w:tc>
          <w:tcPr>
            <w:tcW w:w="2053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EC316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Junior high school or below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9B5EB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1–3 times/month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9D21A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Unclear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C1077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Mostly clear; some wording required explanation</w:t>
            </w:r>
          </w:p>
        </w:tc>
        <w:tc>
          <w:tcPr>
            <w:tcW w:w="193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D2D9B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Further explanation needed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8CB57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identifiable with images</w:t>
            </w:r>
          </w:p>
        </w:tc>
        <w:tc>
          <w:tcPr>
            <w:tcW w:w="1763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C2D81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Clear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CD463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wording corresponding to “distress” was readily interpreted as pain. Without the images, “hopscotch” and “pivoting movement” were not sufficiently intuitive; more direct Chinese wording was suggested.</w:t>
            </w:r>
          </w:p>
        </w:tc>
      </w:tr>
    </w:tbl>
    <w:p w14:paraId="750736BA">
      <w:pPr>
        <w:pStyle w:val="166"/>
        <w:spacing w:before="60"/>
        <w:rPr>
          <w:sz w:val="21"/>
          <w:szCs w:val="21"/>
        </w:rPr>
      </w:pPr>
      <w:r>
        <w:rPr>
          <w:sz w:val="21"/>
          <w:szCs w:val="21"/>
        </w:rPr>
        <w:t>Note</w:t>
      </w:r>
      <w:bookmarkStart w:id="0" w:name="_GoBack"/>
      <w:bookmarkEnd w:id="0"/>
      <w:r>
        <w:rPr>
          <w:sz w:val="21"/>
          <w:szCs w:val="21"/>
        </w:rPr>
        <w:t>: PHOSA-ACLR, Photographic Series of Sports Activities for Anterior Cruciate Ligament Reconstruction. Quoted Chinese wording is rendered in English for reporting purposes.</w:t>
      </w:r>
    </w:p>
    <w:p w14:paraId="27EE0EBE">
      <w:pPr>
        <w:rPr>
          <w:sz w:val="21"/>
          <w:szCs w:val="21"/>
        </w:rPr>
      </w:pPr>
      <w:r>
        <w:rPr>
          <w:sz w:val="21"/>
          <w:szCs w:val="21"/>
        </w:rPr>
        <w:br w:type="textWrapping"/>
      </w:r>
    </w:p>
    <w:p w14:paraId="1DBDF31C">
      <w:pPr>
        <w:pStyle w:val="165"/>
        <w:rPr>
          <w:sz w:val="21"/>
          <w:szCs w:val="21"/>
        </w:rPr>
      </w:pPr>
      <w:r>
        <w:rPr>
          <w:sz w:val="21"/>
          <w:szCs w:val="21"/>
        </w:rPr>
        <w:t>Supplementary Table S2. Summary of feedback from the nine pretest patients and corresponding revisions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3164"/>
        <w:gridCol w:w="3164"/>
        <w:gridCol w:w="3164"/>
        <w:gridCol w:w="3164"/>
      </w:tblGrid>
      <w:tr w14:paraId="4DE92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44FBB5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Evaluation component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9D4990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Clearly understood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n (%)</w:t>
            </w:r>
          </w:p>
        </w:tc>
        <w:tc>
          <w:tcPr>
            <w:tcW w:w="180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428231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Questions / explanation needed</w:t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n (%)</w:t>
            </w:r>
          </w:p>
        </w:tc>
        <w:tc>
          <w:tcPr>
            <w:tcW w:w="468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80D91F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Key feedback</w:t>
            </w:r>
          </w:p>
        </w:tc>
        <w:tc>
          <w:tcPr>
            <w:tcW w:w="511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0478B3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/>
                <w:sz w:val="21"/>
                <w:szCs w:val="21"/>
              </w:rPr>
              <w:t>Final revision</w:t>
            </w:r>
          </w:p>
        </w:tc>
      </w:tr>
      <w:tr w14:paraId="02F63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ADAE6B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Overall instructions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35522C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7 (77.8%)</w:t>
            </w:r>
          </w:p>
        </w:tc>
        <w:tc>
          <w:tcPr>
            <w:tcW w:w="180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CC35AE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 (22.2%)</w:t>
            </w:r>
          </w:p>
        </w:tc>
        <w:tc>
          <w:tcPr>
            <w:tcW w:w="468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089FF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wording corresponding to “distress” could lead some patients to associate the task with pain experience.</w:t>
            </w:r>
          </w:p>
        </w:tc>
        <w:tc>
          <w:tcPr>
            <w:tcW w:w="5112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7313F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Further clarified the instructions to emphasize that ratings concern the perceived potential for harm caused by the movement.</w:t>
            </w:r>
          </w:p>
        </w:tc>
      </w:tr>
      <w:tr w14:paraId="0CA6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DD9D8C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Distinction between “pain” and “harm”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7C7D3E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7 (77.8%)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AF9610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 (22.2%)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D9EC2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At first reading, 2 patients associated the wording corresponding to “distress” with pain caused by the movement.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E9D7D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Changed “How distressing the movement is does not matter” to “Do not consider the pain you imagine; consider only how harmful you think the movement is to your knee.”</w:t>
            </w:r>
          </w:p>
        </w:tc>
      </w:tr>
      <w:tr w14:paraId="7486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778090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0–10 rating anchors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7BE028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9E786E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FC512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patients understood the meanings of 0 and 10 and could use intermediate values for rating.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8DBC37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Retained the 0–10 rating format.</w:t>
            </w:r>
          </w:p>
        </w:tc>
      </w:tr>
      <w:tr w14:paraId="4778E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11864C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Recognition of pictured movements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F893F2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46371E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AFE0E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patients could identify the depicted sports movements with the aid of the images.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F45E3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Retained all original images and their presentation order.</w:t>
            </w:r>
          </w:p>
        </w:tc>
      </w:tr>
      <w:tr w14:paraId="05F2D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4559F9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“Running”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8F54B2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052543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F08FC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 obvious difficulty in comprehension.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FB67CF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Retained.</w:t>
            </w:r>
          </w:p>
        </w:tc>
      </w:tr>
      <w:tr w14:paraId="0A880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4BF61B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“Landing after a jump”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3F6549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5A7635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2B8F9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Meaning was clear, but wording equivalent to “landing” was considered more conventional for a sports movement.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88F75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“Landing after jumping.”</w:t>
            </w:r>
          </w:p>
        </w:tc>
      </w:tr>
      <w:tr w14:paraId="175A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3F980D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“Squat”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653981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3B9FE7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23E76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 obvious difficulty in comprehension.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093623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Retained.</w:t>
            </w:r>
          </w:p>
        </w:tc>
      </w:tr>
      <w:tr w14:paraId="1327A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38C427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“Side lunge”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9C3D03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7 (77.8%)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B5E8F1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 (22.2%)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213B6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Some patients considered the direction of movement insufficiently explicit.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D5F9F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“Lateral lunge.”</w:t>
            </w:r>
          </w:p>
        </w:tc>
      </w:tr>
      <w:tr w14:paraId="22C66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CC4B93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“Single-leg jump”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87ED57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85CE75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2F426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 obvious difficulty in comprehension.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3900B1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Retained.</w:t>
            </w:r>
          </w:p>
        </w:tc>
      </w:tr>
      <w:tr w14:paraId="4DD7A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468033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“Sliding (similar to a sliding tackle in soccer)”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77B6DC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7 (77.8%)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FEBDA5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 (22.2%)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74A97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soccer example in parentheses could provide an unnecessary contextual cue; patients without a ball-sport background found the wording less intuitive without the image.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CC82F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Deleted the soccer-specific explanation in parentheses; the final version uses “Sliding.”</w:t>
            </w:r>
          </w:p>
        </w:tc>
      </w:tr>
      <w:tr w14:paraId="1FAB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0DABD9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“Suddenly decelerate--stop (sudden stop)”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B56FDD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8 (88.9%)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389D24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 (11.1%)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BCB49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“Sudden stop” was easy to understand, but the preceding written expression sounded unnatural.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1AD7BA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“Suddenly decelerate and stop (sudden stop).”</w:t>
            </w:r>
          </w:p>
        </w:tc>
      </w:tr>
      <w:tr w14:paraId="1CFB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9F327E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“Hopscotch (hopping side to side on the affected leg)”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C0B3DA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6 (66.7%)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CD347A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3 (33.3%)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658944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“Hopscotch” was readily associated with a children’s game and did not accurately summarize the movement shown in the image.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73BCA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“Single-leg hopping.”</w:t>
            </w:r>
          </w:p>
        </w:tc>
      </w:tr>
      <w:tr w14:paraId="49E93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3D4B19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“Lunge squat - affected leg in front”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F1493B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43ABD3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4DDF22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Meaning was clear; the issue mainly concerned written-format consistency.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3F48E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“Lunge squat (affected leg in front).”</w:t>
            </w:r>
          </w:p>
        </w:tc>
      </w:tr>
      <w:tr w14:paraId="7366C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90F0CD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“Start sprinting”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4522A2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8 (88.9%)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2060BA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 (11.1%)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7B0285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wording for “sprinting” was slightly repetitive, although the movement itself was easy to understand.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F8ACB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“Sprint start.”</w:t>
            </w:r>
          </w:p>
        </w:tc>
      </w:tr>
      <w:tr w14:paraId="4CAB7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05B721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“Jumping and landing on a trampoline”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82963D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8 (88.9%)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3BAA99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1 (11.1%)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85B7D8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Meaning was clear, but the wording was relatively long and inconsistent with the naming style of the other items.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DEA13E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“Trampoline jumping and landing.”</w:t>
            </w:r>
          </w:p>
        </w:tc>
      </w:tr>
      <w:tr w14:paraId="768E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E4B29D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“Pivoting movement (switching direction, changing direction)”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4B7CE8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7 (77.8%)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01692B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2 (22.2%)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2EF75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“Pivoting movement” was too broad, and “switching direction” and “changing direction” were redundant.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FA0CDC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Revised to “Pivoting/change of direction.”</w:t>
            </w:r>
          </w:p>
        </w:tc>
      </w:tr>
      <w:tr w14:paraId="2BE3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94108A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Any item impossible to rate?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172C74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(100%): none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F21EEA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BF1150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All patients were able to complete ratings for all 12 items.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6F4BC6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No items were removed.</w:t>
            </w:r>
          </w:p>
        </w:tc>
      </w:tr>
      <w:tr w14:paraId="7038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4D8117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Need to add any image items?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7B40F1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9 (100%): no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022901">
            <w:pPr>
              <w:spacing w:before="0"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0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395CA9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The existing images adequately covered the presented movement tasks.</w:t>
            </w:r>
          </w:p>
        </w:tc>
        <w:tc>
          <w:tcPr>
            <w:tcW w:w="511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EB167B">
            <w:pPr>
              <w:spacing w:before="0" w:after="0" w:line="240" w:lineRule="auto"/>
              <w:jc w:val="left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b w:val="0"/>
                <w:sz w:val="21"/>
                <w:szCs w:val="21"/>
              </w:rPr>
              <w:t>Retained the original 12 images.</w:t>
            </w:r>
          </w:p>
        </w:tc>
      </w:tr>
    </w:tbl>
    <w:p w14:paraId="746DF5ED">
      <w:pPr>
        <w:pStyle w:val="166"/>
        <w:spacing w:before="60"/>
        <w:rPr>
          <w:sz w:val="21"/>
          <w:szCs w:val="21"/>
        </w:rPr>
      </w:pPr>
      <w:r>
        <w:rPr>
          <w:sz w:val="21"/>
          <w:szCs w:val="21"/>
        </w:rPr>
        <w:t>Note: The English wording in quotation marks is a reporting translation of the Chinese wording evaluated during pretesting. The final Simplified Chinese PHOSA-ACLR retained all 12 original images.</w:t>
      </w:r>
    </w:p>
    <w:sectPr>
      <w:pgSz w:w="16838" w:h="11906" w:orient="landscape"/>
      <w:pgMar w:top="567" w:right="510" w:bottom="567" w:left="51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795D21"/>
    <w:rsid w:val="6C64024B"/>
    <w:rsid w:val="7CF8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SuppTitle"/>
    <w:uiPriority w:val="0"/>
    <w:pPr>
      <w:spacing w:after="80" w:line="276" w:lineRule="auto"/>
    </w:pPr>
    <w:rPr>
      <w:rFonts w:ascii="Times New Roman" w:hAnsi="Times New Roman" w:eastAsia="Times New Roman" w:cstheme="minorBidi"/>
      <w:b/>
      <w:sz w:val="28"/>
      <w:szCs w:val="22"/>
      <w:lang w:val="en-US" w:eastAsia="en-US" w:bidi="ar-SA"/>
    </w:rPr>
  </w:style>
  <w:style w:type="paragraph" w:customStyle="1" w:styleId="165">
    <w:name w:val="SuppCaption"/>
    <w:uiPriority w:val="0"/>
    <w:pPr>
      <w:spacing w:after="80" w:line="276" w:lineRule="auto"/>
    </w:pPr>
    <w:rPr>
      <w:rFonts w:ascii="Times New Roman" w:hAnsi="Times New Roman" w:eastAsia="Times New Roman" w:cstheme="minorBidi"/>
      <w:b/>
      <w:sz w:val="21"/>
      <w:szCs w:val="22"/>
      <w:lang w:val="en-US" w:eastAsia="en-US" w:bidi="ar-SA"/>
    </w:rPr>
  </w:style>
  <w:style w:type="paragraph" w:customStyle="1" w:styleId="166">
    <w:name w:val="SuppNote"/>
    <w:uiPriority w:val="0"/>
    <w:pPr>
      <w:spacing w:after="80" w:line="276" w:lineRule="auto"/>
    </w:pPr>
    <w:rPr>
      <w:rFonts w:ascii="Times New Roman" w:hAnsi="Times New Roman" w:eastAsia="Times New Roman" w:cstheme="minorBidi"/>
      <w:sz w:val="1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988</Words>
  <Characters>5786</Characters>
  <Lines>0</Lines>
  <Paragraphs>0</Paragraphs>
  <TotalTime>4</TotalTime>
  <ScaleCrop>false</ScaleCrop>
  <LinksUpToDate>false</LinksUpToDate>
  <CharactersWithSpaces>6557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xujie</cp:lastModifiedBy>
  <dcterms:modified xsi:type="dcterms:W3CDTF">2026-08-18T08:23:00Z</dcterms:modified>
  <dc:subject>English submission version of supplementary pretest tables</dc:subject>
  <dc:title>PHOSA-ACLR Supplementary Tables - English Version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eyJoZGlkIjoiZDgyYWE3MmIwZDgxOWVkYWE1OGE3ZTQ2NzllNGE3ZTEiLCJ1c2VySWQiOiI0OTQxMDY1MDgifQ==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0115236156E34C5FA26ED0EB72830F73_13</vt:lpwstr>
  </property>
</Properties>
</file>