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9D81F" w14:textId="0DF93FD7" w:rsidR="00F3702F" w:rsidRPr="0013217D" w:rsidRDefault="00F3702F" w:rsidP="00CD2BC0">
      <w:pPr>
        <w:pStyle w:val="Heading1"/>
        <w:spacing w:line="360" w:lineRule="auto"/>
        <w:rPr>
          <w:rFonts w:eastAsia="Aptos"/>
        </w:rPr>
      </w:pPr>
      <w:r>
        <w:rPr>
          <w:rFonts w:eastAsia="Aptos"/>
        </w:rPr>
        <w:t>Supp</w:t>
      </w:r>
      <w:r w:rsidR="008D367E">
        <w:rPr>
          <w:rFonts w:eastAsia="Aptos"/>
        </w:rPr>
        <w:t>lementary material</w:t>
      </w:r>
    </w:p>
    <w:tbl>
      <w:tblPr>
        <w:tblW w:w="5000" w:type="pct"/>
        <w:tblLook w:val="0400" w:firstRow="0" w:lastRow="0" w:firstColumn="0" w:lastColumn="0" w:noHBand="0" w:noVBand="1"/>
      </w:tblPr>
      <w:tblGrid>
        <w:gridCol w:w="1802"/>
        <w:gridCol w:w="3407"/>
        <w:gridCol w:w="5247"/>
      </w:tblGrid>
      <w:tr w:rsidR="00F3702F" w:rsidRPr="009D76B3" w14:paraId="01FEFADC" w14:textId="77777777" w:rsidTr="00CD2BC0">
        <w:trPr>
          <w:trHeight w:val="347"/>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4DF80" w14:textId="77777777" w:rsidR="00F3702F" w:rsidRPr="00CD2BC0" w:rsidRDefault="00F3702F" w:rsidP="00F612D6">
            <w:pPr>
              <w:spacing w:line="360" w:lineRule="auto"/>
              <w:jc w:val="center"/>
              <w:rPr>
                <w:rFonts w:ascii="Aptos Narrow" w:eastAsia="Aptos" w:hAnsi="Aptos Narrow" w:cs="Aptos"/>
                <w:b/>
                <w:bCs/>
                <w:sz w:val="22"/>
                <w:szCs w:val="22"/>
              </w:rPr>
            </w:pPr>
            <w:r w:rsidRPr="00CD2BC0">
              <w:rPr>
                <w:rFonts w:ascii="Aptos Narrow" w:eastAsia="Aptos" w:hAnsi="Aptos Narrow" w:cs="Aptos"/>
                <w:b/>
                <w:bCs/>
                <w:sz w:val="22"/>
                <w:szCs w:val="22"/>
              </w:rPr>
              <w:t>Supplementary Table 1: Population, Concept and Context framework</w:t>
            </w:r>
          </w:p>
        </w:tc>
      </w:tr>
      <w:tr w:rsidR="00F3702F" w:rsidRPr="009D76B3" w14:paraId="6EB5F4D7" w14:textId="77777777" w:rsidTr="00CD2BC0">
        <w:tc>
          <w:tcPr>
            <w:tcW w:w="8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A76BB" w14:textId="77777777" w:rsidR="00F3702F" w:rsidRPr="00CD2BC0" w:rsidRDefault="00F3702F" w:rsidP="00F612D6">
            <w:pPr>
              <w:spacing w:line="360" w:lineRule="auto"/>
              <w:rPr>
                <w:rFonts w:ascii="Aptos Narrow" w:eastAsia="Aptos" w:hAnsi="Aptos Narrow" w:cs="Aptos"/>
                <w:b/>
                <w:bCs/>
                <w:sz w:val="22"/>
                <w:szCs w:val="22"/>
              </w:rPr>
            </w:pPr>
            <w:r w:rsidRPr="00CD2BC0">
              <w:rPr>
                <w:rFonts w:ascii="Aptos Narrow" w:eastAsia="Aptos" w:hAnsi="Aptos Narrow" w:cs="Aptos"/>
                <w:b/>
                <w:bCs/>
                <w:sz w:val="22"/>
                <w:szCs w:val="22"/>
              </w:rPr>
              <w:t>PCC Element</w:t>
            </w:r>
          </w:p>
        </w:tc>
        <w:tc>
          <w:tcPr>
            <w:tcW w:w="16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9AF3E" w14:textId="77777777" w:rsidR="00F3702F" w:rsidRPr="00CD2BC0" w:rsidRDefault="00F3702F" w:rsidP="00F612D6">
            <w:pPr>
              <w:spacing w:line="360" w:lineRule="auto"/>
              <w:rPr>
                <w:rFonts w:ascii="Aptos Narrow" w:eastAsia="Aptos" w:hAnsi="Aptos Narrow" w:cs="Aptos"/>
                <w:b/>
                <w:bCs/>
                <w:sz w:val="22"/>
                <w:szCs w:val="22"/>
              </w:rPr>
            </w:pPr>
            <w:r w:rsidRPr="00CD2BC0">
              <w:rPr>
                <w:rFonts w:ascii="Aptos Narrow" w:eastAsia="Aptos" w:hAnsi="Aptos Narrow" w:cs="Aptos"/>
                <w:b/>
                <w:bCs/>
                <w:sz w:val="22"/>
                <w:szCs w:val="22"/>
              </w:rPr>
              <w:t>Variable</w:t>
            </w:r>
            <w:r w:rsidRPr="00CD2BC0">
              <w:rPr>
                <w:rFonts w:ascii="Aptos Narrow" w:eastAsia="Aptos" w:hAnsi="Aptos Narrow" w:cs="Aptos"/>
                <w:b/>
                <w:bCs/>
                <w:sz w:val="22"/>
                <w:szCs w:val="22"/>
              </w:rPr>
              <w:tab/>
            </w:r>
          </w:p>
        </w:tc>
        <w:tc>
          <w:tcPr>
            <w:tcW w:w="25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496B2" w14:textId="77777777" w:rsidR="00F3702F" w:rsidRPr="00CD2BC0" w:rsidRDefault="00F3702F" w:rsidP="00F612D6">
            <w:pPr>
              <w:spacing w:line="360" w:lineRule="auto"/>
              <w:rPr>
                <w:rFonts w:ascii="Aptos Narrow" w:eastAsia="Aptos" w:hAnsi="Aptos Narrow" w:cs="Aptos"/>
                <w:b/>
                <w:bCs/>
                <w:sz w:val="22"/>
                <w:szCs w:val="22"/>
              </w:rPr>
            </w:pPr>
            <w:r w:rsidRPr="00CD2BC0">
              <w:rPr>
                <w:rFonts w:ascii="Aptos Narrow" w:eastAsia="Aptos" w:hAnsi="Aptos Narrow" w:cs="Aptos"/>
                <w:b/>
                <w:bCs/>
                <w:sz w:val="22"/>
                <w:szCs w:val="22"/>
              </w:rPr>
              <w:t>Description</w:t>
            </w:r>
          </w:p>
        </w:tc>
      </w:tr>
      <w:tr w:rsidR="00F3702F" w:rsidRPr="009D76B3" w14:paraId="2C5478C9" w14:textId="77777777" w:rsidTr="00CD2BC0">
        <w:tc>
          <w:tcPr>
            <w:tcW w:w="8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ED590" w14:textId="77777777" w:rsidR="00F3702F" w:rsidRPr="00CD2BC0" w:rsidRDefault="00F3702F" w:rsidP="00F612D6">
            <w:pPr>
              <w:spacing w:line="360" w:lineRule="auto"/>
              <w:rPr>
                <w:rFonts w:ascii="Aptos Narrow" w:eastAsia="Aptos" w:hAnsi="Aptos Narrow" w:cs="Aptos"/>
                <w:b/>
                <w:bCs/>
                <w:sz w:val="22"/>
                <w:szCs w:val="22"/>
              </w:rPr>
            </w:pPr>
            <w:r w:rsidRPr="00CD2BC0">
              <w:rPr>
                <w:rFonts w:ascii="Aptos Narrow" w:eastAsia="Aptos" w:hAnsi="Aptos Narrow" w:cs="Aptos"/>
                <w:b/>
                <w:bCs/>
                <w:sz w:val="22"/>
                <w:szCs w:val="22"/>
              </w:rPr>
              <w:t>Population</w:t>
            </w:r>
          </w:p>
        </w:tc>
        <w:tc>
          <w:tcPr>
            <w:tcW w:w="16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3E015"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Hospitals/ health facilities</w:t>
            </w:r>
          </w:p>
        </w:tc>
        <w:tc>
          <w:tcPr>
            <w:tcW w:w="25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87F9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Hospitals or health facilities are the unit for analysis. The population encompasses local facilities, as the first point of contact with the community, responsible for collecting, analysing, and utilizing routine health data for routine decision-making processes</w:t>
            </w:r>
          </w:p>
        </w:tc>
      </w:tr>
      <w:tr w:rsidR="00F3702F" w:rsidRPr="009D76B3" w14:paraId="696695F6" w14:textId="77777777" w:rsidTr="00CD2BC0">
        <w:tc>
          <w:tcPr>
            <w:tcW w:w="8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A8D30" w14:textId="77777777" w:rsidR="00F3702F" w:rsidRPr="00CD2BC0" w:rsidRDefault="00F3702F" w:rsidP="00F612D6">
            <w:pPr>
              <w:spacing w:line="360" w:lineRule="auto"/>
              <w:rPr>
                <w:rFonts w:ascii="Aptos Narrow" w:eastAsia="Aptos" w:hAnsi="Aptos Narrow" w:cs="Aptos"/>
                <w:b/>
                <w:bCs/>
                <w:sz w:val="22"/>
                <w:szCs w:val="22"/>
              </w:rPr>
            </w:pPr>
            <w:r w:rsidRPr="00CD2BC0">
              <w:rPr>
                <w:rFonts w:ascii="Aptos Narrow" w:eastAsia="Aptos" w:hAnsi="Aptos Narrow" w:cs="Aptos"/>
                <w:b/>
                <w:bCs/>
                <w:sz w:val="22"/>
                <w:szCs w:val="22"/>
              </w:rPr>
              <w:t>Concept</w:t>
            </w:r>
          </w:p>
        </w:tc>
        <w:tc>
          <w:tcPr>
            <w:tcW w:w="16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73FEF"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Use of theories, logic models or frameworks that guide the institutionalisation of the use of routinely generated data in routine decision-making. </w:t>
            </w:r>
          </w:p>
        </w:tc>
        <w:tc>
          <w:tcPr>
            <w:tcW w:w="25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C70F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The central concept of the review is the sustainability of the implementation practices that enhance the use of routine health “everyday” data in local decision-making. This Includes examining theories, models, frameworks, and associated mechanisms that promote or hinder the integration of data generated from everyday practice into routine decision-making fora. </w:t>
            </w:r>
          </w:p>
        </w:tc>
      </w:tr>
      <w:tr w:rsidR="00F3702F" w:rsidRPr="009D76B3" w14:paraId="01A1DA3A" w14:textId="77777777" w:rsidTr="00CD2BC0">
        <w:tc>
          <w:tcPr>
            <w:tcW w:w="8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3DD3B" w14:textId="77777777" w:rsidR="00F3702F" w:rsidRPr="00CD2BC0" w:rsidRDefault="00F3702F" w:rsidP="00F612D6">
            <w:pPr>
              <w:spacing w:line="360" w:lineRule="auto"/>
              <w:rPr>
                <w:rFonts w:ascii="Aptos Narrow" w:eastAsia="Aptos" w:hAnsi="Aptos Narrow" w:cs="Aptos"/>
                <w:b/>
                <w:bCs/>
                <w:sz w:val="22"/>
                <w:szCs w:val="22"/>
              </w:rPr>
            </w:pPr>
            <w:r w:rsidRPr="00CD2BC0">
              <w:rPr>
                <w:rFonts w:ascii="Aptos Narrow" w:eastAsia="Aptos" w:hAnsi="Aptos Narrow" w:cs="Aptos"/>
                <w:b/>
                <w:bCs/>
                <w:sz w:val="22"/>
                <w:szCs w:val="22"/>
              </w:rPr>
              <w:t>Context</w:t>
            </w:r>
          </w:p>
        </w:tc>
        <w:tc>
          <w:tcPr>
            <w:tcW w:w="16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AD244"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Sub-Saharan Africa countries</w:t>
            </w:r>
          </w:p>
        </w:tc>
        <w:tc>
          <w:tcPr>
            <w:tcW w:w="25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1262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The review will consider contextual factors influencing routine data use that is relevant to, and concerns SSA, where there is low uptake of EHRs at local health facilities and existing efforts to implement data pipelines tend to be donor funded with questionable sustainability</w:t>
            </w:r>
          </w:p>
        </w:tc>
      </w:tr>
    </w:tbl>
    <w:p w14:paraId="393D82C4" w14:textId="77777777" w:rsidR="00F3702F" w:rsidRDefault="00F3702F" w:rsidP="00F3702F">
      <w:pPr>
        <w:spacing w:line="360" w:lineRule="auto"/>
        <w:jc w:val="left"/>
        <w:rPr>
          <w:rFonts w:ascii="Aptos" w:eastAsia="Aptos" w:hAnsi="Aptos" w:cs="Aptos"/>
          <w:sz w:val="22"/>
          <w:szCs w:val="22"/>
        </w:rPr>
      </w:pPr>
      <w:bookmarkStart w:id="0" w:name="_4ry7ectv4obh" w:colFirst="0" w:colLast="0"/>
      <w:bookmarkEnd w:id="0"/>
    </w:p>
    <w:p w14:paraId="71548C2F" w14:textId="77777777" w:rsidR="000E1BD2" w:rsidRDefault="000E1BD2" w:rsidP="00F3702F">
      <w:pPr>
        <w:spacing w:line="360" w:lineRule="auto"/>
        <w:jc w:val="left"/>
        <w:rPr>
          <w:rFonts w:ascii="Aptos" w:eastAsia="Aptos" w:hAnsi="Aptos" w:cs="Aptos"/>
          <w:sz w:val="22"/>
          <w:szCs w:val="22"/>
        </w:rPr>
      </w:pPr>
    </w:p>
    <w:tbl>
      <w:tblPr>
        <w:tblW w:w="5000" w:type="pct"/>
        <w:tblLook w:val="0400" w:firstRow="0" w:lastRow="0" w:firstColumn="0" w:lastColumn="0" w:noHBand="0" w:noVBand="1"/>
      </w:tblPr>
      <w:tblGrid>
        <w:gridCol w:w="525"/>
        <w:gridCol w:w="1752"/>
        <w:gridCol w:w="8179"/>
      </w:tblGrid>
      <w:tr w:rsidR="00F3702F" w:rsidRPr="009D76B3" w14:paraId="5267A304" w14:textId="77777777" w:rsidTr="00863E8B">
        <w:trPr>
          <w:tblHeader/>
        </w:trPr>
        <w:tc>
          <w:tcPr>
            <w:tcW w:w="5000" w:type="pct"/>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52BF521" w14:textId="77777777" w:rsidR="00F3702F" w:rsidRPr="00863E8B" w:rsidRDefault="00F3702F" w:rsidP="00F612D6">
            <w:pPr>
              <w:spacing w:line="360" w:lineRule="auto"/>
              <w:jc w:val="center"/>
              <w:rPr>
                <w:rFonts w:ascii="Aptos Narrow" w:eastAsia="Aptos" w:hAnsi="Aptos Narrow" w:cs="Aptos"/>
                <w:b/>
                <w:bCs/>
                <w:sz w:val="22"/>
                <w:szCs w:val="22"/>
              </w:rPr>
            </w:pPr>
            <w:r w:rsidRPr="00863E8B">
              <w:rPr>
                <w:rFonts w:ascii="Aptos Narrow" w:eastAsia="Aptos" w:hAnsi="Aptos Narrow" w:cs="Aptos"/>
                <w:b/>
                <w:bCs/>
                <w:sz w:val="22"/>
                <w:szCs w:val="22"/>
              </w:rPr>
              <w:t>Supplementary Table 2:  Example search strategy for EMBASE (Ovid)</w:t>
            </w:r>
          </w:p>
        </w:tc>
      </w:tr>
      <w:tr w:rsidR="00F3702F" w:rsidRPr="009D76B3" w14:paraId="1C6943C0" w14:textId="77777777" w:rsidTr="00863E8B">
        <w:trPr>
          <w:tblHeader/>
        </w:trPr>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CE5BAD9" w14:textId="77777777" w:rsidR="00F3702F" w:rsidRPr="009D76B3" w:rsidRDefault="00F3702F" w:rsidP="00F612D6">
            <w:pPr>
              <w:spacing w:line="360" w:lineRule="auto"/>
              <w:rPr>
                <w:rFonts w:ascii="Aptos Narrow" w:eastAsia="Aptos" w:hAnsi="Aptos Narrow" w:cs="Aptos"/>
                <w:sz w:val="22"/>
                <w:szCs w:val="22"/>
              </w:rPr>
            </w:pPr>
          </w:p>
        </w:tc>
        <w:tc>
          <w:tcPr>
            <w:tcW w:w="838"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43E145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b/>
                <w:bCs/>
                <w:i/>
                <w:iCs/>
                <w:sz w:val="22"/>
                <w:szCs w:val="22"/>
              </w:rPr>
              <w:t>Concept</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9F0AA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b/>
                <w:bCs/>
                <w:i/>
                <w:iCs/>
                <w:sz w:val="22"/>
                <w:szCs w:val="22"/>
              </w:rPr>
              <w:t>Search term</w:t>
            </w:r>
          </w:p>
        </w:tc>
      </w:tr>
      <w:tr w:rsidR="00F3702F" w:rsidRPr="009D76B3" w14:paraId="65C2D578"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D58D95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w:t>
            </w:r>
          </w:p>
        </w:tc>
        <w:tc>
          <w:tcPr>
            <w:tcW w:w="838" w:type="pct"/>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97C2F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Use of theory</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D1F531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theory/ </w:t>
            </w:r>
          </w:p>
        </w:tc>
      </w:tr>
      <w:tr w:rsidR="00F3702F" w:rsidRPr="009D76B3" w14:paraId="0D91F0EF"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E84473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3ACF507"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D40E4B0"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conceptual framework/ </w:t>
            </w:r>
          </w:p>
        </w:tc>
      </w:tr>
      <w:tr w:rsidR="00F3702F" w:rsidRPr="009D76B3" w14:paraId="4498BA19"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D4AEC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410937"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E0B5A6B"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model/ </w:t>
            </w:r>
          </w:p>
        </w:tc>
      </w:tr>
      <w:tr w:rsidR="00F3702F" w:rsidRPr="009D76B3" w14:paraId="78975ED1"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283B6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4</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C7BD4F4"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5A57C1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"Diffusion of Innovation"/ </w:t>
            </w:r>
          </w:p>
        </w:tc>
      </w:tr>
      <w:tr w:rsidR="00F3702F" w:rsidRPr="009D76B3" w14:paraId="0E398BBE"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21D628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5</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5A80FC"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712FB2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(theor* or model* or framework* or concept* or "diffusion of innovation" or thematic* or "systems thinking" or realist or constructivist). ti,ab,kf. </w:t>
            </w:r>
          </w:p>
        </w:tc>
      </w:tr>
      <w:tr w:rsidR="00F3702F" w:rsidRPr="009D76B3" w14:paraId="615F6D90"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0B2AE9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6</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1DFF9DE"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881A9E4"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 or 2 or 3 or 4 or 5 </w:t>
            </w:r>
          </w:p>
        </w:tc>
      </w:tr>
      <w:tr w:rsidR="00F3702F" w:rsidRPr="009D76B3" w14:paraId="6E491F7D"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FB101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7</w:t>
            </w:r>
          </w:p>
        </w:tc>
        <w:tc>
          <w:tcPr>
            <w:tcW w:w="838" w:type="pct"/>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EA4457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Health facilities or hospitals</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F092E7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*hospital/ </w:t>
            </w:r>
          </w:p>
        </w:tc>
      </w:tr>
      <w:tr w:rsidR="00F3702F" w:rsidRPr="009D76B3" w14:paraId="6D13023C"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649F374"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8</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E0D5220"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0147D2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*health care facility/ </w:t>
            </w:r>
          </w:p>
        </w:tc>
      </w:tr>
      <w:tr w:rsidR="00F3702F" w:rsidRPr="009D76B3" w14:paraId="6D1E5E0D"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D499E4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9</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4AB607"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9362461"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(("ward" or "bedside") adj2 "round"). ti,ab,kf. </w:t>
            </w:r>
          </w:p>
        </w:tc>
      </w:tr>
      <w:tr w:rsidR="00F3702F" w:rsidRPr="009D76B3" w14:paraId="1EC394C9"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10AF72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lastRenderedPageBreak/>
              <w:t>10</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B7A818"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CB88B4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((clinical or medical or dental or private or general or family or professional or hospital? or health?) adj practice?).ti,ab,kf. </w:t>
            </w:r>
          </w:p>
        </w:tc>
      </w:tr>
      <w:tr w:rsidR="00F3702F" w:rsidRPr="009D76B3" w14:paraId="4B6CB787"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02F97C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11</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CDE359C"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3BB81B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(facilit* or hospital*).ti,ab,kf. </w:t>
            </w:r>
          </w:p>
        </w:tc>
      </w:tr>
      <w:tr w:rsidR="00F3702F" w:rsidRPr="009D76B3" w14:paraId="2FD33285"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C992A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12</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40BFDFD"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B1BAD4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("health*" adj2 "service*").ti,ab,kf. </w:t>
            </w:r>
          </w:p>
        </w:tc>
      </w:tr>
      <w:tr w:rsidR="00F3702F" w:rsidRPr="009D76B3" w14:paraId="0E23B71A"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445D4D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13</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03CCC6"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AD37B0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"primary health*".ti,ab,kf. </w:t>
            </w:r>
          </w:p>
        </w:tc>
      </w:tr>
      <w:tr w:rsidR="00F3702F" w:rsidRPr="009D76B3" w14:paraId="307645E8"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B34281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14</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F2539E"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D7EB1C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7 or 8 or 9 or 10 or 11 or 12 or 13 </w:t>
            </w:r>
          </w:p>
        </w:tc>
      </w:tr>
      <w:tr w:rsidR="00F3702F" w:rsidRPr="009D76B3" w14:paraId="09625706"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464947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15</w:t>
            </w:r>
          </w:p>
        </w:tc>
        <w:tc>
          <w:tcPr>
            <w:tcW w:w="838" w:type="pct"/>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19FB7F9"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Decision making</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761AE2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clinical reasoning/ </w:t>
            </w:r>
          </w:p>
        </w:tc>
      </w:tr>
      <w:tr w:rsidR="00F3702F" w:rsidRPr="009D76B3" w14:paraId="2CF0A353"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B140A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16</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709CE03"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E311B4A"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decision making/ or clinical decision making/ or shared decision making/ </w:t>
            </w:r>
          </w:p>
        </w:tc>
      </w:tr>
      <w:tr w:rsidR="00F3702F" w:rsidRPr="009D76B3" w14:paraId="09856AE3"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B67EE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17</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22EE591"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29C55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health impact assessment/ </w:t>
            </w:r>
          </w:p>
        </w:tc>
      </w:tr>
      <w:tr w:rsidR="00F3702F" w:rsidRPr="009D76B3" w14:paraId="50003A78"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E6241BB"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18</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A8096C5"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24FCBA"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benchmarking/ </w:t>
            </w:r>
          </w:p>
        </w:tc>
      </w:tr>
      <w:tr w:rsidR="00F3702F" w:rsidRPr="009D76B3" w14:paraId="7E5F648B"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3CFF1B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19</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B782D47"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6DE10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clinical audit/ </w:t>
            </w:r>
          </w:p>
        </w:tc>
      </w:tr>
      <w:tr w:rsidR="00F3702F" w:rsidRPr="009D76B3" w14:paraId="6C4CF4F9"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CA12AD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20</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DF688F3"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5F0A73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"utilization review"/ </w:t>
            </w:r>
          </w:p>
        </w:tc>
      </w:tr>
      <w:tr w:rsidR="00F3702F" w:rsidRPr="009D76B3" w14:paraId="43FE57DC"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5EF389"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21</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8B1AB01"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FA363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epidemiological monitoring/ </w:t>
            </w:r>
          </w:p>
        </w:tc>
      </w:tr>
      <w:tr w:rsidR="00F3702F" w:rsidRPr="009D76B3" w14:paraId="79CF446B"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F7D6D24"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22</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9D0A5DD"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477FA6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disease notification/ </w:t>
            </w:r>
          </w:p>
        </w:tc>
      </w:tr>
      <w:tr w:rsidR="00F3702F" w:rsidRPr="009D76B3" w14:paraId="6798A704"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F80C3B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23</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9E22811"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427D80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hospital management/ </w:t>
            </w:r>
          </w:p>
        </w:tc>
      </w:tr>
      <w:tr w:rsidR="00F3702F" w:rsidRPr="009D76B3" w14:paraId="56CBAB1F"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64C300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24</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DC3645"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21ABCDA"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((decision* adj2 (making or support)) or (informed adj2 decision*) or (clinical adj2 (decision* or judgement)) or (clinic* adj2 reason*) or monitor* or performance or evaluat* or (quality adj (assur* or improve* or control)) or audit* or feedback or (impact adj2 assess*) or benchmark* or "chart review*" or surveillance or (disease adj2 (identif* or notif*)) or planning or (resource adj2 allocat*) or "utili?ation review" or management or administration).ti,ab,kf. </w:t>
            </w:r>
          </w:p>
        </w:tc>
      </w:tr>
      <w:tr w:rsidR="00F3702F" w:rsidRPr="009D76B3" w14:paraId="1FFBE1C5"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E70996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25</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0B91C45"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87E4A7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15 or 16 or 17 or 18 or 19 or 20 or 21 or 22 or 23 or 24 </w:t>
            </w:r>
          </w:p>
        </w:tc>
      </w:tr>
      <w:tr w:rsidR="00F3702F" w:rsidRPr="009D76B3" w14:paraId="31FE0CCD"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D1105E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26</w:t>
            </w:r>
          </w:p>
        </w:tc>
        <w:tc>
          <w:tcPr>
            <w:tcW w:w="838" w:type="pct"/>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1D3A41"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Routine data use</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9508B5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((data adj2 (driven or informed or "use")) or (information adj2 "use") or (evidence adj2 (based or informed)) or (big adj2 data)).ti,ab,kf. </w:t>
            </w:r>
          </w:p>
        </w:tc>
      </w:tr>
      <w:tr w:rsidR="00F3702F" w:rsidRPr="009D76B3" w14:paraId="69C2B4BF"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A3DF4E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27</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5E9395B"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F4A203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register/ </w:t>
            </w:r>
          </w:p>
        </w:tc>
      </w:tr>
      <w:tr w:rsidR="00F3702F" w:rsidRPr="009D76B3" w14:paraId="53BF6103"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D9CEA4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28</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7D3F53E"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9740A6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medical record/ </w:t>
            </w:r>
          </w:p>
        </w:tc>
      </w:tr>
      <w:tr w:rsidR="00F3702F" w:rsidRPr="009D76B3" w14:paraId="2BBAC1C9"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FF9A341"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29</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6F8D56B"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3205DCA"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electronic health record/ </w:t>
            </w:r>
          </w:p>
        </w:tc>
      </w:tr>
      <w:tr w:rsidR="00F3702F" w:rsidRPr="009D76B3" w14:paraId="3AAB3FF0"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6A906B9"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30</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D73C4B9"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D4E94B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electronic medical record/ </w:t>
            </w:r>
          </w:p>
        </w:tc>
      </w:tr>
      <w:tr w:rsidR="00F3702F" w:rsidRPr="009D76B3" w14:paraId="732F69FC"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6C0BAC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31</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AC9F693"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1054B8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medical information system/ </w:t>
            </w:r>
          </w:p>
        </w:tc>
      </w:tr>
      <w:tr w:rsidR="00F3702F" w:rsidRPr="009D76B3" w14:paraId="6A31D039"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01D0C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32</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9B308E1"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4688E8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clinical data repository/ </w:t>
            </w:r>
          </w:p>
        </w:tc>
      </w:tr>
      <w:tr w:rsidR="00F3702F" w:rsidRPr="009D76B3" w14:paraId="4867014E"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40E179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33</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ACB401"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B827FA1"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hospital information system/ </w:t>
            </w:r>
          </w:p>
        </w:tc>
      </w:tr>
      <w:tr w:rsidR="00F3702F" w:rsidRPr="009D76B3" w14:paraId="3ED56846"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A9E18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34</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A3EE4B8"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9D94269"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nursing information system/ </w:t>
            </w:r>
          </w:p>
        </w:tc>
      </w:tr>
      <w:tr w:rsidR="00F3702F" w:rsidRPr="009D76B3" w14:paraId="3E1F5DDD"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0E0CC4"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35</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20C6BAE"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18BE00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 xml:space="preserve">(((health or medical or hospital or patient) adj2 record*) or ((patient or discharge) adj2 (summar* or registr*)) or ((data or disease?) adj2 (registr* or register?)) or health data or </w:t>
            </w:r>
            <w:r w:rsidRPr="009D76B3">
              <w:rPr>
                <w:rFonts w:ascii="Aptos Narrow" w:eastAsia="Aptos" w:hAnsi="Aptos Narrow" w:cs="Aptos"/>
                <w:sz w:val="22"/>
                <w:szCs w:val="22"/>
              </w:rPr>
              <w:lastRenderedPageBreak/>
              <w:t>(routine* adj2 ("collected data" or ("health information system" or "health management system")))).ti,ab,kf. </w:t>
            </w:r>
          </w:p>
        </w:tc>
      </w:tr>
      <w:tr w:rsidR="00F3702F" w:rsidRPr="009D76B3" w14:paraId="461F310F"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460CCE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lastRenderedPageBreak/>
              <w:t>36</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0A105FF"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6FBFD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27 or 28 or 29 or 30 or 31 or 32 or 33 or 34 or 35 </w:t>
            </w:r>
          </w:p>
        </w:tc>
      </w:tr>
      <w:tr w:rsidR="00F3702F" w:rsidRPr="009D76B3" w14:paraId="5A15F1F5"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5A9EEC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37</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33947F1"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789BC9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26 or 36 </w:t>
            </w:r>
          </w:p>
        </w:tc>
      </w:tr>
      <w:tr w:rsidR="00F3702F" w:rsidRPr="009D76B3" w14:paraId="4FDC3BC9"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F027D0"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38</w:t>
            </w:r>
          </w:p>
        </w:tc>
        <w:tc>
          <w:tcPr>
            <w:tcW w:w="838" w:type="pct"/>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3407F1" w14:textId="77777777" w:rsidR="00F3702F" w:rsidRPr="009D76B3" w:rsidRDefault="00F3702F" w:rsidP="00976A91">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Sub Saharan Africa</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52176E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exp "Africa south of the Sahara"/ </w:t>
            </w:r>
          </w:p>
        </w:tc>
      </w:tr>
      <w:tr w:rsidR="00F3702F" w:rsidRPr="009D76B3" w14:paraId="57FD1EE5"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EEE781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39</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D82F888"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48546E3"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("Subsaharan Africa" or "Sub-Saharan Africa" or Angola or Benin or Botswana or "Burkina Faso" or Burundi or "Cabo Verdi" or Cameroon or "Cape Verde" or "Central Africa* " or Chad or Comoros or Congo or "Cote d'Ivoire" or Djibouti or "Equatorial Guinea" or Eritrea or Eswatini or Ethiopia or Gabon or Gambia or Ghana or Guinea or Guinea-Bissau or Kenya or Lesotho or Liberia or Madagascar or Malawi or Mali or Mauritania or mayotte or Mauritius or Mozambique or Namibia or Niger or Nigeria or Reunion or Rwanda or "Sao Tome" or Sahel or Principe or Senegal or Seychelles or "Sierra Leone" or Somalia or "South Africa" or Sudan or Swaziland or Tanzania or Togo or Uganda or "Western Sahara" or Zambia or Zimbabwe).ti,ab,kf. </w:t>
            </w:r>
          </w:p>
        </w:tc>
      </w:tr>
      <w:tr w:rsidR="00F3702F" w:rsidRPr="009D76B3" w14:paraId="2FD52AC4"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972C6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i/>
                <w:iCs/>
                <w:sz w:val="22"/>
                <w:szCs w:val="22"/>
              </w:rPr>
              <w:t>40</w:t>
            </w:r>
          </w:p>
        </w:tc>
        <w:tc>
          <w:tcPr>
            <w:tcW w:w="838" w:type="pct"/>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68E6260" w14:textId="77777777" w:rsidR="00F3702F" w:rsidRPr="009D76B3" w:rsidRDefault="00F3702F" w:rsidP="00F612D6">
            <w:pPr>
              <w:widowControl w:val="0"/>
              <w:pBdr>
                <w:top w:val="nil"/>
                <w:left w:val="nil"/>
                <w:bottom w:val="nil"/>
                <w:right w:val="nil"/>
                <w:between w:val="nil"/>
              </w:pBdr>
              <w:spacing w:line="276" w:lineRule="auto"/>
              <w:jc w:val="left"/>
              <w:rPr>
                <w:rFonts w:ascii="Aptos Narrow" w:eastAsia="Aptos" w:hAnsi="Aptos Narrow" w:cs="Aptos"/>
                <w:sz w:val="22"/>
                <w:szCs w:val="22"/>
              </w:rPr>
            </w:pP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60CE40"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38 or 39 </w:t>
            </w:r>
          </w:p>
        </w:tc>
      </w:tr>
      <w:tr w:rsidR="00F3702F" w:rsidRPr="009D76B3" w14:paraId="49EF97FF" w14:textId="77777777" w:rsidTr="00863E8B">
        <w:tc>
          <w:tcPr>
            <w:tcW w:w="25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FD67FEA"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b/>
                <w:bCs/>
                <w:i/>
                <w:iCs/>
                <w:sz w:val="22"/>
                <w:szCs w:val="22"/>
              </w:rPr>
              <w:t>41</w:t>
            </w:r>
          </w:p>
        </w:tc>
        <w:tc>
          <w:tcPr>
            <w:tcW w:w="838"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2F5FE44"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b/>
                <w:bCs/>
                <w:sz w:val="22"/>
                <w:szCs w:val="22"/>
              </w:rPr>
              <w:t>Combined search</w:t>
            </w:r>
          </w:p>
        </w:tc>
        <w:tc>
          <w:tcPr>
            <w:tcW w:w="3911"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282A6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b/>
                <w:bCs/>
                <w:sz w:val="22"/>
                <w:szCs w:val="22"/>
              </w:rPr>
              <w:t>6 and 14 and 25 and 37 and 40 </w:t>
            </w:r>
          </w:p>
        </w:tc>
      </w:tr>
    </w:tbl>
    <w:p w14:paraId="07A6F5AB" w14:textId="77777777" w:rsidR="00F3702F" w:rsidRDefault="00F3702F" w:rsidP="000E1BD2">
      <w:pPr>
        <w:spacing w:before="240" w:line="360" w:lineRule="auto"/>
        <w:jc w:val="left"/>
        <w:rPr>
          <w:rFonts w:ascii="Aptos" w:eastAsia="Aptos" w:hAnsi="Aptos" w:cs="Aptos"/>
          <w:sz w:val="22"/>
          <w:szCs w:val="22"/>
        </w:rPr>
      </w:pPr>
    </w:p>
    <w:p w14:paraId="2B2B6768" w14:textId="77777777" w:rsidR="00F3702F" w:rsidRPr="000E1BD2" w:rsidRDefault="00F3702F" w:rsidP="00F3702F">
      <w:pPr>
        <w:keepNext/>
        <w:pBdr>
          <w:top w:val="nil"/>
          <w:left w:val="nil"/>
          <w:bottom w:val="nil"/>
          <w:right w:val="nil"/>
          <w:between w:val="nil"/>
        </w:pBdr>
        <w:spacing w:after="200" w:line="240" w:lineRule="auto"/>
        <w:rPr>
          <w:rFonts w:ascii="Aptos" w:eastAsia="Aptos" w:hAnsi="Aptos" w:cs="Aptos"/>
          <w:color w:val="0E2841"/>
          <w:sz w:val="22"/>
          <w:szCs w:val="22"/>
        </w:rPr>
      </w:pPr>
      <w:bookmarkStart w:id="1" w:name="r9r076620a7b" w:colFirst="0" w:colLast="0"/>
      <w:bookmarkEnd w:id="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53"/>
        <w:gridCol w:w="7503"/>
      </w:tblGrid>
      <w:tr w:rsidR="00F3702F" w:rsidRPr="009D76B3" w14:paraId="727FC08E" w14:textId="77777777" w:rsidTr="00CD2BC0">
        <w:tc>
          <w:tcPr>
            <w:tcW w:w="5000" w:type="pct"/>
            <w:gridSpan w:val="2"/>
          </w:tcPr>
          <w:p w14:paraId="3B2AC2CB" w14:textId="77777777" w:rsidR="00F3702F" w:rsidRPr="00CD2BC0" w:rsidRDefault="00F3702F" w:rsidP="00F612D6">
            <w:pPr>
              <w:spacing w:line="360" w:lineRule="auto"/>
              <w:jc w:val="center"/>
              <w:rPr>
                <w:rFonts w:ascii="Aptos Narrow" w:eastAsia="Aptos" w:hAnsi="Aptos Narrow" w:cs="Aptos"/>
                <w:b/>
                <w:bCs/>
                <w:sz w:val="22"/>
                <w:szCs w:val="22"/>
              </w:rPr>
            </w:pPr>
            <w:r w:rsidRPr="00CD2BC0">
              <w:rPr>
                <w:rFonts w:ascii="Aptos Narrow" w:eastAsia="Aptos" w:hAnsi="Aptos Narrow" w:cs="Aptos"/>
                <w:b/>
                <w:bCs/>
                <w:sz w:val="22"/>
                <w:szCs w:val="22"/>
              </w:rPr>
              <w:t>Supplementary Table 3: MEASURE logic model data demand and use domains</w:t>
            </w:r>
          </w:p>
        </w:tc>
      </w:tr>
      <w:tr w:rsidR="00F3702F" w:rsidRPr="009D76B3" w14:paraId="7BDE1C08" w14:textId="77777777" w:rsidTr="00CD2BC0">
        <w:tc>
          <w:tcPr>
            <w:tcW w:w="1412" w:type="pct"/>
          </w:tcPr>
          <w:p w14:paraId="2A0B0D7C" w14:textId="77777777" w:rsidR="00F3702F" w:rsidRPr="009D76B3" w:rsidRDefault="00F3702F" w:rsidP="00F612D6">
            <w:pPr>
              <w:spacing w:after="160" w:line="360" w:lineRule="auto"/>
              <w:jc w:val="left"/>
              <w:rPr>
                <w:rFonts w:ascii="Aptos Narrow" w:eastAsia="Aptos" w:hAnsi="Aptos Narrow" w:cs="Aptos"/>
                <w:b/>
                <w:bCs/>
                <w:sz w:val="22"/>
                <w:szCs w:val="22"/>
              </w:rPr>
            </w:pPr>
            <w:r w:rsidRPr="009D76B3">
              <w:rPr>
                <w:rFonts w:ascii="Aptos Narrow" w:eastAsia="Aptos" w:hAnsi="Aptos Narrow" w:cs="Aptos"/>
                <w:b/>
                <w:bCs/>
                <w:sz w:val="22"/>
                <w:szCs w:val="22"/>
              </w:rPr>
              <w:t>Domain</w:t>
            </w:r>
          </w:p>
        </w:tc>
        <w:tc>
          <w:tcPr>
            <w:tcW w:w="3588" w:type="pct"/>
          </w:tcPr>
          <w:p w14:paraId="0511184E" w14:textId="77777777" w:rsidR="00F3702F" w:rsidRPr="009D76B3" w:rsidRDefault="00F3702F" w:rsidP="00F612D6">
            <w:pPr>
              <w:spacing w:after="160" w:line="360" w:lineRule="auto"/>
              <w:jc w:val="left"/>
              <w:rPr>
                <w:rFonts w:ascii="Aptos Narrow" w:eastAsia="Aptos" w:hAnsi="Aptos Narrow" w:cs="Aptos"/>
                <w:b/>
                <w:bCs/>
                <w:sz w:val="22"/>
                <w:szCs w:val="22"/>
              </w:rPr>
            </w:pPr>
            <w:r w:rsidRPr="009D76B3">
              <w:rPr>
                <w:rFonts w:ascii="Aptos Narrow" w:eastAsia="Aptos" w:hAnsi="Aptos Narrow" w:cs="Aptos"/>
                <w:b/>
                <w:bCs/>
                <w:sz w:val="22"/>
                <w:szCs w:val="22"/>
              </w:rPr>
              <w:t>Description</w:t>
            </w:r>
          </w:p>
        </w:tc>
      </w:tr>
      <w:tr w:rsidR="00F3702F" w:rsidRPr="009D76B3" w14:paraId="7D961723" w14:textId="77777777" w:rsidTr="00CD2BC0">
        <w:tc>
          <w:tcPr>
            <w:tcW w:w="1412" w:type="pct"/>
          </w:tcPr>
          <w:p w14:paraId="12E66BD9" w14:textId="77777777" w:rsidR="00F3702F" w:rsidRPr="009D76B3" w:rsidRDefault="00F3702F" w:rsidP="00F3702F">
            <w:pPr>
              <w:numPr>
                <w:ilvl w:val="0"/>
                <w:numId w:val="1"/>
              </w:numPr>
              <w:pBdr>
                <w:top w:val="nil"/>
                <w:left w:val="nil"/>
                <w:bottom w:val="nil"/>
                <w:right w:val="nil"/>
                <w:between w:val="nil"/>
              </w:pBdr>
              <w:spacing w:line="360" w:lineRule="auto"/>
              <w:jc w:val="left"/>
              <w:rPr>
                <w:rFonts w:ascii="Aptos Narrow" w:eastAsia="Aptos" w:hAnsi="Aptos Narrow" w:cs="Aptos"/>
                <w:color w:val="000000"/>
                <w:sz w:val="22"/>
                <w:szCs w:val="22"/>
              </w:rPr>
            </w:pPr>
            <w:r w:rsidRPr="009D76B3">
              <w:rPr>
                <w:rFonts w:ascii="Aptos Narrow" w:eastAsia="Aptos" w:hAnsi="Aptos Narrow" w:cs="Aptos"/>
                <w:b/>
                <w:bCs/>
                <w:color w:val="000000"/>
                <w:sz w:val="22"/>
                <w:szCs w:val="22"/>
              </w:rPr>
              <w:t>Data use context</w:t>
            </w:r>
          </w:p>
        </w:tc>
        <w:tc>
          <w:tcPr>
            <w:tcW w:w="3588" w:type="pct"/>
          </w:tcPr>
          <w:p w14:paraId="2CC430EF"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The environment, structures available, and forums in which data-informed discussions and decisions take place, including who participates, what they do, resources relevant and where and when they meet and how they accomplish their tasks.</w:t>
            </w:r>
          </w:p>
        </w:tc>
      </w:tr>
      <w:tr w:rsidR="00F3702F" w:rsidRPr="009D76B3" w14:paraId="660EB743" w14:textId="77777777" w:rsidTr="00CD2BC0">
        <w:tc>
          <w:tcPr>
            <w:tcW w:w="1412" w:type="pct"/>
          </w:tcPr>
          <w:p w14:paraId="0202A383" w14:textId="77777777" w:rsidR="00F3702F" w:rsidRPr="009D76B3" w:rsidRDefault="00F3702F" w:rsidP="00F3702F">
            <w:pPr>
              <w:numPr>
                <w:ilvl w:val="0"/>
                <w:numId w:val="1"/>
              </w:numPr>
              <w:pBdr>
                <w:top w:val="nil"/>
                <w:left w:val="nil"/>
                <w:bottom w:val="nil"/>
                <w:right w:val="nil"/>
                <w:between w:val="nil"/>
              </w:pBdr>
              <w:spacing w:line="360" w:lineRule="auto"/>
              <w:jc w:val="left"/>
              <w:rPr>
                <w:rFonts w:ascii="Aptos Narrow" w:eastAsia="Aptos" w:hAnsi="Aptos Narrow" w:cs="Aptos"/>
                <w:color w:val="000000"/>
                <w:sz w:val="22"/>
                <w:szCs w:val="22"/>
              </w:rPr>
            </w:pPr>
            <w:r w:rsidRPr="009D76B3">
              <w:rPr>
                <w:rFonts w:ascii="Aptos Narrow" w:eastAsia="Aptos" w:hAnsi="Aptos Narrow" w:cs="Aptos"/>
                <w:b/>
                <w:bCs/>
                <w:color w:val="000000"/>
                <w:sz w:val="22"/>
                <w:szCs w:val="22"/>
              </w:rPr>
              <w:t>Data demand</w:t>
            </w:r>
          </w:p>
        </w:tc>
        <w:tc>
          <w:tcPr>
            <w:tcW w:w="3588" w:type="pct"/>
          </w:tcPr>
          <w:p w14:paraId="3A478D91"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The extent to which health workers, managers, and stakeholders actively seek and request data to inform decisions. It also covers what motivates them, when and where they seek the data and how often.</w:t>
            </w:r>
          </w:p>
        </w:tc>
      </w:tr>
      <w:tr w:rsidR="00F3702F" w:rsidRPr="009D76B3" w14:paraId="63BA4F63" w14:textId="77777777" w:rsidTr="00CD2BC0">
        <w:tc>
          <w:tcPr>
            <w:tcW w:w="1412" w:type="pct"/>
          </w:tcPr>
          <w:p w14:paraId="5D997009" w14:textId="77777777" w:rsidR="00F3702F" w:rsidRPr="009D76B3" w:rsidRDefault="00F3702F" w:rsidP="00F3702F">
            <w:pPr>
              <w:numPr>
                <w:ilvl w:val="0"/>
                <w:numId w:val="1"/>
              </w:numPr>
              <w:pBdr>
                <w:top w:val="nil"/>
                <w:left w:val="nil"/>
                <w:bottom w:val="nil"/>
                <w:right w:val="nil"/>
                <w:between w:val="nil"/>
              </w:pBdr>
              <w:spacing w:line="360" w:lineRule="auto"/>
              <w:jc w:val="left"/>
              <w:rPr>
                <w:rFonts w:ascii="Aptos Narrow" w:eastAsia="Aptos" w:hAnsi="Aptos Narrow" w:cs="Aptos"/>
                <w:color w:val="000000"/>
                <w:sz w:val="22"/>
                <w:szCs w:val="22"/>
              </w:rPr>
            </w:pPr>
            <w:r w:rsidRPr="009D76B3">
              <w:rPr>
                <w:rFonts w:ascii="Aptos Narrow" w:eastAsia="Aptos" w:hAnsi="Aptos Narrow" w:cs="Aptos"/>
                <w:b/>
                <w:bCs/>
                <w:color w:val="000000"/>
                <w:sz w:val="22"/>
                <w:szCs w:val="22"/>
              </w:rPr>
              <w:t>Data collection and reporting</w:t>
            </w:r>
          </w:p>
        </w:tc>
        <w:tc>
          <w:tcPr>
            <w:tcW w:w="3588" w:type="pct"/>
          </w:tcPr>
          <w:p w14:paraId="626BFC48"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The processes and systems through which health care workers gather, record, and report routine data is up through facility, district, and program levels.</w:t>
            </w:r>
          </w:p>
        </w:tc>
      </w:tr>
      <w:tr w:rsidR="00F3702F" w:rsidRPr="009D76B3" w14:paraId="2763A88B" w14:textId="77777777" w:rsidTr="00CD2BC0">
        <w:tc>
          <w:tcPr>
            <w:tcW w:w="1412" w:type="pct"/>
          </w:tcPr>
          <w:p w14:paraId="7D84851E" w14:textId="77777777" w:rsidR="00F3702F" w:rsidRPr="009D76B3" w:rsidRDefault="00F3702F" w:rsidP="00F3702F">
            <w:pPr>
              <w:numPr>
                <w:ilvl w:val="0"/>
                <w:numId w:val="1"/>
              </w:numPr>
              <w:pBdr>
                <w:top w:val="nil"/>
                <w:left w:val="nil"/>
                <w:bottom w:val="nil"/>
                <w:right w:val="nil"/>
                <w:between w:val="nil"/>
              </w:pBdr>
              <w:spacing w:line="360" w:lineRule="auto"/>
              <w:jc w:val="left"/>
              <w:rPr>
                <w:rFonts w:ascii="Aptos Narrow" w:eastAsia="Aptos" w:hAnsi="Aptos Narrow" w:cs="Aptos"/>
                <w:color w:val="000000"/>
                <w:sz w:val="22"/>
                <w:szCs w:val="22"/>
              </w:rPr>
            </w:pPr>
            <w:r w:rsidRPr="009D76B3">
              <w:rPr>
                <w:rFonts w:ascii="Aptos Narrow" w:eastAsia="Aptos" w:hAnsi="Aptos Narrow" w:cs="Aptos"/>
                <w:b/>
                <w:bCs/>
                <w:color w:val="000000"/>
                <w:sz w:val="22"/>
                <w:szCs w:val="22"/>
              </w:rPr>
              <w:t>Data quality and availability</w:t>
            </w:r>
          </w:p>
        </w:tc>
        <w:tc>
          <w:tcPr>
            <w:tcW w:w="3588" w:type="pct"/>
          </w:tcPr>
          <w:p w14:paraId="5FF3CF46"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The accuracy, completeness, timeliness, and accessibility of the data being generated.</w:t>
            </w:r>
          </w:p>
        </w:tc>
      </w:tr>
      <w:tr w:rsidR="00F3702F" w:rsidRPr="009D76B3" w14:paraId="467268DE" w14:textId="77777777" w:rsidTr="00CD2BC0">
        <w:tc>
          <w:tcPr>
            <w:tcW w:w="1412" w:type="pct"/>
          </w:tcPr>
          <w:p w14:paraId="3545967E" w14:textId="77777777" w:rsidR="00F3702F" w:rsidRPr="009D76B3" w:rsidRDefault="00F3702F" w:rsidP="00F3702F">
            <w:pPr>
              <w:numPr>
                <w:ilvl w:val="0"/>
                <w:numId w:val="1"/>
              </w:numPr>
              <w:pBdr>
                <w:top w:val="nil"/>
                <w:left w:val="nil"/>
                <w:bottom w:val="nil"/>
                <w:right w:val="nil"/>
                <w:between w:val="nil"/>
              </w:pBdr>
              <w:spacing w:line="360" w:lineRule="auto"/>
              <w:jc w:val="left"/>
              <w:rPr>
                <w:rFonts w:ascii="Aptos Narrow" w:eastAsia="Aptos" w:hAnsi="Aptos Narrow" w:cs="Aptos"/>
                <w:color w:val="000000"/>
                <w:sz w:val="22"/>
                <w:szCs w:val="22"/>
              </w:rPr>
            </w:pPr>
            <w:r w:rsidRPr="009D76B3">
              <w:rPr>
                <w:rFonts w:ascii="Aptos Narrow" w:eastAsia="Aptos" w:hAnsi="Aptos Narrow" w:cs="Aptos"/>
                <w:b/>
                <w:bCs/>
                <w:color w:val="000000"/>
                <w:sz w:val="22"/>
                <w:szCs w:val="22"/>
              </w:rPr>
              <w:lastRenderedPageBreak/>
              <w:t>Data use (utilisation)</w:t>
            </w:r>
          </w:p>
        </w:tc>
        <w:tc>
          <w:tcPr>
            <w:tcW w:w="3588" w:type="pct"/>
          </w:tcPr>
          <w:p w14:paraId="49AB29E1" w14:textId="77777777" w:rsidR="00F3702F" w:rsidRPr="009D76B3" w:rsidRDefault="00F3702F" w:rsidP="00F612D6">
            <w:pPr>
              <w:spacing w:line="360" w:lineRule="auto"/>
              <w:jc w:val="left"/>
              <w:rPr>
                <w:rFonts w:ascii="Aptos Narrow" w:eastAsia="Aptos" w:hAnsi="Aptos Narrow" w:cs="Aptos"/>
                <w:sz w:val="22"/>
                <w:szCs w:val="22"/>
              </w:rPr>
            </w:pPr>
            <w:r w:rsidRPr="009D76B3">
              <w:rPr>
                <w:rFonts w:ascii="Aptos Narrow" w:eastAsia="Aptos" w:hAnsi="Aptos Narrow" w:cs="Aptos"/>
                <w:sz w:val="22"/>
                <w:szCs w:val="22"/>
              </w:rPr>
              <w:t>The actual application of data collected to inform decisions — such as target-setting, performance monitoring, resource allocation, and clinical or managerial action.</w:t>
            </w:r>
          </w:p>
        </w:tc>
      </w:tr>
    </w:tbl>
    <w:p w14:paraId="2E2DD51B" w14:textId="77777777" w:rsidR="00F3702F" w:rsidRDefault="00F3702F" w:rsidP="00F3702F">
      <w:pPr>
        <w:spacing w:after="160" w:line="360" w:lineRule="auto"/>
        <w:jc w:val="left"/>
        <w:rPr>
          <w:rFonts w:ascii="Aptos" w:eastAsia="Aptos" w:hAnsi="Aptos" w:cs="Aptos"/>
          <w:b/>
          <w:bCs/>
          <w:sz w:val="22"/>
          <w:szCs w:val="22"/>
        </w:rPr>
      </w:pPr>
    </w:p>
    <w:p w14:paraId="737BD762" w14:textId="77777777" w:rsidR="00F3702F" w:rsidRDefault="00F3702F" w:rsidP="00F3702F">
      <w:pPr>
        <w:keepNext/>
        <w:pBdr>
          <w:top w:val="nil"/>
          <w:left w:val="nil"/>
          <w:bottom w:val="nil"/>
          <w:right w:val="nil"/>
          <w:between w:val="nil"/>
        </w:pBdr>
        <w:spacing w:after="200" w:line="360" w:lineRule="auto"/>
        <w:rPr>
          <w:rFonts w:ascii="Aptos" w:eastAsia="Aptos" w:hAnsi="Aptos" w:cs="Aptos"/>
          <w:color w:val="0E2841"/>
          <w:sz w:val="22"/>
          <w:szCs w:val="22"/>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4687"/>
        <w:gridCol w:w="1767"/>
        <w:gridCol w:w="1769"/>
        <w:gridCol w:w="2233"/>
      </w:tblGrid>
      <w:tr w:rsidR="00F3702F" w:rsidRPr="009D76B3" w14:paraId="0FE69825" w14:textId="77777777" w:rsidTr="00CD2BC0">
        <w:tc>
          <w:tcPr>
            <w:tcW w:w="5000" w:type="pct"/>
            <w:gridSpan w:val="4"/>
          </w:tcPr>
          <w:p w14:paraId="7102B4FF" w14:textId="77777777" w:rsidR="00F3702F" w:rsidRPr="00A801CA" w:rsidRDefault="00F3702F" w:rsidP="00F612D6">
            <w:pPr>
              <w:spacing w:line="360" w:lineRule="auto"/>
              <w:jc w:val="center"/>
              <w:rPr>
                <w:rFonts w:ascii="Aptos Narrow" w:eastAsia="Aptos" w:hAnsi="Aptos Narrow" w:cs="Aptos"/>
                <w:b/>
                <w:bCs/>
                <w:sz w:val="22"/>
                <w:szCs w:val="22"/>
              </w:rPr>
            </w:pPr>
            <w:r w:rsidRPr="00A801CA">
              <w:rPr>
                <w:rFonts w:ascii="Aptos Narrow" w:eastAsia="Aptos" w:hAnsi="Aptos Narrow" w:cs="Aptos"/>
                <w:b/>
                <w:bCs/>
                <w:sz w:val="22"/>
                <w:szCs w:val="22"/>
              </w:rPr>
              <w:t>Supplementary Table 4: Integrated quality Criteria for Review of Multiple Studies (ICROMS) scoring thresholds</w:t>
            </w:r>
          </w:p>
        </w:tc>
      </w:tr>
      <w:tr w:rsidR="00F3702F" w:rsidRPr="009D76B3" w14:paraId="1CF0A0CA" w14:textId="77777777" w:rsidTr="00CD2BC0">
        <w:tc>
          <w:tcPr>
            <w:tcW w:w="2241" w:type="pct"/>
          </w:tcPr>
          <w:p w14:paraId="1C678083" w14:textId="77777777" w:rsidR="00F3702F" w:rsidRPr="009D76B3" w:rsidRDefault="00F3702F" w:rsidP="00F612D6">
            <w:pPr>
              <w:spacing w:line="360" w:lineRule="auto"/>
              <w:rPr>
                <w:rFonts w:ascii="Aptos Narrow" w:eastAsia="Aptos" w:hAnsi="Aptos Narrow" w:cs="Aptos"/>
                <w:b/>
                <w:bCs/>
                <w:sz w:val="22"/>
                <w:szCs w:val="22"/>
              </w:rPr>
            </w:pPr>
            <w:r w:rsidRPr="009D76B3">
              <w:rPr>
                <w:rFonts w:ascii="Aptos Narrow" w:eastAsia="Aptos" w:hAnsi="Aptos Narrow" w:cs="Aptos"/>
                <w:b/>
                <w:bCs/>
                <w:sz w:val="22"/>
                <w:szCs w:val="22"/>
              </w:rPr>
              <w:t>Study design / methodology</w:t>
            </w:r>
          </w:p>
        </w:tc>
        <w:tc>
          <w:tcPr>
            <w:tcW w:w="845" w:type="pct"/>
          </w:tcPr>
          <w:p w14:paraId="49B9D67D" w14:textId="77777777" w:rsidR="00F3702F" w:rsidRPr="009D76B3" w:rsidRDefault="00F3702F" w:rsidP="00F612D6">
            <w:pPr>
              <w:spacing w:line="360" w:lineRule="auto"/>
              <w:jc w:val="left"/>
              <w:rPr>
                <w:rFonts w:ascii="Aptos Narrow" w:eastAsia="Aptos" w:hAnsi="Aptos Narrow" w:cs="Aptos"/>
                <w:b/>
                <w:bCs/>
                <w:sz w:val="22"/>
                <w:szCs w:val="22"/>
              </w:rPr>
            </w:pPr>
            <w:r w:rsidRPr="009D76B3">
              <w:rPr>
                <w:rFonts w:ascii="Aptos Narrow" w:eastAsia="Aptos" w:hAnsi="Aptos Narrow" w:cs="Aptos"/>
                <w:b/>
                <w:bCs/>
                <w:sz w:val="22"/>
                <w:szCs w:val="22"/>
              </w:rPr>
              <w:t>Minimum score required</w:t>
            </w:r>
          </w:p>
        </w:tc>
        <w:tc>
          <w:tcPr>
            <w:tcW w:w="846" w:type="pct"/>
          </w:tcPr>
          <w:p w14:paraId="79665C63" w14:textId="77777777" w:rsidR="00F3702F" w:rsidRPr="009D76B3" w:rsidRDefault="00F3702F" w:rsidP="00F612D6">
            <w:pPr>
              <w:spacing w:line="360" w:lineRule="auto"/>
              <w:jc w:val="left"/>
              <w:rPr>
                <w:rFonts w:ascii="Aptos Narrow" w:eastAsia="Aptos" w:hAnsi="Aptos Narrow" w:cs="Aptos"/>
                <w:b/>
                <w:bCs/>
                <w:sz w:val="22"/>
                <w:szCs w:val="22"/>
              </w:rPr>
            </w:pPr>
            <w:r w:rsidRPr="009D76B3">
              <w:rPr>
                <w:rFonts w:ascii="Aptos Narrow" w:eastAsia="Aptos" w:hAnsi="Aptos Narrow" w:cs="Aptos"/>
                <w:b/>
                <w:bCs/>
                <w:sz w:val="22"/>
                <w:szCs w:val="22"/>
              </w:rPr>
              <w:t>Maximum possible score</w:t>
            </w:r>
          </w:p>
        </w:tc>
        <w:tc>
          <w:tcPr>
            <w:tcW w:w="1068" w:type="pct"/>
          </w:tcPr>
          <w:p w14:paraId="66F34024" w14:textId="77777777" w:rsidR="00F3702F" w:rsidRPr="009D76B3" w:rsidRDefault="00F3702F" w:rsidP="00F612D6">
            <w:pPr>
              <w:spacing w:line="360" w:lineRule="auto"/>
              <w:jc w:val="left"/>
              <w:rPr>
                <w:rFonts w:ascii="Aptos Narrow" w:eastAsia="Aptos" w:hAnsi="Aptos Narrow" w:cs="Aptos"/>
                <w:b/>
                <w:bCs/>
                <w:sz w:val="22"/>
                <w:szCs w:val="22"/>
              </w:rPr>
            </w:pPr>
            <w:r w:rsidRPr="009D76B3">
              <w:rPr>
                <w:rFonts w:ascii="Aptos Narrow" w:eastAsia="Aptos" w:hAnsi="Aptos Narrow" w:cs="Aptos"/>
                <w:b/>
                <w:bCs/>
                <w:sz w:val="22"/>
                <w:szCs w:val="22"/>
              </w:rPr>
              <w:t>Mandatory criteria required</w:t>
            </w:r>
          </w:p>
        </w:tc>
      </w:tr>
      <w:tr w:rsidR="00F3702F" w:rsidRPr="009D76B3" w14:paraId="087E2A47" w14:textId="77777777" w:rsidTr="00CD2BC0">
        <w:tc>
          <w:tcPr>
            <w:tcW w:w="2241" w:type="pct"/>
          </w:tcPr>
          <w:p w14:paraId="5655149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Randomized Controlled Trial (RCT / cRCT)</w:t>
            </w:r>
          </w:p>
        </w:tc>
        <w:tc>
          <w:tcPr>
            <w:tcW w:w="845" w:type="pct"/>
          </w:tcPr>
          <w:p w14:paraId="1903A8F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22</w:t>
            </w:r>
          </w:p>
        </w:tc>
        <w:tc>
          <w:tcPr>
            <w:tcW w:w="846" w:type="pct"/>
          </w:tcPr>
          <w:p w14:paraId="3C75E9D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32</w:t>
            </w:r>
          </w:p>
        </w:tc>
        <w:tc>
          <w:tcPr>
            <w:tcW w:w="1068" w:type="pct"/>
          </w:tcPr>
          <w:p w14:paraId="1298BC5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2A, 2B, 3A</w:t>
            </w:r>
          </w:p>
        </w:tc>
      </w:tr>
      <w:tr w:rsidR="00F3702F" w:rsidRPr="009D76B3" w14:paraId="12F19101" w14:textId="77777777" w:rsidTr="00CD2BC0">
        <w:tc>
          <w:tcPr>
            <w:tcW w:w="2241" w:type="pct"/>
          </w:tcPr>
          <w:p w14:paraId="6B28A302"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Controlled Before–After (CBA)</w:t>
            </w:r>
          </w:p>
        </w:tc>
        <w:tc>
          <w:tcPr>
            <w:tcW w:w="845" w:type="pct"/>
          </w:tcPr>
          <w:p w14:paraId="11026CE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18</w:t>
            </w:r>
          </w:p>
        </w:tc>
        <w:tc>
          <w:tcPr>
            <w:tcW w:w="846" w:type="pct"/>
          </w:tcPr>
          <w:p w14:paraId="25199AD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30</w:t>
            </w:r>
          </w:p>
        </w:tc>
        <w:tc>
          <w:tcPr>
            <w:tcW w:w="1068" w:type="pct"/>
          </w:tcPr>
          <w:p w14:paraId="6255DC4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2D, 3B, 3C</w:t>
            </w:r>
          </w:p>
        </w:tc>
      </w:tr>
      <w:tr w:rsidR="00F3702F" w:rsidRPr="009D76B3" w14:paraId="3846F93F" w14:textId="77777777" w:rsidTr="00CD2BC0">
        <w:tc>
          <w:tcPr>
            <w:tcW w:w="2241" w:type="pct"/>
          </w:tcPr>
          <w:p w14:paraId="58547FB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Controlled Interrupted Time Series (CITS)</w:t>
            </w:r>
          </w:p>
        </w:tc>
        <w:tc>
          <w:tcPr>
            <w:tcW w:w="845" w:type="pct"/>
          </w:tcPr>
          <w:p w14:paraId="3CB4A410"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18</w:t>
            </w:r>
          </w:p>
        </w:tc>
        <w:tc>
          <w:tcPr>
            <w:tcW w:w="846" w:type="pct"/>
          </w:tcPr>
          <w:p w14:paraId="7906DB11"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30</w:t>
            </w:r>
          </w:p>
        </w:tc>
        <w:tc>
          <w:tcPr>
            <w:tcW w:w="1068" w:type="pct"/>
          </w:tcPr>
          <w:p w14:paraId="170F128A"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3D, 6A</w:t>
            </w:r>
          </w:p>
        </w:tc>
      </w:tr>
      <w:tr w:rsidR="00F3702F" w:rsidRPr="009D76B3" w14:paraId="44C63566" w14:textId="77777777" w:rsidTr="00CD2BC0">
        <w:tc>
          <w:tcPr>
            <w:tcW w:w="2241" w:type="pct"/>
          </w:tcPr>
          <w:p w14:paraId="15D4B9CF"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Non-controlled Interrupted Time Series (NCITS)</w:t>
            </w:r>
          </w:p>
        </w:tc>
        <w:tc>
          <w:tcPr>
            <w:tcW w:w="845" w:type="pct"/>
          </w:tcPr>
          <w:p w14:paraId="1CE8FE7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22</w:t>
            </w:r>
          </w:p>
        </w:tc>
        <w:tc>
          <w:tcPr>
            <w:tcW w:w="846" w:type="pct"/>
          </w:tcPr>
          <w:p w14:paraId="3176BA8D"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28</w:t>
            </w:r>
          </w:p>
        </w:tc>
        <w:tc>
          <w:tcPr>
            <w:tcW w:w="1068" w:type="pct"/>
          </w:tcPr>
          <w:p w14:paraId="32DF8A3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1B, 2C, 5D</w:t>
            </w:r>
          </w:p>
        </w:tc>
      </w:tr>
      <w:tr w:rsidR="00F3702F" w:rsidRPr="009D76B3" w14:paraId="0DF287C5" w14:textId="77777777" w:rsidTr="00CD2BC0">
        <w:tc>
          <w:tcPr>
            <w:tcW w:w="2241" w:type="pct"/>
          </w:tcPr>
          <w:p w14:paraId="02FB6698"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Non-controlled Before–After (NCBA)</w:t>
            </w:r>
          </w:p>
        </w:tc>
        <w:tc>
          <w:tcPr>
            <w:tcW w:w="845" w:type="pct"/>
          </w:tcPr>
          <w:p w14:paraId="019B953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22</w:t>
            </w:r>
          </w:p>
        </w:tc>
        <w:tc>
          <w:tcPr>
            <w:tcW w:w="846" w:type="pct"/>
          </w:tcPr>
          <w:p w14:paraId="48B7F0B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30</w:t>
            </w:r>
          </w:p>
        </w:tc>
        <w:tc>
          <w:tcPr>
            <w:tcW w:w="1068" w:type="pct"/>
          </w:tcPr>
          <w:p w14:paraId="539B755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1B, 2C, 5D</w:t>
            </w:r>
          </w:p>
        </w:tc>
      </w:tr>
      <w:tr w:rsidR="00F3702F" w:rsidRPr="009D76B3" w14:paraId="542DCEDC" w14:textId="77777777" w:rsidTr="00CD2BC0">
        <w:tc>
          <w:tcPr>
            <w:tcW w:w="2241" w:type="pct"/>
          </w:tcPr>
          <w:p w14:paraId="2C4F4445"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Cohort studies</w:t>
            </w:r>
          </w:p>
        </w:tc>
        <w:tc>
          <w:tcPr>
            <w:tcW w:w="845" w:type="pct"/>
          </w:tcPr>
          <w:p w14:paraId="77FACB47"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18</w:t>
            </w:r>
          </w:p>
        </w:tc>
        <w:tc>
          <w:tcPr>
            <w:tcW w:w="846" w:type="pct"/>
          </w:tcPr>
          <w:p w14:paraId="6B55562E"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26</w:t>
            </w:r>
          </w:p>
        </w:tc>
        <w:tc>
          <w:tcPr>
            <w:tcW w:w="1068" w:type="pct"/>
          </w:tcPr>
          <w:p w14:paraId="43D8186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2E, 3G, 4C</w:t>
            </w:r>
          </w:p>
        </w:tc>
      </w:tr>
      <w:tr w:rsidR="00F3702F" w:rsidRPr="009D76B3" w14:paraId="6B322845" w14:textId="77777777" w:rsidTr="00CD2BC0">
        <w:tc>
          <w:tcPr>
            <w:tcW w:w="2241" w:type="pct"/>
          </w:tcPr>
          <w:p w14:paraId="7C65AFC6"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Qualitative studies</w:t>
            </w:r>
          </w:p>
        </w:tc>
        <w:tc>
          <w:tcPr>
            <w:tcW w:w="845" w:type="pct"/>
          </w:tcPr>
          <w:p w14:paraId="641547A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16</w:t>
            </w:r>
          </w:p>
        </w:tc>
        <w:tc>
          <w:tcPr>
            <w:tcW w:w="846" w:type="pct"/>
          </w:tcPr>
          <w:p w14:paraId="1F6B7E5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26</w:t>
            </w:r>
          </w:p>
        </w:tc>
        <w:tc>
          <w:tcPr>
            <w:tcW w:w="1068" w:type="pct"/>
          </w:tcPr>
          <w:p w14:paraId="79DB3FF9"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1A, 1E, 2F</w:t>
            </w:r>
          </w:p>
        </w:tc>
      </w:tr>
      <w:tr w:rsidR="00F3702F" w:rsidRPr="009D76B3" w14:paraId="1FC8F0EB" w14:textId="77777777" w:rsidTr="00CD2BC0">
        <w:tc>
          <w:tcPr>
            <w:tcW w:w="5000" w:type="pct"/>
            <w:gridSpan w:val="4"/>
          </w:tcPr>
          <w:p w14:paraId="7E3FBFCC"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b/>
                <w:bCs/>
                <w:sz w:val="22"/>
                <w:szCs w:val="22"/>
              </w:rPr>
              <w:t>Note</w:t>
            </w:r>
            <w:r w:rsidRPr="009D76B3">
              <w:rPr>
                <w:rFonts w:ascii="Aptos Narrow" w:eastAsia="Aptos" w:hAnsi="Aptos Narrow" w:cs="Aptos"/>
                <w:sz w:val="22"/>
                <w:szCs w:val="22"/>
              </w:rPr>
              <w:t xml:space="preserve">: </w:t>
            </w:r>
          </w:p>
          <w:p w14:paraId="6EADE221" w14:textId="77777777" w:rsidR="00F3702F" w:rsidRPr="009D76B3" w:rsidRDefault="00F3702F" w:rsidP="00F612D6">
            <w:pPr>
              <w:spacing w:line="360" w:lineRule="auto"/>
              <w:rPr>
                <w:rFonts w:ascii="Aptos Narrow" w:eastAsia="Aptos" w:hAnsi="Aptos Narrow" w:cs="Aptos"/>
                <w:sz w:val="22"/>
                <w:szCs w:val="22"/>
              </w:rPr>
            </w:pPr>
            <w:r w:rsidRPr="009D76B3">
              <w:rPr>
                <w:rFonts w:ascii="Aptos Narrow" w:eastAsia="Aptos" w:hAnsi="Aptos Narrow" w:cs="Aptos"/>
                <w:sz w:val="22"/>
                <w:szCs w:val="22"/>
              </w:rPr>
              <w:t>ICROMS requires studies to attain their mandatory criteria (criteria that a type of study should meet to be included in a review to be methodologically sound) and reach at least 60% of maximum possible scores for study designs i.e. 16/26 for qualitative studies, 18/30 for quantitative studies and 34/56 for mixed studies (summation since ICROMS lacks a standalone criteria) to be considered quality studies for review [</w:t>
            </w:r>
            <w:hyperlink w:anchor="_hkh3vaov0ky0">
              <w:r w:rsidRPr="009D76B3">
                <w:rPr>
                  <w:rFonts w:ascii="Aptos Narrow" w:eastAsia="Aptos" w:hAnsi="Aptos Narrow" w:cs="Aptos"/>
                  <w:sz w:val="22"/>
                  <w:szCs w:val="22"/>
                </w:rPr>
                <w:t>42</w:t>
              </w:r>
            </w:hyperlink>
            <w:r w:rsidRPr="009D76B3">
              <w:rPr>
                <w:rFonts w:ascii="Aptos Narrow" w:eastAsia="Aptos" w:hAnsi="Aptos Narrow" w:cs="Aptos"/>
                <w:sz w:val="22"/>
                <w:szCs w:val="22"/>
              </w:rPr>
              <w:t>]. Percentage is calculated by the score of the study (mandatory + non-mandatory) to the maximum possible scoring of the study (maximum possible mandatory +non-mandatory).</w:t>
            </w:r>
          </w:p>
        </w:tc>
      </w:tr>
    </w:tbl>
    <w:p w14:paraId="7ACF349E" w14:textId="77777777" w:rsidR="00F3702F" w:rsidRDefault="00F3702F" w:rsidP="000E1BD2">
      <w:pPr>
        <w:spacing w:before="240" w:line="360" w:lineRule="auto"/>
        <w:rPr>
          <w:rFonts w:ascii="Aptos" w:eastAsia="Aptos" w:hAnsi="Aptos" w:cs="Aptos"/>
          <w:sz w:val="22"/>
          <w:szCs w:val="22"/>
        </w:rPr>
      </w:pPr>
    </w:p>
    <w:p w14:paraId="7A229C03" w14:textId="77777777" w:rsidR="00F3702F" w:rsidRDefault="00F3702F" w:rsidP="00F3702F">
      <w:pPr>
        <w:keepNext/>
        <w:pBdr>
          <w:top w:val="nil"/>
          <w:left w:val="nil"/>
          <w:bottom w:val="nil"/>
          <w:right w:val="nil"/>
          <w:between w:val="nil"/>
        </w:pBdr>
        <w:spacing w:after="200" w:line="360" w:lineRule="auto"/>
        <w:rPr>
          <w:rFonts w:ascii="Aptos" w:eastAsia="Aptos" w:hAnsi="Aptos" w:cs="Aptos"/>
          <w:color w:val="0E284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973"/>
        <w:gridCol w:w="6483"/>
      </w:tblGrid>
      <w:tr w:rsidR="00F3702F" w:rsidRPr="00CD2BC0" w14:paraId="449ECF68" w14:textId="77777777" w:rsidTr="00863E8B">
        <w:trPr>
          <w:tblHeader/>
        </w:trPr>
        <w:tc>
          <w:tcPr>
            <w:tcW w:w="5000" w:type="pct"/>
            <w:gridSpan w:val="2"/>
          </w:tcPr>
          <w:p w14:paraId="1CC820CB" w14:textId="77777777" w:rsidR="00F3702F" w:rsidRPr="008B2C44" w:rsidRDefault="00F3702F" w:rsidP="00F612D6">
            <w:pPr>
              <w:spacing w:line="360" w:lineRule="auto"/>
              <w:jc w:val="center"/>
              <w:rPr>
                <w:rFonts w:ascii="Aptos Narrow" w:eastAsia="Aptos" w:hAnsi="Aptos Narrow" w:cs="Aptos"/>
                <w:b/>
                <w:bCs/>
                <w:sz w:val="22"/>
                <w:szCs w:val="22"/>
              </w:rPr>
            </w:pPr>
            <w:r w:rsidRPr="008B2C44">
              <w:rPr>
                <w:rFonts w:ascii="Aptos Narrow" w:eastAsia="Aptos" w:hAnsi="Aptos Narrow" w:cs="Aptos"/>
                <w:b/>
                <w:bCs/>
                <w:sz w:val="22"/>
                <w:szCs w:val="22"/>
              </w:rPr>
              <w:t>Supplementary Table 5: Description of identified theories, models and frameworks</w:t>
            </w:r>
          </w:p>
        </w:tc>
      </w:tr>
      <w:tr w:rsidR="00863E8B" w:rsidRPr="00CD2BC0" w14:paraId="6431BB6C" w14:textId="77777777" w:rsidTr="00863E8B">
        <w:trPr>
          <w:tblHeader/>
        </w:trPr>
        <w:tc>
          <w:tcPr>
            <w:tcW w:w="1900" w:type="pct"/>
          </w:tcPr>
          <w:p w14:paraId="30FFDAE1" w14:textId="1103B48B" w:rsidR="00863E8B" w:rsidRPr="00863E8B" w:rsidRDefault="00863E8B" w:rsidP="00F612D6">
            <w:pPr>
              <w:spacing w:line="360" w:lineRule="auto"/>
              <w:jc w:val="left"/>
              <w:rPr>
                <w:rFonts w:ascii="Aptos Narrow" w:eastAsia="Aptos" w:hAnsi="Aptos Narrow" w:cs="Aptos"/>
                <w:b/>
                <w:bCs/>
                <w:sz w:val="22"/>
                <w:szCs w:val="22"/>
              </w:rPr>
            </w:pPr>
            <w:r w:rsidRPr="00863E8B">
              <w:rPr>
                <w:rFonts w:ascii="Aptos Narrow" w:eastAsia="Aptos" w:hAnsi="Aptos Narrow" w:cs="Aptos"/>
                <w:b/>
                <w:bCs/>
                <w:sz w:val="22"/>
                <w:szCs w:val="22"/>
              </w:rPr>
              <w:t>Theory</w:t>
            </w:r>
          </w:p>
        </w:tc>
        <w:tc>
          <w:tcPr>
            <w:tcW w:w="3100" w:type="pct"/>
          </w:tcPr>
          <w:p w14:paraId="627CAE25" w14:textId="5688C8D4" w:rsidR="00863E8B" w:rsidRPr="00863E8B" w:rsidRDefault="00863E8B" w:rsidP="00F612D6">
            <w:pPr>
              <w:spacing w:line="360" w:lineRule="auto"/>
              <w:jc w:val="left"/>
              <w:rPr>
                <w:rFonts w:ascii="Aptos Narrow" w:eastAsia="Aptos" w:hAnsi="Aptos Narrow" w:cs="Aptos"/>
                <w:b/>
                <w:bCs/>
                <w:sz w:val="22"/>
                <w:szCs w:val="22"/>
              </w:rPr>
            </w:pPr>
            <w:r w:rsidRPr="00863E8B">
              <w:rPr>
                <w:rFonts w:ascii="Aptos Narrow" w:eastAsia="Aptos" w:hAnsi="Aptos Narrow" w:cs="Aptos"/>
                <w:b/>
                <w:bCs/>
                <w:sz w:val="22"/>
                <w:szCs w:val="22"/>
              </w:rPr>
              <w:t>Description</w:t>
            </w:r>
          </w:p>
        </w:tc>
      </w:tr>
      <w:tr w:rsidR="00F3702F" w:rsidRPr="00CD2BC0" w14:paraId="0AB81B38" w14:textId="77777777" w:rsidTr="00CD2BC0">
        <w:tc>
          <w:tcPr>
            <w:tcW w:w="1900" w:type="pct"/>
          </w:tcPr>
          <w:p w14:paraId="1B87A372" w14:textId="3EA58F41"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Aarons and Colleagues’ EPIS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&lt;EndNote&gt;&lt;Cite&gt;&lt;Author&gt;Moullin&lt;/Author&gt;&lt;Year&gt;2019&lt;/Year&gt;&lt;RecNum&gt;104&lt;/RecNum&gt;&lt;DisplayText&gt;[1]&lt;/DisplayText&gt;&lt;record&gt;&lt;rec-number&gt;104&lt;/rec-number&gt;&lt;foreign-keys&gt;&lt;key app="EN" db-id="fz2zvxdeizsvelertwov5v23se5xdxafvz92" timestamp="1788504319"&gt;104&lt;/key&gt;&lt;/foreign-keys&gt;&lt;ref-type name="Journal Article"&gt;17&lt;/ref-type&gt;&lt;contributors&gt;&lt;authors&gt;&lt;author&gt;Moullin, Joanna C&lt;/author&gt;&lt;author&gt;Dickson, Kelsey S&lt;/author&gt;&lt;author&gt;Stadnick, Nicole A&lt;/author&gt;&lt;author&gt;Rabin, Borsika&lt;/author&gt;&lt;author&gt;Aarons, Gregory A&lt;/author&gt;&lt;/authors&gt;&lt;/contributors&gt;&lt;titles&gt;&lt;title&gt;Systematic review of the exploration, preparation, implementation, sustainment (EPIS) framework&lt;/title&gt;&lt;secondary-title&gt;Implementation science&lt;/secondary-title&gt;&lt;/titles&gt;&lt;periodical&gt;&lt;full-title&gt;Implementation science&lt;/full-title&gt;&lt;/periodical&gt;&lt;pages&gt;1&lt;/pages&gt;&lt;volume&gt;14&lt;/volume&gt;&lt;number&gt;1&lt;/number&gt;&lt;dates&gt;&lt;year&gt;2019&lt;/year&gt;&lt;/dates&gt;&lt;isbn&gt;1748-5908&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w:t>
            </w:r>
            <w:r w:rsidR="002724FB">
              <w:rPr>
                <w:rFonts w:ascii="Aptos Narrow" w:eastAsia="Aptos" w:hAnsi="Aptos Narrow" w:cs="Aptos"/>
                <w:sz w:val="22"/>
                <w:szCs w:val="22"/>
              </w:rPr>
              <w:fldChar w:fldCharType="end"/>
            </w:r>
          </w:p>
        </w:tc>
        <w:tc>
          <w:tcPr>
            <w:tcW w:w="3100" w:type="pct"/>
          </w:tcPr>
          <w:p w14:paraId="3D961E0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An implementation process framework that guides interventions (maturity of data use interventions, assessment of readiness, scaling, and sustainability of HMIS reforms through: </w:t>
            </w:r>
          </w:p>
          <w:p w14:paraId="430A2B8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Exploration – explore the need for data use.</w:t>
            </w:r>
          </w:p>
          <w:p w14:paraId="783412E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Preparation – prepare systems i.e. tools, infrastructure.</w:t>
            </w:r>
          </w:p>
          <w:p w14:paraId="00C74C92"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Implementation – introduce the interventions.</w:t>
            </w:r>
          </w:p>
          <w:p w14:paraId="78D12652"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Sustainment – keep up use of intervention routinely</w:t>
            </w:r>
          </w:p>
        </w:tc>
      </w:tr>
      <w:tr w:rsidR="00F3702F" w:rsidRPr="00CD2BC0" w14:paraId="710B4F71" w14:textId="77777777" w:rsidTr="00CD2BC0">
        <w:tc>
          <w:tcPr>
            <w:tcW w:w="1900" w:type="pct"/>
          </w:tcPr>
          <w:p w14:paraId="53F8E2EC" w14:textId="694DB7AF"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Activity Theory</w:t>
            </w:r>
            <w:r w:rsidR="000F34FC">
              <w:rPr>
                <w:rFonts w:ascii="Aptos Narrow" w:eastAsia="Aptos" w:hAnsi="Aptos Narrow" w:cs="Aptos"/>
                <w:sz w:val="22"/>
                <w:szCs w:val="22"/>
              </w:rPr>
              <w:t xml:space="preserve">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&lt;EndNote&gt;&lt;Cite&gt;&lt;Author&gt;Engestrom&lt;/Author&gt;&lt;Year&gt;2000&lt;/Year&gt;&lt;RecNum&gt;131&lt;/RecNum&gt;&lt;DisplayText&gt;[2]&lt;/DisplayText&gt;&lt;record&gt;&lt;rec-number&gt;131&lt;/rec-number&gt;&lt;foreign-keys&gt;&lt;key app="EN" db-id="fz2zvxdeizsvelertwov5v23se5xdxafvz92" timestamp="1788522390"&gt;131&lt;/key&gt;&lt;/foreign-keys&gt;&lt;ref-type name="Journal Article"&gt;17&lt;/ref-type&gt;&lt;contributors&gt;&lt;authors&gt;&lt;author&gt;Engestrom, Yrjo&lt;/author&gt;&lt;/authors&gt;&lt;/contributors&gt;&lt;titles&gt;&lt;title&gt;Activity theory as a framework for analyzing and redesigning work&lt;/title&gt;&lt;secondary-title&gt;Ergonomics&lt;/secondary-title&gt;&lt;/titles&gt;&lt;periodical&gt;&lt;full-title&gt;Ergonomics&lt;/full-title&gt;&lt;/periodical&gt;&lt;pages&gt;960-974&lt;/pages&gt;&lt;volume&gt;43&lt;/volume&gt;&lt;number&gt;7&lt;/number&gt;&lt;dates&gt;&lt;year&gt;2000&lt;/year&gt;&lt;/dates&gt;&lt;isbn&gt;0014-0139&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[2]</w:t>
            </w:r>
            <w:r w:rsidR="002724FB">
              <w:rPr>
                <w:rFonts w:ascii="Aptos Narrow" w:eastAsia="Aptos" w:hAnsi="Aptos Narrow" w:cs="Aptos"/>
                <w:sz w:val="22"/>
                <w:szCs w:val="22"/>
              </w:rPr>
              <w:fldChar w:fldCharType="end"/>
            </w:r>
          </w:p>
        </w:tc>
        <w:tc>
          <w:tcPr>
            <w:tcW w:w="3100" w:type="pct"/>
          </w:tcPr>
          <w:p w14:paraId="0E265EB0"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A socio-cultural theory that explains the interaction of people with systems, environment, and resources to achieve goals. It explores </w:t>
            </w:r>
            <w:r w:rsidRPr="00CD2BC0">
              <w:rPr>
                <w:rFonts w:ascii="Aptos Narrow" w:eastAsia="Aptos" w:hAnsi="Aptos Narrow" w:cs="Aptos"/>
                <w:sz w:val="22"/>
                <w:szCs w:val="22"/>
              </w:rPr>
              <w:lastRenderedPageBreak/>
              <w:t>subjects, objects, tools, rules, community, and division of labour and analyses the workflows and organizational practices.</w:t>
            </w:r>
          </w:p>
        </w:tc>
      </w:tr>
      <w:tr w:rsidR="00F3702F" w:rsidRPr="00CD2BC0" w14:paraId="5256E763" w14:textId="77777777" w:rsidTr="00CD2BC0">
        <w:tc>
          <w:tcPr>
            <w:tcW w:w="1900" w:type="pct"/>
          </w:tcPr>
          <w:p w14:paraId="59F38328" w14:textId="2CBB3960"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lastRenderedPageBreak/>
              <w:t xml:space="preserve">Consolidated Framework for Implementation Research (CFIR)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&lt;EndNote&gt;&lt;Cite&gt;&lt;Author&gt;Kirk&lt;/Author&gt;&lt;Year&gt;2015&lt;/Year&gt;&lt;RecNum&gt;133&lt;/RecNum&gt;&lt;DisplayText&gt;[3]&lt;/DisplayText&gt;&lt;record&gt;&lt;rec-number&gt;133&lt;/rec-number&gt;&lt;foreign-keys&gt;&lt;key app="EN" db-id="fz2zvxdeizsvelertwov5v23se5xdxafvz92" timestamp="1788522482"&gt;133&lt;/key&gt;&lt;/foreign-keys&gt;&lt;ref-type name="Journal Article"&gt;17&lt;/ref-type&gt;&lt;contributors&gt;&lt;authors&gt;&lt;author&gt;Kirk, M Alexis&lt;/author&gt;&lt;author&gt;Kelley, Caitlin&lt;/author&gt;&lt;author&gt;Yankey, Nicholas&lt;/author&gt;&lt;author&gt;Birken, Sarah A&lt;/author&gt;&lt;author&gt;Abadie, Brenton&lt;/author&gt;&lt;author&gt;Damschroder, Laura&lt;/author&gt;&lt;/authors&gt;&lt;/contributors&gt;&lt;titles&gt;&lt;title&gt;A systematic review of the use of the Consolidated Framework for Implementation Research&lt;/title&gt;&lt;secondary-title&gt;Implementation science&lt;/secondary-title&gt;&lt;/titles&gt;&lt;periodical&gt;&lt;full-title&gt;Implementation science&lt;/full-title&gt;&lt;/periodical&gt;&lt;pages&gt;72&lt;/pages&gt;&lt;volume&gt;11&lt;/volume&gt;&lt;number&gt;1&lt;/number&gt;&lt;dates&gt;&lt;year&gt;2015&lt;/year&gt;&lt;/dates&gt;&lt;isbn&gt;1748-5908&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[3]</w:t>
            </w:r>
            <w:r w:rsidR="002724FB">
              <w:rPr>
                <w:rFonts w:ascii="Aptos Narrow" w:eastAsia="Aptos" w:hAnsi="Aptos Narrow" w:cs="Aptos"/>
                <w:sz w:val="22"/>
                <w:szCs w:val="22"/>
              </w:rPr>
              <w:fldChar w:fldCharType="end"/>
            </w:r>
          </w:p>
        </w:tc>
        <w:tc>
          <w:tcPr>
            <w:tcW w:w="3100" w:type="pct"/>
          </w:tcPr>
          <w:p w14:paraId="6DFB7EF4"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determinant framework that assesses barriers and facilitators of interventions. It explores five domains:</w:t>
            </w:r>
          </w:p>
          <w:p w14:paraId="64424648"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Intervention – adaptability, cost, and complexity</w:t>
            </w:r>
          </w:p>
          <w:p w14:paraId="5D8F2AD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Inner setting -leadership, resources, and organizational culture</w:t>
            </w:r>
          </w:p>
          <w:p w14:paraId="586C8A5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Outer setting – policies, funds, patient needs</w:t>
            </w:r>
          </w:p>
          <w:p w14:paraId="570544CA"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Individuals – beliefs, self-efficacy, knowledge</w:t>
            </w:r>
          </w:p>
          <w:p w14:paraId="002CD0E7"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Process – planning, engaging, reflecting</w:t>
            </w:r>
          </w:p>
        </w:tc>
      </w:tr>
      <w:tr w:rsidR="00F3702F" w:rsidRPr="00CD2BC0" w14:paraId="5E368209" w14:textId="77777777" w:rsidTr="00CD2BC0">
        <w:tc>
          <w:tcPr>
            <w:tcW w:w="1900" w:type="pct"/>
          </w:tcPr>
          <w:p w14:paraId="6AF7A704" w14:textId="4D07BAB6"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Conceptual model of Cognitive processing of performance feedback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&lt;EndNote&gt;&lt;Cite&gt;&lt;Author&gt;DeNisi&lt;/Author&gt;&lt;Year&gt;1984&lt;/Year&gt;&lt;RecNum&gt;132&lt;/RecNum&gt;&lt;DisplayText&gt;[4]&lt;/DisplayText&gt;&lt;record&gt;&lt;rec-number&gt;132&lt;/rec-number&gt;&lt;foreign-keys&gt;&lt;key app="EN" db-id="fz2zvxdeizsvelertwov5v23se5xdxafvz92" timestamp="1788522441"&gt;132&lt;/key&gt;&lt;/foreign-keys&gt;&lt;ref-type name="Journal Article"&gt;17&lt;/ref-type&gt;&lt;contributors&gt;&lt;authors&gt;&lt;author&gt;DeNisi, Angelo S&lt;/author&gt;&lt;author&gt;Cafferty, Thomas P&lt;/author&gt;&lt;author&gt;Meglino, Bruce M&lt;/author&gt;&lt;/authors&gt;&lt;/contributors&gt;&lt;titles&gt;&lt;title&gt;A cognitive view of the performance appraisal process: A model and research propositions&lt;/title&gt;&lt;secondary-title&gt;Organizational behavior and human performance&lt;/secondary-title&gt;&lt;/titles&gt;&lt;periodical&gt;&lt;full-title&gt;Organizational behavior and human performance&lt;/full-title&gt;&lt;/periodical&gt;&lt;pages&gt;360-396&lt;/pages&gt;&lt;volume&gt;33&lt;/volume&gt;&lt;number&gt;3&lt;/number&gt;&lt;dates&gt;&lt;year&gt;1984&lt;/year&gt;&lt;/dates&gt;&lt;isbn&gt;0030-5073&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[4]</w:t>
            </w:r>
            <w:r w:rsidR="002724FB">
              <w:rPr>
                <w:rFonts w:ascii="Aptos Narrow" w:eastAsia="Aptos" w:hAnsi="Aptos Narrow" w:cs="Aptos"/>
                <w:sz w:val="22"/>
                <w:szCs w:val="22"/>
              </w:rPr>
              <w:fldChar w:fldCharType="end"/>
            </w:r>
          </w:p>
        </w:tc>
        <w:tc>
          <w:tcPr>
            <w:tcW w:w="3100" w:type="pct"/>
          </w:tcPr>
          <w:p w14:paraId="39CF3BD1"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integrates theories from psychology, education, and organizational studies to explain the perception, interpretation and action on feedback by users for performance optimization. It follows the steps; attention, interpretation, acceptance and action in contexts with different complexity, user capacity and feedback credibility to aid improvement of feedback systems.</w:t>
            </w:r>
          </w:p>
        </w:tc>
      </w:tr>
      <w:tr w:rsidR="00F3702F" w:rsidRPr="00CD2BC0" w14:paraId="5553FE97" w14:textId="77777777" w:rsidTr="00CD2BC0">
        <w:tc>
          <w:tcPr>
            <w:tcW w:w="1900" w:type="pct"/>
          </w:tcPr>
          <w:p w14:paraId="6C278D8D" w14:textId="7B541981"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Constructivist grounded theory</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&lt;EndNote&gt;&lt;Cite&gt;&lt;Author&gt;Mills&lt;/Author&gt;&lt;Year&gt;2006&lt;/Year&gt;&lt;RecNum&gt;105&lt;/RecNum&gt;&lt;DisplayText&gt;[5]&lt;/DisplayText&gt;&lt;record&gt;&lt;rec-number&gt;105&lt;/rec-number&gt;&lt;foreign-keys&gt;&lt;key app="EN" db-id="fz2zvxdeizsvelertwov5v23se5xdxafvz92" timestamp="1788508279"&gt;105&lt;/key&gt;&lt;/foreign-keys&gt;&lt;ref-type name="Journal Article"&gt;17&lt;/ref-type&gt;&lt;contributors&gt;&lt;authors&gt;&lt;author&gt;Mills, Jane&lt;/author&gt;&lt;author&gt;Bonner, Ann&lt;/author&gt;&lt;author&gt;Francis, Karen&lt;/author&gt;&lt;/authors&gt;&lt;/contributors&gt;&lt;titles&gt;&lt;title&gt;The Development of Constructivist Grounded Theory&lt;/title&gt;&lt;secondary-title&gt;International Journal of Qualitative Methods&lt;/secondary-title&gt;&lt;/titles&gt;&lt;periodical&gt;&lt;full-title&gt;International Journal of Qualitative Methods&lt;/full-title&gt;&lt;/periodical&gt;&lt;pages&gt;25-35&lt;/pages&gt;&lt;volume&gt;5&lt;/volume&gt;&lt;number&gt;1&lt;/number&gt;&lt;keywords&gt;&lt;keyword&gt;grounded theory, constructivism, constructivist, methodology, nurse/nursing&lt;/keyword&gt;&lt;/keywords&gt;&lt;dates&gt;&lt;year&gt;2006&lt;/year&gt;&lt;/dates&gt;&lt;urls&gt;&lt;related-urls&gt;&lt;url&gt;https://journals.sagepub.com/doi/abs/10.1177/160940690600500103&lt;/url&gt;&lt;/related-urls&gt;&lt;/urls&gt;&lt;electronic-resource-num&gt;10.1177/160940690600500103&lt;/electronic-resource-num&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[5]</w:t>
            </w:r>
            <w:r w:rsidR="002724FB">
              <w:rPr>
                <w:rFonts w:ascii="Aptos Narrow" w:eastAsia="Aptos" w:hAnsi="Aptos Narrow" w:cs="Aptos"/>
                <w:sz w:val="22"/>
                <w:szCs w:val="22"/>
              </w:rPr>
              <w:fldChar w:fldCharType="end"/>
            </w:r>
          </w:p>
        </w:tc>
        <w:tc>
          <w:tcPr>
            <w:tcW w:w="3100" w:type="pct"/>
          </w:tcPr>
          <w:p w14:paraId="446E44D8"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Theory generated inductively from participant’s experiences and acknowledges the researcher’s role in construction of meaning. Follows data collection, coding, constant comparison, memo writing and theory generation.</w:t>
            </w:r>
          </w:p>
        </w:tc>
      </w:tr>
      <w:tr w:rsidR="00F3702F" w:rsidRPr="00CD2BC0" w14:paraId="2F48029F" w14:textId="77777777" w:rsidTr="00CD2BC0">
        <w:tc>
          <w:tcPr>
            <w:tcW w:w="1900" w:type="pct"/>
          </w:tcPr>
          <w:p w14:paraId="125AC4D2" w14:textId="07D74879"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Diffusion of Innovation Theory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&lt;EndNote&gt;&lt;Cite&gt;&lt;Author&gt;Kaminski&lt;/Author&gt;&lt;Year&gt;2011&lt;/Year&gt;&lt;RecNum&gt;106&lt;/RecNum&gt;&lt;DisplayText&gt;[6]&lt;/DisplayText&gt;&lt;record&gt;&lt;rec-number&gt;106&lt;/rec-number&gt;&lt;foreign-keys&gt;&lt;key app="EN" db-id="fz2zvxdeizsvelertwov5v23se5xdxafvz92" timestamp="1788508377"&gt;106&lt;/key&gt;&lt;/foreign-keys&gt;&lt;ref-type name="Journal Article"&gt;17&lt;/ref-type&gt;&lt;contributors&gt;&lt;authors&gt;&lt;author&gt;Kaminski, June&lt;/author&gt;&lt;/authors&gt;&lt;/contributors&gt;&lt;titles&gt;&lt;title&gt;Diffusion of innovation theory&lt;/title&gt;&lt;secondary-title&gt;Canadian Journal of Nursing Informatics&lt;/secondary-title&gt;&lt;/titles&gt;&lt;periodical&gt;&lt;full-title&gt;Canadian Journal of Nursing Informatics&lt;/full-title&gt;&lt;/periodical&gt;&lt;pages&gt;1-6&lt;/pages&gt;&lt;volume&gt;6&lt;/volume&gt;&lt;number&gt;2&lt;/number&gt;&lt;dates&gt;&lt;year&gt;2011&lt;/year&gt;&lt;/dates&gt;&lt;urls&gt;&lt;/urls&gt;&lt;/record&gt;&lt;/Cite&gt;&lt;/EndNote&gt;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[6]</w:t>
            </w:r>
            <w:r w:rsidR="002724FB">
              <w:rPr>
                <w:rFonts w:ascii="Aptos Narrow" w:eastAsia="Aptos" w:hAnsi="Aptos Narrow" w:cs="Aptos"/>
                <w:sz w:val="22"/>
                <w:szCs w:val="22"/>
              </w:rPr>
              <w:fldChar w:fldCharType="end"/>
            </w:r>
          </w:p>
        </w:tc>
        <w:tc>
          <w:tcPr>
            <w:tcW w:w="3100" w:type="pct"/>
          </w:tcPr>
          <w:p w14:paraId="3F3D5739"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Theory that explains how, why and the rate at which new products, practices and ideas spread through a social system in time. It explores five elements innovation, communication channels, time, adopters’ characteristics and social system to emphasize determinants of innovation adoption.</w:t>
            </w:r>
          </w:p>
        </w:tc>
      </w:tr>
      <w:tr w:rsidR="00F3702F" w:rsidRPr="00CD2BC0" w14:paraId="39D771CC" w14:textId="77777777" w:rsidTr="00CD2BC0">
        <w:tc>
          <w:tcPr>
            <w:tcW w:w="1900" w:type="pct"/>
          </w:tcPr>
          <w:p w14:paraId="78994A3A" w14:textId="50EBC9C4"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Health Metrics Network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&lt;EndNote&gt;&lt;Cite&gt;&lt;Author&gt;Network&lt;/Author&gt;&lt;Year&gt;2008&lt;/Year&gt;&lt;RecNum&gt;107&lt;/RecNum&gt;&lt;DisplayText&gt;[7]&lt;/DisplayText&gt;&lt;record&gt;&lt;rec-number&gt;107&lt;/rec-number&gt;&lt;foreign-keys&gt;&lt;key app="EN" db-id="fz2zvxdeizsvelertwov5v23se5xdxafvz92" timestamp="1788508517"&gt;107&lt;/key&gt;&lt;/foreign-keys&gt;&lt;ref-type name="Book"&gt;6&lt;/ref-type&gt;&lt;contributors&gt;&lt;authors&gt;&lt;author&gt;Health Metrics Network&lt;/author&gt;&lt;author&gt;World Health Organization&lt;/author&gt;&lt;/authors&gt;&lt;/contributors&gt;&lt;titles&gt;&lt;title&gt;Assessing the national health information system: an assessment tool&lt;/title&gt;&lt;/titles&gt;&lt;dates&gt;&lt;year&gt;2008&lt;/year&gt;&lt;/dates&gt;&lt;publisher&gt;World Health Organization&lt;/publisher&gt;&lt;isbn&gt;9241547510&lt;/isbn&gt;&lt;urls&gt;&lt;/urls&gt;&lt;/record&gt;&lt;/Cite&gt;&lt;/EndNote&gt;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[7]</w:t>
            </w:r>
            <w:r w:rsidR="002724FB">
              <w:rPr>
                <w:rFonts w:ascii="Aptos Narrow" w:eastAsia="Aptos" w:hAnsi="Aptos Narrow" w:cs="Aptos"/>
                <w:sz w:val="22"/>
                <w:szCs w:val="22"/>
              </w:rPr>
              <w:fldChar w:fldCharType="end"/>
            </w:r>
          </w:p>
        </w:tc>
        <w:tc>
          <w:tcPr>
            <w:tcW w:w="3100" w:type="pct"/>
          </w:tcPr>
          <w:p w14:paraId="2BC18351"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Framework developed by a global partnership hosted by WHO to improve HMIS in LMICs to provide prompt, accurate and actionable health data that guides countries in building stronger systems for collection, management, analysis and dissemination of health information to aid in decision-making, policies and resource allocation. Has six components’ resources, indicators, data sources, data management, information products and use</w:t>
            </w:r>
          </w:p>
        </w:tc>
      </w:tr>
      <w:tr w:rsidR="00F3702F" w:rsidRPr="00CD2BC0" w14:paraId="5A2423A8" w14:textId="77777777" w:rsidTr="00CD2BC0">
        <w:tc>
          <w:tcPr>
            <w:tcW w:w="1900" w:type="pct"/>
          </w:tcPr>
          <w:p w14:paraId="193581DE" w14:textId="2820C062"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Human, Organization and Technology (HOT-Fit) model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&lt;EndNote&gt;&lt;Cite&gt;&lt;Author&gt;Yusof&lt;/Author&gt;&lt;Year&gt;2008&lt;/Year&gt;&lt;RecNum&gt;108&lt;/RecNum&gt;&lt;DisplayText&gt;[8]&lt;/DisplayText&gt;&lt;record&gt;&lt;rec-number&gt;108&lt;/rec-number&gt;&lt;foreign-keys&gt;&lt;key app="EN" db-id="fz2zvxdeizsvelertwov5v23se5xdxafvz92" timestamp="1788508579"&gt;108&lt;/key&gt;&lt;/foreign-keys&gt;&lt;ref-type name="Journal Article"&gt;17&lt;/ref-type&gt;&lt;contributors&gt;&lt;authors&gt;&lt;author&gt;Yusof, Maryati Mohd&lt;/author&gt;&lt;author&gt;Kuljis, Jasna&lt;/author&gt;&lt;author&gt;Papazafeiropoulou, Anastasia&lt;/author&gt;&lt;author&gt;Stergioulas, Lampros K&lt;/author&gt;&lt;/authors&gt;&lt;/contributors&gt;&lt;titles&gt;&lt;title&gt;An evaluation framework for Health Information Systems: human, organization and technology-fit factors (HOT-fit)&lt;/title&gt;&lt;secondary-title&gt;International journal of medical informatics&lt;/secondary-title&gt;&lt;/titles&gt;&lt;periodical&gt;&lt;full-title&gt;International journal of medical informatics&lt;/full-title&gt;&lt;/periodical&gt;&lt;pages&gt;386-398&lt;/pages&gt;&lt;volume&gt;77&lt;/volume&gt;&lt;number&gt;6&lt;/number&gt;&lt;dates&gt;&lt;year&gt;2008&lt;/year&gt;&lt;/dates&gt;&lt;isbn&gt;1386-5056&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[8]</w:t>
            </w:r>
            <w:r w:rsidR="002724FB">
              <w:rPr>
                <w:rFonts w:ascii="Aptos Narrow" w:eastAsia="Aptos" w:hAnsi="Aptos Narrow" w:cs="Aptos"/>
                <w:sz w:val="22"/>
                <w:szCs w:val="22"/>
              </w:rPr>
              <w:fldChar w:fldCharType="end"/>
            </w:r>
          </w:p>
        </w:tc>
        <w:tc>
          <w:tcPr>
            <w:tcW w:w="3100" w:type="pct"/>
          </w:tcPr>
          <w:p w14:paraId="34C3E48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model for evaluation of HMIS success by integration of human (satisfaction, skills), organisation (structure, leadership) and technological (information quality, system quality) factors to assess their fit within components of HIS</w:t>
            </w:r>
          </w:p>
        </w:tc>
      </w:tr>
      <w:tr w:rsidR="00F3702F" w:rsidRPr="00CD2BC0" w14:paraId="08627BD7" w14:textId="77777777" w:rsidTr="00CD2BC0">
        <w:tc>
          <w:tcPr>
            <w:tcW w:w="1900" w:type="pct"/>
          </w:tcPr>
          <w:p w14:paraId="3778B87A" w14:textId="06A0E4F4"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lastRenderedPageBreak/>
              <w:t xml:space="preserve">Human Development Model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&lt;EndNote&gt;&lt;Cite&gt;&lt;Author&gt;Bronfenbrenner&lt;/Author&gt;&lt;Year&gt;2007&lt;/Year&gt;&lt;RecNum&gt;109&lt;/RecNum&gt;&lt;DisplayText&gt;[9]&lt;/DisplayText&gt;&lt;record&gt;&lt;rec-number&gt;109&lt;/rec-number&gt;&lt;foreign-keys&gt;&lt;key app="EN" db-id="fz2zvxdeizsvelertwov5v23se5xdxafvz92" timestamp="1788509138"&gt;109&lt;/key&gt;&lt;/foreign-keys&gt;&lt;ref-type name="Journal Article"&gt;17&lt;/ref-type&gt;&lt;contributors&gt;&lt;authors&gt;&lt;author&gt;Bronfenbrenner, Urie&lt;/author&gt;&lt;author&gt;Morris, Pamela A&lt;/author&gt;&lt;/authors&gt;&lt;/contributors&gt;&lt;titles&gt;&lt;title&gt;The bioecological model of human development&lt;/title&gt;&lt;secondary-title&gt;Handbook of child psychology&lt;/secondary-title&gt;&lt;/titles&gt;&lt;periodical&gt;&lt;full-title&gt;Handbook of child psychology&lt;/full-title&gt;&lt;/periodical&gt;&lt;volume&gt;1&lt;/volume&gt;&lt;dates&gt;&lt;year&gt;2007&lt;/year&gt;&lt;/dates&gt;&lt;urls&gt;&lt;/urls&gt;&lt;/record&gt;&lt;/Cite&gt;&lt;/EndNote&gt;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[9]</w:t>
            </w:r>
            <w:r w:rsidR="002724FB">
              <w:rPr>
                <w:rFonts w:ascii="Aptos Narrow" w:eastAsia="Aptos" w:hAnsi="Aptos Narrow" w:cs="Aptos"/>
                <w:sz w:val="22"/>
                <w:szCs w:val="22"/>
              </w:rPr>
              <w:fldChar w:fldCharType="end"/>
            </w:r>
          </w:p>
        </w:tc>
        <w:tc>
          <w:tcPr>
            <w:tcW w:w="3100" w:type="pct"/>
          </w:tcPr>
          <w:p w14:paraId="2D49EEF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explains the growth, change, adaptation across lifespans of people in emotional, cognitive, social and biological dimensions. It covers the aspects of capacity building, empowerment and skills developments to determine and improve data literacy among health workers.</w:t>
            </w:r>
          </w:p>
        </w:tc>
      </w:tr>
      <w:tr w:rsidR="00F3702F" w:rsidRPr="00CD2BC0" w14:paraId="3362AF31" w14:textId="77777777" w:rsidTr="00CD2BC0">
        <w:tc>
          <w:tcPr>
            <w:tcW w:w="1900" w:type="pct"/>
          </w:tcPr>
          <w:p w14:paraId="45359A5B" w14:textId="67A21EE5"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Information cycle Model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&lt;EndNote&gt;&lt;Cite&gt;&lt;Author&gt;Heywood&lt;/Author&gt;&lt;Year&gt;2001&lt;/Year&gt;&lt;RecNum&gt;110&lt;/RecNum&gt;&lt;DisplayText&gt;[10]&lt;/DisplayText&gt;&lt;record&gt;&lt;rec-number&gt;110&lt;/rec-number&gt;&lt;foreign-keys&gt;&lt;key app="EN" db-id="fz2zvxdeizsvelertwov5v23se5xdxafvz92" timestamp="1788509702"&gt;110&lt;/key&gt;&lt;/foreign-keys&gt;&lt;ref-type name="Journal Article"&gt;17&lt;/ref-type&gt;&lt;contributors&gt;&lt;authors&gt;&lt;author&gt;Heywood, Arthur&lt;/author&gt;&lt;author&gt;Rohde, Jon&lt;/author&gt;&lt;/authors&gt;&lt;/contributors&gt;&lt;titles&gt;&lt;title&gt;Using information for action: a manual for health workers at facility level&lt;/title&gt;&lt;secondary-title&gt;Arcadia, Pretoria: The Equity Project&lt;/secondary-title&gt;&lt;/titles&gt;&lt;periodical&gt;&lt;full-title&gt;Arcadia, Pretoria: The Equity Project&lt;/full-title&gt;&lt;/periodical&gt;&lt;dates&gt;&lt;year&gt;2001&lt;/year&gt;&lt;/dates&gt;&lt;urls&gt;&lt;/urls&gt;&lt;/record&gt;&lt;/Cite&gt;&lt;/EndNote&gt;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[10]</w:t>
            </w:r>
            <w:r w:rsidR="002724FB">
              <w:rPr>
                <w:rFonts w:ascii="Aptos Narrow" w:eastAsia="Aptos" w:hAnsi="Aptos Narrow" w:cs="Aptos"/>
                <w:sz w:val="22"/>
                <w:szCs w:val="22"/>
              </w:rPr>
              <w:fldChar w:fldCharType="end"/>
            </w:r>
          </w:p>
        </w:tc>
        <w:tc>
          <w:tcPr>
            <w:tcW w:w="3100" w:type="pct"/>
          </w:tcPr>
          <w:p w14:paraId="346F7831"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maps the routine flow of data and its breakdown through several stages: data collection, processing, analysis, dissemination, use, feedback</w:t>
            </w:r>
          </w:p>
        </w:tc>
      </w:tr>
      <w:tr w:rsidR="00F3702F" w:rsidRPr="00CD2BC0" w14:paraId="5A94B43A" w14:textId="77777777" w:rsidTr="00CD2BC0">
        <w:tc>
          <w:tcPr>
            <w:tcW w:w="1900" w:type="pct"/>
          </w:tcPr>
          <w:p w14:paraId="6BE7B7E6" w14:textId="0FE68BC0"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Klein and Knight theoretical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&lt;EndNote&gt;&lt;Cite&gt;&lt;Author&gt;Klein&lt;/Author&gt;&lt;Year&gt;2005&lt;/Year&gt;&lt;RecNum&gt;111&lt;/RecNum&gt;&lt;DisplayText&gt;[11]&lt;/DisplayText&gt;&lt;record&gt;&lt;rec-number&gt;111&lt;/rec-number&gt;&lt;foreign-keys&gt;&lt;key app="EN" db-id="fz2zvxdeizsvelertwov5v23se5xdxafvz92" timestamp="1788509929"&gt;111&lt;/key&gt;&lt;/foreign-keys&gt;&lt;ref-type name="Journal Article"&gt;17&lt;/ref-type&gt;&lt;contributors&gt;&lt;authors&gt;&lt;author&gt;Klein, Katherine J.&lt;/author&gt;&lt;author&gt;Knight, Andrew P.&lt;/author&gt;&lt;/authors&gt;&lt;/contributors&gt;&lt;titles&gt;&lt;title&gt;Innovation Implementation:Overcoming the Challenge&lt;/title&gt;&lt;secondary-title&gt;Current Directions in Psychological Science&lt;/secondary-title&gt;&lt;/titles&gt;&lt;periodical&gt;&lt;full-title&gt;Current Directions in Psychological Science&lt;/full-title&gt;&lt;/periodical&gt;&lt;pages&gt;243-246&lt;/pages&gt;&lt;volume&gt;14&lt;/volume&gt;&lt;number&gt;5&lt;/number&gt;&lt;keywords&gt;&lt;keyword&gt;innovation, implementation, learning&lt;/keyword&gt;&lt;/keywords&gt;&lt;dates&gt;&lt;year&gt;2005&lt;/year&gt;&lt;/dates&gt;&lt;urls&gt;&lt;related-urls&gt;&lt;url&gt;https://journals.sagepub.com/doi/abs/10.1111/j.0963-7214.2005.00373.x&lt;/url&gt;&lt;/related-urls&gt;&lt;/urls&gt;&lt;electronic-resource-num&gt;10.1111/j.0963-7214.2005.00373.x&lt;/electronic-resource-num&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[11]</w:t>
            </w:r>
            <w:r w:rsidR="002724FB">
              <w:rPr>
                <w:rFonts w:ascii="Aptos Narrow" w:eastAsia="Aptos" w:hAnsi="Aptos Narrow" w:cs="Aptos"/>
                <w:sz w:val="22"/>
                <w:szCs w:val="22"/>
              </w:rPr>
              <w:fldChar w:fldCharType="end"/>
            </w:r>
          </w:p>
        </w:tc>
        <w:tc>
          <w:tcPr>
            <w:tcW w:w="3100" w:type="pct"/>
          </w:tcPr>
          <w:p w14:paraId="3386EF3D"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explores the role of team-level and organizational factors in influencing successful implementation of innovations and its plausible requirements (consistency, skills, and employee’s committed use). Its key components include implementation climate, implementation policies and practices, financial resource availability, management support, learning orientation, and team/ organizational characteristics.</w:t>
            </w:r>
          </w:p>
        </w:tc>
      </w:tr>
      <w:tr w:rsidR="00F3702F" w:rsidRPr="00CD2BC0" w14:paraId="2EE502BD" w14:textId="77777777" w:rsidTr="00CD2BC0">
        <w:tc>
          <w:tcPr>
            <w:tcW w:w="1900" w:type="pct"/>
          </w:tcPr>
          <w:p w14:paraId="15D2F056" w14:textId="23E941E3"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Kruk and Colleagues Health system Resiliency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&lt;EndNote&gt;&lt;Cite&gt;&lt;Author&gt;Kruk&lt;/Author&gt;&lt;Year&gt;2015&lt;/Year&gt;&lt;RecNum&gt;112&lt;/RecNum&gt;&lt;DisplayText&gt;[12]&lt;/DisplayText&gt;&lt;record&gt;&lt;rec-number&gt;112&lt;/rec-number&gt;&lt;foreign-keys&gt;&lt;key app="EN" db-id="fz2zvxdeizsvelertwov5v23se5xdxafvz92" timestamp="1788510162"&gt;112&lt;/key&gt;&lt;/foreign-keys&gt;&lt;ref-type name="Journal Article"&gt;17&lt;/ref-type&gt;&lt;contributors&gt;&lt;authors&gt;&lt;author&gt;Kruk, Margaret E.&lt;/author&gt;&lt;author&gt;Myers, Michael&lt;/author&gt;&lt;author&gt;Varpilah, S. Tornorlah&lt;/author&gt;&lt;author&gt;Dahn, Bernice T.&lt;/author&gt;&lt;/authors&gt;&lt;/contributors&gt;&lt;titles&gt;&lt;title&gt;What is a resilient health system? Lessons from Ebola&lt;/title&gt;&lt;secondary-title&gt;The Lancet&lt;/secondary-title&gt;&lt;/titles&gt;&lt;periodical&gt;&lt;full-title&gt;The Lancet&lt;/full-title&gt;&lt;/periodical&gt;&lt;pages&gt;1910-1912&lt;/pages&gt;&lt;volume&gt;385&lt;/volume&gt;&lt;number&gt;9980&lt;/number&gt;&lt;dates&gt;&lt;year&gt;2015&lt;/year&gt;&lt;/dates&gt;&lt;publisher&gt;Elsevier&lt;/publisher&gt;&lt;isbn&gt;0140-6736&lt;/isbn&gt;&lt;urls&gt;&lt;related-urls&gt;&lt;url&gt;https://doi.org/10.1016/S0140-6736(15)60755-3&lt;/url&gt;&lt;/related-urls&gt;&lt;/urls&gt;&lt;electronic-resource-num&gt;10.1016/S0140-6736(15)60755-3&lt;/electronic-resource-num&gt;&lt;access-date&gt;2026/09/04&lt;/access-date&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[12]</w:t>
            </w:r>
            <w:r w:rsidR="002724FB">
              <w:rPr>
                <w:rFonts w:ascii="Aptos Narrow" w:eastAsia="Aptos" w:hAnsi="Aptos Narrow" w:cs="Aptos"/>
                <w:sz w:val="22"/>
                <w:szCs w:val="22"/>
              </w:rPr>
              <w:fldChar w:fldCharType="end"/>
            </w:r>
          </w:p>
        </w:tc>
        <w:tc>
          <w:tcPr>
            <w:tcW w:w="3100" w:type="pct"/>
          </w:tcPr>
          <w:p w14:paraId="585ACFDC"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Designed to define, evaluate, and guide the strengthening of health systems to better equipped for crises, maintain their core functions and learn from shocks. It is founded on awareness, diversity, self-regulation, integration an adaptability characteristic and emphasizes resilience in complex health systems requires institutional capacity, leadership and governance, community engagement, infrastructure and resource management, workforce capability, and integrated systems.</w:t>
            </w:r>
          </w:p>
        </w:tc>
      </w:tr>
      <w:tr w:rsidR="00F3702F" w:rsidRPr="00CD2BC0" w14:paraId="13A462EF" w14:textId="77777777" w:rsidTr="00CD2BC0">
        <w:tc>
          <w:tcPr>
            <w:tcW w:w="1900" w:type="pct"/>
          </w:tcPr>
          <w:p w14:paraId="22A6E201" w14:textId="17F6C1C0"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Knowledge-to-Action (KTA)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&lt;EndNote&gt;&lt;Cite&gt;&lt;Author&gt;Graham&lt;/Author&gt;&lt;Year&gt;2010&lt;/Year&gt;&lt;RecNum&gt;113&lt;/RecNum&gt;&lt;DisplayText&gt;[13]&lt;/DisplayText&gt;&lt;record&gt;&lt;rec-number&gt;113&lt;/rec-number&gt;&lt;foreign-keys&gt;&lt;key app="EN" db-id="fz2zvxdeizsvelertwov5v23se5xdxafvz92" timestamp="1788510227"&gt;113&lt;/key&gt;&lt;/foreign-keys&gt;&lt;ref-type name="Journal Article"&gt;17&lt;/ref-type&gt;&lt;contributors&gt;&lt;authors&gt;&lt;author&gt;Graham, Ian D&lt;/author&gt;&lt;author&gt;Tetroe, Jacqueline M&lt;/author&gt;&lt;/authors&gt;&lt;/contributors&gt;&lt;titles&gt;&lt;title&gt;The knowledge to action framework&lt;/title&gt;&lt;secondary-title&gt;Models and frameworks for implementing evidence-based practice: Linking evidence to action&lt;/secondary-title&gt;&lt;/titles&gt;&lt;periodical&gt;&lt;full-title&gt;Models and frameworks for implementing evidence-based practice: Linking evidence to action&lt;/full-title&gt;&lt;/periodical&gt;&lt;pages&gt;222&lt;/pages&gt;&lt;volume&gt;207&lt;/volume&gt;&lt;dates&gt;&lt;year&gt;2010&lt;/year&gt;&lt;/dates&gt;&lt;urls&gt;&lt;/urls&gt;&lt;/record&gt;&lt;/Cite&gt;&lt;/EndNote&gt;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[13]</w:t>
            </w:r>
            <w:r w:rsidR="002724FB">
              <w:rPr>
                <w:rFonts w:ascii="Aptos Narrow" w:eastAsia="Aptos" w:hAnsi="Aptos Narrow" w:cs="Aptos"/>
                <w:sz w:val="22"/>
                <w:szCs w:val="22"/>
              </w:rPr>
              <w:fldChar w:fldCharType="end"/>
            </w:r>
          </w:p>
        </w:tc>
        <w:tc>
          <w:tcPr>
            <w:tcW w:w="3100" w:type="pct"/>
          </w:tcPr>
          <w:p w14:paraId="773915EE"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A framework to guide translation of research into evidence by combination of </w:t>
            </w:r>
          </w:p>
          <w:p w14:paraId="640B35E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Knowledge creation – funnel at the centre of the framework that involves knowledge inquiry, synthesis and products i.e. user-friendly guidelines, decision aids.</w:t>
            </w:r>
          </w:p>
          <w:p w14:paraId="1D20F00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Action Cycle – guides practical application of knowledge though seven iterative phases: identification of gap, adaptation of knowledge to local context, assessment of barriers and facilitators at individual, organizational and system levels, selection, tailoring and implementation that address barriers, monitoring of knowledge use, evaluation of outcomes and sustenance of knowledge use.</w:t>
            </w:r>
          </w:p>
        </w:tc>
      </w:tr>
      <w:tr w:rsidR="00F3702F" w:rsidRPr="00CD2BC0" w14:paraId="0FBC7A9E" w14:textId="77777777" w:rsidTr="00CD2BC0">
        <w:tc>
          <w:tcPr>
            <w:tcW w:w="1900" w:type="pct"/>
          </w:tcPr>
          <w:p w14:paraId="24741503" w14:textId="0EFC73DC"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Medical Research Council (MRC)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&lt;EndNote&gt;&lt;Cite&gt;&lt;Author&gt;Shahsavari&lt;/Author&gt;&lt;Year&gt;2020&lt;/Year&gt;&lt;RecNum&gt;114&lt;/RecNum&gt;&lt;DisplayText&gt;[14]&lt;/DisplayText&gt;&lt;record&gt;&lt;rec-number&gt;114&lt;/rec-number&gt;&lt;foreign-keys&gt;&lt;key app="EN" db-id="fz2zvxdeizsvelertwov5v23se5xdxafvz92" timestamp="1788510313"&gt;114&lt;/key&gt;&lt;/foreign-keys&gt;&lt;ref-type name="Journal Article"&gt;17&lt;/ref-type&gt;&lt;contributors&gt;&lt;authors&gt;&lt;author&gt;Shahsavari, H.&lt;/author&gt;&lt;author&gt;Matourypour, P.&lt;/author&gt;&lt;author&gt;Ghiyasvandian, S.&lt;/author&gt;&lt;author&gt;Nejad, M. R. G.&lt;/author&gt;&lt;/authors&gt;&lt;/contributors&gt;&lt;auth-address&gt;Department of Medical-Surgical Nursing, School of Nursing and Midwifery, Tehran University of Medical Sciences, Tehran, Iran.&amp;#xD;Department of Orthopedic Surgery, Isfahan University of Medical Sciences, Isfahan, Iran.&lt;/auth-address&gt;&lt;titles&gt;&lt;title&gt;Medical Research Council framework for development and evaluation of complex interventions: A comprehensive guidance&lt;/title&gt;&lt;secondary-title&gt;J Educ Health Promot&lt;/secondary-title&gt;&lt;/titles&gt;&lt;periodical&gt;&lt;full-title&gt;J Educ Health Promot&lt;/full-title&gt;&lt;/periodical&gt;&lt;pages&gt;88&lt;/pages&gt;&lt;volume&gt;9&lt;/volume&gt;&lt;edition&gt;20200428&lt;/edition&gt;&lt;dates&gt;&lt;year&gt;2020&lt;/year&gt;&lt;/dates&gt;&lt;isbn&gt;2277-9531 (Print)&amp;#xD;2277-9531&lt;/isbn&gt;&lt;accession-num&gt;32509896&lt;/accession-num&gt;&lt;urls&gt;&lt;/urls&gt;&lt;custom1&gt;There are no conflicts of interest.&lt;/custom1&gt;&lt;custom2&gt;PMC7271909&lt;/custom2&gt;&lt;electronic-resource-num&gt;10.4103/jehp.jehp_649_19&lt;/electronic-resource-num&gt;&lt;remote-database-provider&gt;NLM&lt;/remote-database-provider&gt;&lt;language&gt;eng&lt;/language&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[14]</w:t>
            </w:r>
            <w:r w:rsidR="002724FB">
              <w:rPr>
                <w:rFonts w:ascii="Aptos Narrow" w:eastAsia="Aptos" w:hAnsi="Aptos Narrow" w:cs="Aptos"/>
                <w:sz w:val="22"/>
                <w:szCs w:val="22"/>
              </w:rPr>
              <w:fldChar w:fldCharType="end"/>
            </w:r>
          </w:p>
        </w:tc>
        <w:tc>
          <w:tcPr>
            <w:tcW w:w="3100" w:type="pct"/>
          </w:tcPr>
          <w:p w14:paraId="1456D1A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structured guide for designing evaluation and implementation of complex interventions in health and social care that emphasizes context, theory, stakeholder engagement, and iterative refinement. It outlines four phases:</w:t>
            </w:r>
          </w:p>
          <w:p w14:paraId="61B6E5E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lastRenderedPageBreak/>
              <w:t>Development – designing an intervention using evidence, theory, or policy needs.</w:t>
            </w:r>
          </w:p>
          <w:p w14:paraId="409E21F6"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Feasibility – Small scale testing of intervention to determine practicality, acceptability and potential challenges.</w:t>
            </w:r>
          </w:p>
          <w:p w14:paraId="0D89B4C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Evaluation- assessment of MOAs, cost effectiveness and effectiveness using appropriate designs.</w:t>
            </w:r>
          </w:p>
          <w:p w14:paraId="76EA25E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Implementation – scaling, integration, and monitoring of intervention into practice</w:t>
            </w:r>
          </w:p>
        </w:tc>
      </w:tr>
      <w:tr w:rsidR="00F3702F" w:rsidRPr="00CD2BC0" w14:paraId="5A54EE83" w14:textId="77777777" w:rsidTr="00CD2BC0">
        <w:tc>
          <w:tcPr>
            <w:tcW w:w="1900" w:type="pct"/>
          </w:tcPr>
          <w:p w14:paraId="4CB8AA55" w14:textId="613721F2"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lastRenderedPageBreak/>
              <w:t xml:space="preserve">Normalization Process Theory (NPT)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&lt;EndNote&gt;&lt;Cite&gt;&lt;Author&gt;May&lt;/Author&gt;&lt;Year&gt;2009&lt;/Year&gt;&lt;RecNum&gt;115&lt;/RecNum&gt;&lt;DisplayText&gt;[15]&lt;/DisplayText&gt;&lt;record&gt;&lt;rec-number&gt;115&lt;/rec-number&gt;&lt;foreign-keys&gt;&lt;key app="EN" db-id="fz2zvxdeizsvelertwov5v23se5xdxafvz92" timestamp="1788510454"&gt;115&lt;/key&gt;&lt;/foreign-keys&gt;&lt;ref-type name="Journal Article"&gt;17&lt;/ref-type&gt;&lt;contributors&gt;&lt;authors&gt;&lt;author&gt;May, Carl R.&lt;/author&gt;&lt;author&gt;Mair, Frances&lt;/author&gt;&lt;author&gt;Finch, Tracy&lt;/author&gt;&lt;author&gt;MacFarlane, Anne&lt;/author&gt;&lt;author&gt;Dowrick, Christopher&lt;/author&gt;&lt;author&gt;Treweek, Shaun&lt;/author&gt;&lt;author&gt;Rapley, Tim&lt;/author&gt;&lt;author&gt;Ballini, Luciana&lt;/author&gt;&lt;author&gt;Ong, Bie Nio&lt;/author&gt;&lt;author&gt;Rogers, Anne&lt;/author&gt;&lt;author&gt;Murray, Elizabeth&lt;/author&gt;&lt;author&gt;Elwyn, Glyn&lt;/author&gt;&lt;author&gt;Légaré, France&lt;/author&gt;&lt;author&gt;Gunn, Jane&lt;/author&gt;&lt;author&gt;Montori, Victor M.&lt;/author&gt;&lt;/authors&gt;&lt;/contributors&gt;&lt;titles&gt;&lt;title&gt;Development of a theory of implementation and integration: Normalization Process Theory&lt;/title&gt;&lt;secondary-title&gt;Implementation Science&lt;/secondary-title&gt;&lt;/titles&gt;&lt;periodical&gt;&lt;full-title&gt;Implementation science&lt;/full-title&gt;&lt;/periodical&gt;&lt;pages&gt;29&lt;/pages&gt;&lt;volume&gt;4&lt;/volume&gt;&lt;number&gt;1&lt;/number&gt;&lt;dates&gt;&lt;year&gt;2009&lt;/year&gt;&lt;pub-dates&gt;&lt;date&gt;2009/05/21&lt;/date&gt;&lt;/pub-dates&gt;&lt;/dates&gt;&lt;isbn&gt;1748-5908&lt;/isbn&gt;&lt;urls&gt;&lt;related-urls&gt;&lt;url&gt;https://doi.org/10.1186/1748-5908-4-29&lt;/url&gt;&lt;/related-urls&gt;&lt;/urls&gt;&lt;electronic-resource-num&gt;10.1186/1748-5908-4-29&lt;/electronic-resource-num&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[15]</w:t>
            </w:r>
            <w:r w:rsidR="002724FB">
              <w:rPr>
                <w:rFonts w:ascii="Aptos Narrow" w:eastAsia="Aptos" w:hAnsi="Aptos Narrow" w:cs="Aptos"/>
                <w:sz w:val="22"/>
                <w:szCs w:val="22"/>
              </w:rPr>
              <w:fldChar w:fldCharType="end"/>
            </w:r>
          </w:p>
        </w:tc>
        <w:tc>
          <w:tcPr>
            <w:tcW w:w="3100" w:type="pct"/>
          </w:tcPr>
          <w:p w14:paraId="636B5BCA"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sociological framework designed to bridge the gap between research evidence and real-world evidence between work and individuals by explaining implementation, embedment, and sustainability of complex interventions in practice through four mechanisms.</w:t>
            </w:r>
          </w:p>
          <w:p w14:paraId="28AD3737"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Coherence – do staff understand the value and purpose of an intervention?</w:t>
            </w:r>
          </w:p>
          <w:p w14:paraId="182C02DD"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Cognitive Participation – do stakeholders engage with each other?</w:t>
            </w:r>
          </w:p>
          <w:p w14:paraId="6B768F81"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Collective Action – are there systems to promote intervention?</w:t>
            </w:r>
          </w:p>
          <w:p w14:paraId="3E6C430C"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Reflexive Monitoring – is the value of intervention assessed in terms of benefits, costs, and impacts.</w:t>
            </w:r>
          </w:p>
        </w:tc>
      </w:tr>
      <w:tr w:rsidR="00F3702F" w:rsidRPr="00CD2BC0" w14:paraId="0E419DDB" w14:textId="77777777" w:rsidTr="00CD2BC0">
        <w:tc>
          <w:tcPr>
            <w:tcW w:w="1900" w:type="pct"/>
          </w:tcPr>
          <w:p w14:paraId="074EF88D" w14:textId="1027ED01"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Performance of Routine Information system management (PRISM) </w:t>
            </w:r>
            <w:r w:rsidR="002724FB">
              <w:rPr>
                <w:rFonts w:ascii="Aptos Narrow" w:eastAsia="Aptos" w:hAnsi="Aptos Narrow" w:cs="Aptos"/>
                <w:sz w:val="22"/>
                <w:szCs w:val="22"/>
              </w:rPr>
              <w:fldChar w:fldCharType="begin"/>
            </w:r>
            <w:r w:rsidR="00FA24E0">
              <w:rPr>
                <w:rFonts w:ascii="Aptos Narrow" w:eastAsia="Aptos" w:hAnsi="Aptos Narrow" w:cs="Aptos"/>
                <w:sz w:val="22"/>
                <w:szCs w:val="22"/>
              </w:rPr>
              <w:instrText xml:space="preserve"> ADDIN EN.CITE &lt;EndNote&gt;&lt;Cite&gt;&lt;Author&gt;Aqil&lt;/Author&gt;&lt;Year&gt;2009&lt;/Year&gt;&lt;RecNum&gt;99&lt;/RecNum&gt;&lt;DisplayText&gt;[16]&lt;/DisplayText&gt;&lt;record&gt;&lt;rec-number&gt;99&lt;/rec-number&gt;&lt;foreign-keys&gt;&lt;key app="EN" db-id="0wwaavvwnv2a5terfaq5tvr4par250f9s59v" timestamp="1788427000"&gt;99&lt;/key&gt;&lt;/foreign-keys&gt;&lt;ref-type name="Journal Article"&gt;17&lt;/ref-type&gt;&lt;contributors&gt;&lt;authors&gt;&lt;author&gt;Aqil, A.&lt;/author&gt;&lt;author&gt;Lippeveld, T.&lt;/author&gt;&lt;author&gt;Hozumi, D.&lt;/author&gt;&lt;/authors&gt;&lt;/contributors&gt;&lt;titles&gt;&lt;title&gt;PRISM framework: a paradigm shift for designing, strengthening and evaluating routine health information systems&lt;/title&gt;&lt;secondary-title&gt;Health Policy Plan&lt;/secondary-title&gt;&lt;/titles&gt;&lt;periodical&gt;&lt;full-title&gt;Health Policy Plan&lt;/full-title&gt;&lt;/periodical&gt;&lt;pages&gt;217-28&lt;/pages&gt;&lt;volume&gt;24&lt;/volume&gt;&lt;number&gt;3&lt;/number&gt;&lt;edition&gt;20090320&lt;/edition&gt;&lt;dates&gt;&lt;year&gt;2009&lt;/year&gt;&lt;pub-dates&gt;&lt;date&gt;May&lt;/date&gt;&lt;/pub-dates&gt;&lt;/dates&gt;&lt;isbn&gt;0268-1080 (Print)&amp;#xD;0268-1080&lt;/isbn&gt;&lt;accession-num&gt;19304786&lt;/accession-num&gt;&lt;urls&gt;&lt;/urls&gt;&lt;custom2&gt;PMC2670976&lt;/custom2&gt;&lt;electronic-resource-num&gt;10.1093/heapol/czp010&lt;/electronic-resource-num&gt;&lt;remote-database-provider&gt;NLM&lt;/remote-database-provider&gt;&lt;language&gt;eng&lt;/language&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[16]</w:t>
            </w:r>
            <w:r w:rsidR="002724FB">
              <w:rPr>
                <w:rFonts w:ascii="Aptos Narrow" w:eastAsia="Aptos" w:hAnsi="Aptos Narrow" w:cs="Aptos"/>
                <w:sz w:val="22"/>
                <w:szCs w:val="22"/>
              </w:rPr>
              <w:fldChar w:fldCharType="end"/>
            </w:r>
          </w:p>
        </w:tc>
        <w:tc>
          <w:tcPr>
            <w:tcW w:w="3100" w:type="pct"/>
          </w:tcPr>
          <w:p w14:paraId="7BA1EE58"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framework designed to strengthen and evaluate routine health information systems that focuses on assessment of RHIS by identification of organizational (governance, culture), technical (tools, systems) and behavioural factors (skills, motivation) that affect effectiveness.</w:t>
            </w:r>
          </w:p>
        </w:tc>
      </w:tr>
      <w:tr w:rsidR="00F3702F" w:rsidRPr="00CD2BC0" w14:paraId="5293825A" w14:textId="77777777" w:rsidTr="00CD2BC0">
        <w:tc>
          <w:tcPr>
            <w:tcW w:w="1900" w:type="pct"/>
          </w:tcPr>
          <w:p w14:paraId="0651A604" w14:textId="1A4367CE"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Reach, effectiveness, adoption, Implementation, and maintenance (RE-AIM)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&lt;EndNote&gt;&lt;Cite&gt;&lt;Author&gt;Holtrop&lt;/Author&gt;&lt;Year&gt;2021&lt;/Year&gt;&lt;RecNum&gt;116&lt;/RecNum&gt;&lt;DisplayText&gt;[17]&lt;/DisplayText&gt;&lt;record&gt;&lt;rec-number&gt;116&lt;/rec-number&gt;&lt;foreign-keys&gt;&lt;key app="EN" db-id="fz2zvxdeizsvelertwov5v23se5xdxafvz92" timestamp="1788510649"&gt;116&lt;/key&gt;&lt;/foreign-keys&gt;&lt;ref-type name="Journal Article"&gt;17&lt;/ref-type&gt;&lt;contributors&gt;&lt;authors&gt;&lt;author&gt;Holtrop, Jodi Summers&lt;/author&gt;&lt;author&gt;Estabrooks, Paul A&lt;/author&gt;&lt;author&gt;Gaglio, Bridget&lt;/author&gt;&lt;author&gt;Harden, Samantha M&lt;/author&gt;&lt;author&gt;Kessler, Rodger S&lt;/author&gt;&lt;author&gt;King, Diane K&lt;/author&gt;&lt;author&gt;Kwan, Bethany M&lt;/author&gt;&lt;author&gt;Ory, Marcia G&lt;/author&gt;&lt;author&gt;Rabin, Borsika A&lt;/author&gt;&lt;author&gt;Shelton, Rachel C&lt;/author&gt;&lt;/authors&gt;&lt;/contributors&gt;&lt;titles&gt;&lt;title&gt;Understanding and applying the RE-AIM framework: clarifications and resources&lt;/title&gt;&lt;secondary-title&gt;Journal of clinical and translational science&lt;/secondary-title&gt;&lt;/titles&gt;&lt;periodical&gt;&lt;full-title&gt;Journal of clinical and translational science&lt;/full-title&gt;&lt;/periodical&gt;&lt;pages&gt;e126&lt;/pages&gt;&lt;volume&gt;5&lt;/volume&gt;&lt;number&gt;1&lt;/number&gt;&lt;dates&gt;&lt;year&gt;2021&lt;/year&gt;&lt;/dates&gt;&lt;isbn&gt;2059-8661&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[17]</w:t>
            </w:r>
            <w:r w:rsidR="002724FB">
              <w:rPr>
                <w:rFonts w:ascii="Aptos Narrow" w:eastAsia="Aptos" w:hAnsi="Aptos Narrow" w:cs="Aptos"/>
                <w:sz w:val="22"/>
                <w:szCs w:val="22"/>
              </w:rPr>
              <w:fldChar w:fldCharType="end"/>
            </w:r>
          </w:p>
        </w:tc>
        <w:tc>
          <w:tcPr>
            <w:tcW w:w="3100" w:type="pct"/>
          </w:tcPr>
          <w:p w14:paraId="055A9790"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framework that used by policymakers, evaluators to evaluate and enhance public health impact of interventions.</w:t>
            </w:r>
          </w:p>
          <w:p w14:paraId="7F7513F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Reach – absolute number of target population that engage with an intervention.</w:t>
            </w:r>
          </w:p>
          <w:p w14:paraId="498B4AA9"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Effectiveness – positive or negative effects of intervention on important outcomes i.e. quality of life, economically</w:t>
            </w:r>
          </w:p>
          <w:p w14:paraId="7FBC191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Adoption – number, proportion and representativeness of settings and intervention agents willing to initiate an intervention.</w:t>
            </w:r>
          </w:p>
          <w:p w14:paraId="6E1CB165"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Implementation – focused on fidelity to the intervention protocol at setting and individual levels i.e. time, cost of delivery, consistency.</w:t>
            </w:r>
          </w:p>
          <w:p w14:paraId="5DCE68B3"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Maintenance – looks at long-term sustainability of interventions (&gt;6 months) at organizational and individual levels.</w:t>
            </w:r>
          </w:p>
        </w:tc>
      </w:tr>
      <w:tr w:rsidR="00F3702F" w:rsidRPr="00CD2BC0" w14:paraId="32FE5883" w14:textId="77777777" w:rsidTr="00CD2BC0">
        <w:tc>
          <w:tcPr>
            <w:tcW w:w="1900" w:type="pct"/>
          </w:tcPr>
          <w:p w14:paraId="7FFCA30A" w14:textId="3CE8C9EF"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lastRenderedPageBreak/>
              <w:t xml:space="preserve">Realist program theory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&lt;EndNote&gt;&lt;Cite&gt;&lt;Author&gt;Westhorp&lt;/Author&gt;&lt;Year&gt;2011&lt;/Year&gt;&lt;RecNum&gt;117&lt;/RecNum&gt;&lt;DisplayText&gt;[18]&lt;/DisplayText&gt;&lt;record&gt;&lt;rec-number&gt;117&lt;/rec-number&gt;&lt;foreign-keys&gt;&lt;key app="EN" db-id="fz2zvxdeizsvelertwov5v23se5xdxafvz92" timestamp="1788510753"&gt;117&lt;/key&gt;&lt;/foreign-keys&gt;&lt;ref-type name="Conference Proceedings"&gt;10&lt;/ref-type&gt;&lt;contributors&gt;&lt;authors&gt;&lt;author&gt;Westhorp, Gill&lt;/author&gt;&lt;author&gt;Prins, Ester&lt;/author&gt;&lt;author&gt;Kusters, Cecile&lt;/author&gt;&lt;author&gt;Hultink, Mirte&lt;/author&gt;&lt;author&gt;Guijt, Irene&lt;/author&gt;&lt;author&gt;Brouwers, JHAM&lt;/author&gt;&lt;/authors&gt;&lt;/contributors&gt;&lt;titles&gt;&lt;title&gt;Realist evaluation: an overview&lt;/title&gt;&lt;secondary-title&gt;Seminar Report&lt;/secondary-title&gt;&lt;/titles&gt;&lt;dates&gt;&lt;year&gt;2011&lt;/year&gt;&lt;/dates&gt;&lt;publisher&gt;Wageningen UR Centre for Development Innovation&lt;/publisher&gt;&lt;urls&gt;&lt;/urls&gt;&lt;/record&gt;&lt;/Cite&gt;&lt;/EndNote&gt;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[18]</w:t>
            </w:r>
            <w:r w:rsidR="002724FB">
              <w:rPr>
                <w:rFonts w:ascii="Aptos Narrow" w:eastAsia="Aptos" w:hAnsi="Aptos Narrow" w:cs="Aptos"/>
                <w:sz w:val="22"/>
                <w:szCs w:val="22"/>
              </w:rPr>
              <w:fldChar w:fldCharType="end"/>
            </w:r>
          </w:p>
        </w:tc>
        <w:tc>
          <w:tcPr>
            <w:tcW w:w="3100" w:type="pct"/>
          </w:tcPr>
          <w:p w14:paraId="1A07A980"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explains, how, why, for whom and the circumstances under which innovations work through linkage of contexts, mechanisms, and outcomes.</w:t>
            </w:r>
          </w:p>
        </w:tc>
      </w:tr>
      <w:tr w:rsidR="00F3702F" w:rsidRPr="00CD2BC0" w14:paraId="38673DEE" w14:textId="77777777" w:rsidTr="00CD2BC0">
        <w:tc>
          <w:tcPr>
            <w:tcW w:w="1900" w:type="pct"/>
          </w:tcPr>
          <w:p w14:paraId="6296583A" w14:textId="4BBA9C99"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Socio-ecological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&lt;EndNote&gt;&lt;Cite&gt;&lt;Author&gt;McLeroy&lt;/Author&gt;&lt;Year&gt;1988&lt;/Year&gt;&lt;RecNum&gt;118&lt;/RecNum&gt;&lt;DisplayText&gt;[19]&lt;/DisplayText&gt;&lt;record&gt;&lt;rec-number&gt;118&lt;/rec-number&gt;&lt;foreign-keys&gt;&lt;key app="EN" db-id="fz2zvxdeizsvelertwov5v23se5xdxafvz92" timestamp="1788511675"&gt;118&lt;/key&gt;&lt;/foreign-keys&gt;&lt;ref-type name="Journal Article"&gt;17&lt;/ref-type&gt;&lt;contributors&gt;&lt;authors&gt;&lt;author&gt;McLeroy, K. R.&lt;/author&gt;&lt;author&gt;Bibeau, D.&lt;/author&gt;&lt;author&gt;Steckler, A.&lt;/author&gt;&lt;author&gt;Glanz, K.&lt;/author&gt;&lt;/authors&gt;&lt;/contributors&gt;&lt;auth-address&gt;Department of Public Health Education, University of North Carolina, Greensboro 27412.&lt;/auth-address&gt;&lt;titles&gt;&lt;title&gt;An ecological perspective on health promotion programs&lt;/title&gt;&lt;secondary-title&gt;Health Educ Q&lt;/secondary-title&gt;&lt;/titles&gt;&lt;periodical&gt;&lt;full-title&gt;Health Educ Q&lt;/full-title&gt;&lt;/periodical&gt;&lt;pages&gt;351-77&lt;/pages&gt;&lt;volume&gt;15&lt;/volume&gt;&lt;number&gt;4&lt;/number&gt;&lt;keywords&gt;&lt;keyword&gt;Community Health Services&lt;/keyword&gt;&lt;keyword&gt;*Health Behavior&lt;/keyword&gt;&lt;keyword&gt;Health Promotion/*methods&lt;/keyword&gt;&lt;keyword&gt;Humans&lt;/keyword&gt;&lt;keyword&gt;*Social Environment&lt;/keyword&gt;&lt;/keywords&gt;&lt;dates&gt;&lt;year&gt;1988&lt;/year&gt;&lt;pub-dates&gt;&lt;date&gt;Winter&lt;/date&gt;&lt;/pub-dates&gt;&lt;/dates&gt;&lt;isbn&gt;0195-8402 (Print)&amp;#xD;0195-8402&lt;/isbn&gt;&lt;accession-num&gt;3068205&lt;/accession-num&gt;&lt;urls&gt;&lt;/urls&gt;&lt;electronic-resource-num&gt;10.1177/109019818801500401&lt;/electronic-resource-num&gt;&lt;remote-database-provider&gt;NLM&lt;/remote-database-provider&gt;&lt;language&gt;eng&lt;/language&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[19]</w:t>
            </w:r>
            <w:r w:rsidR="002724FB">
              <w:rPr>
                <w:rFonts w:ascii="Aptos Narrow" w:eastAsia="Aptos" w:hAnsi="Aptos Narrow" w:cs="Aptos"/>
                <w:sz w:val="22"/>
                <w:szCs w:val="22"/>
              </w:rPr>
              <w:fldChar w:fldCharType="end"/>
            </w:r>
          </w:p>
        </w:tc>
        <w:tc>
          <w:tcPr>
            <w:tcW w:w="3100" w:type="pct"/>
          </w:tcPr>
          <w:p w14:paraId="3CC3A394"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Used for multi-level analysis of social systems, ecological systems, and interaction with humans to determine outcomes, sustainability, and resilience of innovation to different influences. They cover individual, interpersonal, organizational, community and policy levels.</w:t>
            </w:r>
          </w:p>
        </w:tc>
      </w:tr>
      <w:tr w:rsidR="00F3702F" w:rsidRPr="00CD2BC0" w14:paraId="592CBACD" w14:textId="77777777" w:rsidTr="00CD2BC0">
        <w:tc>
          <w:tcPr>
            <w:tcW w:w="1900" w:type="pct"/>
          </w:tcPr>
          <w:p w14:paraId="6BBFB324" w14:textId="65A309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Sociotechnical systems theory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&lt;EndNote&gt;&lt;Cite&gt;&lt;Author&gt;Trist&lt;/Author&gt;&lt;Year&gt;2005&lt;/Year&gt;&lt;RecNum&gt;119&lt;/RecNum&gt;&lt;DisplayText&gt;[20]&lt;/DisplayText&gt;&lt;record&gt;&lt;rec-number&gt;119&lt;/rec-number&gt;&lt;foreign-keys&gt;&lt;key app="EN" db-id="fz2zvxdeizsvelertwov5v23se5xdxafvz92" timestamp="1788511980"&gt;119&lt;/key&gt;&lt;/foreign-keys&gt;&lt;ref-type name="Journal Article"&gt;17&lt;/ref-type&gt;&lt;contributors&gt;&lt;authors&gt;&lt;author&gt;Trist, ERIC&lt;/author&gt;&lt;author&gt;Emery, FRED&lt;/author&gt;&lt;/authors&gt;&lt;/contributors&gt;&lt;titles&gt;&lt;title&gt;Socio-technical systems theory&lt;/title&gt;&lt;secondary-title&gt;Organizational behavior 2: Essential theories of process and structure&lt;/secondary-title&gt;&lt;/titles&gt;&lt;periodical&gt;&lt;full-title&gt;Organizational behavior 2: Essential theories of process and structure&lt;/full-title&gt;&lt;/periodical&gt;&lt;volume&gt;169&lt;/volume&gt;&lt;dates&gt;&lt;year&gt;2005&lt;/year&gt;&lt;/dates&gt;&lt;urls&gt;&lt;/urls&gt;&lt;/record&gt;&lt;/Cite&gt;&lt;/EndNote&gt;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[20]</w:t>
            </w:r>
            <w:r w:rsidR="002724FB">
              <w:rPr>
                <w:rFonts w:ascii="Aptos Narrow" w:eastAsia="Aptos" w:hAnsi="Aptos Narrow" w:cs="Aptos"/>
                <w:sz w:val="22"/>
                <w:szCs w:val="22"/>
              </w:rPr>
              <w:fldChar w:fldCharType="end"/>
            </w:r>
          </w:p>
        </w:tc>
        <w:tc>
          <w:tcPr>
            <w:tcW w:w="3100" w:type="pct"/>
          </w:tcPr>
          <w:p w14:paraId="34486A8F"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examines the relationship between people and technology within complex systems emphasizing on the principle of joint optimization of social and technical components in organizational success</w:t>
            </w:r>
          </w:p>
        </w:tc>
      </w:tr>
      <w:tr w:rsidR="00F3702F" w:rsidRPr="00CD2BC0" w14:paraId="479253FE" w14:textId="77777777" w:rsidTr="00CD2BC0">
        <w:tc>
          <w:tcPr>
            <w:tcW w:w="1900" w:type="pct"/>
          </w:tcPr>
          <w:p w14:paraId="240735EC" w14:textId="149C5616"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Technical Acceptance Model </w:t>
            </w:r>
          </w:p>
        </w:tc>
        <w:tc>
          <w:tcPr>
            <w:tcW w:w="3100" w:type="pct"/>
          </w:tcPr>
          <w:p w14:paraId="43AC6458"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explains the behaviour of users towards technology as influenced by core constructs of perceived usefulness and perceived ease of use</w:t>
            </w:r>
          </w:p>
        </w:tc>
      </w:tr>
      <w:tr w:rsidR="00F3702F" w:rsidRPr="00CD2BC0" w14:paraId="6AE2BE14" w14:textId="77777777" w:rsidTr="00CD2BC0">
        <w:tc>
          <w:tcPr>
            <w:tcW w:w="1900" w:type="pct"/>
          </w:tcPr>
          <w:p w14:paraId="53AD10D0" w14:textId="2F277662"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Theoretical Domains Framework (TDF)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&lt;EndNote&gt;&lt;Cite&gt;&lt;Author&gt;Rahimi&lt;/Author&gt;&lt;Year&gt;2018&lt;/Year&gt;&lt;RecNum&gt;120&lt;/RecNum&gt;&lt;DisplayText&gt;[21]&lt;/DisplayText&gt;&lt;record&gt;&lt;rec-number&gt;120&lt;/rec-number&gt;&lt;foreign-keys&gt;&lt;key app="EN" db-id="fz2zvxdeizsvelertwov5v23se5xdxafvz92" timestamp="1788512343"&gt;120&lt;/key&gt;&lt;/foreign-keys&gt;&lt;ref-type name="Journal Article"&gt;17&lt;/ref-type&gt;&lt;contributors&gt;&lt;authors&gt;&lt;author&gt;Rahimi, Bahlol&lt;/author&gt;&lt;author&gt;Nadri, Hamed&lt;/author&gt;&lt;author&gt;Afshar, Hadi Lotfnezhad&lt;/author&gt;&lt;author&gt;Timpka, Toomas&lt;/author&gt;&lt;/authors&gt;&lt;/contributors&gt;&lt;titles&gt;&lt;title&gt;A systematic review of the technology acceptance model in health informatics&lt;/title&gt;&lt;secondary-title&gt;Applied clinical informatics&lt;/secondary-title&gt;&lt;/titles&gt;&lt;periodical&gt;&lt;full-title&gt;Applied clinical informatics&lt;/full-title&gt;&lt;/periodical&gt;&lt;pages&gt;604-634&lt;/pages&gt;&lt;volume&gt;9&lt;/volume&gt;&lt;number&gt;03&lt;/number&gt;&lt;dates&gt;&lt;year&gt;2018&lt;/year&gt;&lt;/dates&gt;&lt;isbn&gt;1869-0327&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[21]</w:t>
            </w:r>
            <w:r w:rsidR="002724FB">
              <w:rPr>
                <w:rFonts w:ascii="Aptos Narrow" w:eastAsia="Aptos" w:hAnsi="Aptos Narrow" w:cs="Aptos"/>
                <w:sz w:val="22"/>
                <w:szCs w:val="22"/>
              </w:rPr>
              <w:fldChar w:fldCharType="end"/>
            </w:r>
          </w:p>
        </w:tc>
        <w:tc>
          <w:tcPr>
            <w:tcW w:w="3100" w:type="pct"/>
          </w:tcPr>
          <w:p w14:paraId="316AD7BA"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A behavioural and implementation science framework that identifies individual barriers and facilitators across fourteen domains in health, education, and social sectors: knowledge, skills, social influences, beliefs about capabilities, beliefs on consequences, environmental context and resources, reinforcement, intentions, behavioural regulation, optimism, Social/professional role and identity goals and emotion</w:t>
            </w:r>
          </w:p>
        </w:tc>
      </w:tr>
      <w:tr w:rsidR="00F3702F" w:rsidRPr="00CD2BC0" w14:paraId="4A430D3A" w14:textId="77777777" w:rsidTr="00CD2BC0">
        <w:tc>
          <w:tcPr>
            <w:tcW w:w="1900" w:type="pct"/>
          </w:tcPr>
          <w:p w14:paraId="17A2F85C" w14:textId="264F2B90"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Theory of Change</w:t>
            </w:r>
            <w:r w:rsidR="002C541F">
              <w:rPr>
                <w:rFonts w:ascii="Aptos Narrow" w:eastAsia="Aptos" w:hAnsi="Aptos Narrow" w:cs="Aptos"/>
                <w:sz w:val="22"/>
                <w:szCs w:val="22"/>
              </w:rPr>
              <w:t xml:space="preserve"> </w:t>
            </w:r>
            <w:r w:rsidR="009729D3">
              <w:rPr>
                <w:rFonts w:ascii="Aptos Narrow" w:eastAsia="Aptos" w:hAnsi="Aptos Narrow" w:cs="Aptos"/>
                <w:sz w:val="22"/>
                <w:szCs w:val="22"/>
              </w:rPr>
              <w:fldChar w:fldCharType="begin"/>
            </w:r>
            <w:r w:rsidR="009729D3">
              <w:rPr>
                <w:rFonts w:ascii="Aptos Narrow" w:eastAsia="Aptos" w:hAnsi="Aptos Narrow" w:cs="Aptos"/>
                <w:sz w:val="22"/>
                <w:szCs w:val="22"/>
              </w:rPr>
              <w:instrText xml:space="preserve"> ADDIN EN.CITE &lt;EndNote&gt;&lt;Cite&gt;&lt;Author&gt;Taplin&lt;/Author&gt;&lt;Year&gt;2013&lt;/Year&gt;&lt;RecNum&gt;121&lt;/RecNum&gt;&lt;DisplayText&gt;[22]&lt;/DisplayText&gt;&lt;record&gt;&lt;rec-number&gt;121&lt;/rec-number&gt;&lt;foreign-keys&gt;&lt;key app="EN" db-id="fz2zvxdeizsvelertwov5v23se5xdxafvz92" timestamp="1788516609"&gt;121&lt;/key&gt;&lt;/foreign-keys&gt;&lt;ref-type name="Journal Article"&gt;17&lt;/ref-type&gt;&lt;contributors&gt;&lt;authors&gt;&lt;author&gt;Taplin, Dana H&lt;/author&gt;&lt;author&gt;Clark, Heléne&lt;/author&gt;&lt;author&gt;Collins, Eoin&lt;/author&gt;&lt;author&gt;Colby, David C&lt;/author&gt;&lt;/authors&gt;&lt;/contributors&gt;&lt;titles&gt;&lt;title&gt;Theory of change&lt;/title&gt;&lt;secondary-title&gt;Technical papers: a series of papers to support development of theories of change based on practice in the field. ActKnowledge, New York, NY, USA&lt;/secondary-title&gt;&lt;/titles&gt;&lt;periodical&gt;&lt;full-title&gt;Technical papers: a series of papers to support development of theories of change based on practice in the field. ActKnowledge, New York, NY, USA&lt;/full-title&gt;&lt;/periodical&gt;&lt;dates&gt;&lt;year&gt;2013&lt;/year&gt;&lt;/dates&gt;&lt;urls&gt;&lt;/urls&gt;&lt;/record&gt;&lt;/Cite&gt;&lt;/EndNote&gt;</w:instrText>
            </w:r>
            <w:r w:rsidR="009729D3">
              <w:rPr>
                <w:rFonts w:ascii="Aptos Narrow" w:eastAsia="Aptos" w:hAnsi="Aptos Narrow" w:cs="Aptos"/>
                <w:sz w:val="22"/>
                <w:szCs w:val="22"/>
              </w:rPr>
              <w:fldChar w:fldCharType="separate"/>
            </w:r>
            <w:r w:rsidR="009729D3">
              <w:rPr>
                <w:rFonts w:ascii="Aptos Narrow" w:eastAsia="Aptos" w:hAnsi="Aptos Narrow" w:cs="Aptos"/>
                <w:noProof/>
                <w:sz w:val="22"/>
                <w:szCs w:val="22"/>
              </w:rPr>
              <w:t>[22]</w:t>
            </w:r>
            <w:r w:rsidR="009729D3">
              <w:rPr>
                <w:rFonts w:ascii="Aptos Narrow" w:eastAsia="Aptos" w:hAnsi="Aptos Narrow" w:cs="Aptos"/>
                <w:sz w:val="22"/>
                <w:szCs w:val="22"/>
              </w:rPr>
              <w:fldChar w:fldCharType="end"/>
            </w:r>
          </w:p>
        </w:tc>
        <w:tc>
          <w:tcPr>
            <w:tcW w:w="3100" w:type="pct"/>
          </w:tcPr>
          <w:p w14:paraId="621E94E5"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explores the how and why contexts in which specific outcomes are expected in particular contexts from a desired change. It has core components of inputs, activities, outputs, outcomes, impact, and assumptions that help guide organizations and assess their efforts in creating change.</w:t>
            </w:r>
          </w:p>
        </w:tc>
      </w:tr>
      <w:tr w:rsidR="00F3702F" w:rsidRPr="00CD2BC0" w14:paraId="28F46879" w14:textId="77777777" w:rsidTr="00CD2BC0">
        <w:tc>
          <w:tcPr>
            <w:tcW w:w="1900" w:type="pct"/>
          </w:tcPr>
          <w:p w14:paraId="095F4377" w14:textId="379E1674"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 xml:space="preserve">Weiss Framework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&lt;EndNote&gt;&lt;Cite&gt;&lt;Author&gt;Weiss&lt;/Author&gt;&lt;Year&gt;2014&lt;/Year&gt;&lt;RecNum&gt;122&lt;/RecNum&gt;&lt;DisplayText&gt;[23]&lt;/DisplayText&gt;&lt;record&gt;&lt;rec-number&gt;122&lt;/rec-number&gt;&lt;foreign-keys&gt;&lt;key app="EN" db-id="fz2zvxdeizsvelertwov5v23se5xdxafvz92" timestamp="1788521107"&gt;122&lt;/key&gt;&lt;/foreign-keys&gt;&lt;ref-type name="Journal Article"&gt;17&lt;/ref-type&gt;&lt;contributors&gt;&lt;authors&gt;&lt;author&gt;Weiss, Michael J&lt;/author&gt;&lt;author&gt;Bloom, Howard S&lt;/author&gt;&lt;author&gt;Brock, Thomas&lt;/author&gt;&lt;/authors&gt;&lt;/contributors&gt;&lt;titles&gt;&lt;title&gt;A conceptual framework for studying the sources of variation in program effects&lt;/title&gt;&lt;secondary-title&gt;Journal of Policy Analysis and Management&lt;/secondary-title&gt;&lt;/titles&gt;&lt;periodical&gt;&lt;full-title&gt;Journal of Policy Analysis and Management&lt;/full-title&gt;&lt;/periodical&gt;&lt;pages&gt;778-808&lt;/pages&gt;&lt;volume&gt;33&lt;/volume&gt;&lt;number&gt;3&lt;/number&gt;&lt;dates&gt;&lt;year&gt;2014&lt;/year&gt;&lt;/dates&gt;&lt;isbn&gt;0276-8739&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[23]</w:t>
            </w:r>
            <w:r w:rsidR="002724FB">
              <w:rPr>
                <w:rFonts w:ascii="Aptos Narrow" w:eastAsia="Aptos" w:hAnsi="Aptos Narrow" w:cs="Aptos"/>
                <w:sz w:val="22"/>
                <w:szCs w:val="22"/>
              </w:rPr>
              <w:fldChar w:fldCharType="end"/>
            </w:r>
          </w:p>
        </w:tc>
        <w:tc>
          <w:tcPr>
            <w:tcW w:w="3100" w:type="pct"/>
          </w:tcPr>
          <w:p w14:paraId="26ABD418"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It evaluates why interventions succeed and fail through a focus on the mechanisms of change and explicit program theory within different intervention contexts.</w:t>
            </w:r>
          </w:p>
        </w:tc>
      </w:tr>
      <w:tr w:rsidR="00F3702F" w:rsidRPr="00CD2BC0" w14:paraId="1F655E46" w14:textId="77777777" w:rsidTr="00CD2BC0">
        <w:tc>
          <w:tcPr>
            <w:tcW w:w="1900" w:type="pct"/>
          </w:tcPr>
          <w:p w14:paraId="4358B5EF" w14:textId="559B0278"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WHO Data Quality assurance framework</w:t>
            </w:r>
            <w:r w:rsidR="00F752E0">
              <w:rPr>
                <w:rFonts w:ascii="Aptos Narrow" w:eastAsia="Aptos" w:hAnsi="Aptos Narrow" w:cs="Aptos"/>
                <w:sz w:val="22"/>
                <w:szCs w:val="22"/>
              </w:rPr>
              <w:t xml:space="preserve"> </w:t>
            </w:r>
            <w:r w:rsidR="002724FB">
              <w:rPr>
                <w:rFonts w:ascii="Aptos Narrow" w:eastAsia="Aptos" w:hAnsi="Aptos Narrow" w:cs="Aptos"/>
                <w:sz w:val="22"/>
                <w:szCs w:val="22"/>
              </w:rPr>
              <w:fldChar w:fldCharType="begin"/>
            </w:r>
            <w:r w:rsidR="002724FB">
              <w:rPr>
                <w:rFonts w:ascii="Aptos Narrow" w:eastAsia="Aptos" w:hAnsi="Aptos Narrow" w:cs="Aptos"/>
                <w:sz w:val="22"/>
                <w:szCs w:val="22"/>
              </w:rPr>
              <w:instrText xml:space="preserve"> ADDIN EN.CITE &lt;EndNote&gt;&lt;Cite&gt;&lt;Author&gt;Organization&lt;/Author&gt;&lt;Year&gt;2023&lt;/Year&gt;&lt;RecNum&gt;123&lt;/RecNum&gt;&lt;DisplayText&gt;[24]&lt;/DisplayText&gt;&lt;record&gt;&lt;rec-number&gt;123&lt;/rec-number&gt;&lt;foreign-keys&gt;&lt;key app="EN" db-id="fz2zvxdeizsvelertwov5v23se5xdxafvz92" timestamp="1788521206"&gt;123&lt;/key&gt;&lt;/foreign-keys&gt;&lt;ref-type name="Book"&gt;6&lt;/ref-type&gt;&lt;contributors&gt;&lt;authors&gt;&lt;author&gt;World Health Organization&lt;/author&gt;&lt;/authors&gt;&lt;/contributors&gt;&lt;titles&gt;&lt;title&gt;Data quality assurance. Module 1. Framework and metrics&lt;/title&gt;&lt;/titles&gt;&lt;dates&gt;&lt;year&gt;2023&lt;/year&gt;&lt;/dates&gt;&lt;publisher&gt;World Health Organization&lt;/publisher&gt;&lt;isbn&gt;9240047352&lt;/isbn&gt;&lt;urls&gt;&lt;/urls&gt;&lt;/record&gt;&lt;/Cite&gt;&lt;/EndNote&gt;</w:instrText>
            </w:r>
            <w:r w:rsidR="002724FB">
              <w:rPr>
                <w:rFonts w:ascii="Aptos Narrow" w:eastAsia="Aptos" w:hAnsi="Aptos Narrow" w:cs="Aptos"/>
                <w:sz w:val="22"/>
                <w:szCs w:val="22"/>
              </w:rPr>
              <w:fldChar w:fldCharType="separate"/>
            </w:r>
            <w:r w:rsidR="002724FB">
              <w:rPr>
                <w:rFonts w:ascii="Aptos Narrow" w:eastAsia="Aptos" w:hAnsi="Aptos Narrow" w:cs="Aptos"/>
                <w:noProof/>
                <w:sz w:val="22"/>
                <w:szCs w:val="22"/>
              </w:rPr>
              <w:t>[24]</w:t>
            </w:r>
            <w:r w:rsidR="002724FB">
              <w:rPr>
                <w:rFonts w:ascii="Aptos Narrow" w:eastAsia="Aptos" w:hAnsi="Aptos Narrow" w:cs="Aptos"/>
                <w:sz w:val="22"/>
                <w:szCs w:val="22"/>
              </w:rPr>
              <w:fldChar w:fldCharType="end"/>
            </w:r>
            <w:r w:rsidRPr="00CD2BC0">
              <w:rPr>
                <w:rFonts w:ascii="Aptos Narrow" w:eastAsia="Aptos" w:hAnsi="Aptos Narrow" w:cs="Aptos"/>
                <w:sz w:val="22"/>
                <w:szCs w:val="22"/>
              </w:rPr>
              <w:t xml:space="preserve"> </w:t>
            </w:r>
          </w:p>
        </w:tc>
        <w:tc>
          <w:tcPr>
            <w:tcW w:w="3100" w:type="pct"/>
          </w:tcPr>
          <w:p w14:paraId="3D4872B5" w14:textId="77777777" w:rsidR="00F3702F" w:rsidRPr="00CD2BC0" w:rsidRDefault="00F3702F" w:rsidP="00F612D6">
            <w:pPr>
              <w:spacing w:line="360" w:lineRule="auto"/>
              <w:jc w:val="left"/>
              <w:rPr>
                <w:rFonts w:ascii="Aptos Narrow" w:eastAsia="Aptos" w:hAnsi="Aptos Narrow" w:cs="Aptos"/>
                <w:sz w:val="22"/>
                <w:szCs w:val="22"/>
              </w:rPr>
            </w:pPr>
            <w:r w:rsidRPr="00CD2BC0">
              <w:rPr>
                <w:rFonts w:ascii="Aptos Narrow" w:eastAsia="Aptos" w:hAnsi="Aptos Narrow" w:cs="Aptos"/>
                <w:sz w:val="22"/>
                <w:szCs w:val="22"/>
              </w:rPr>
              <w:t>Designed to help countries in assessment and improvement of quality of health facility data under accuracy, completeness, timeliness, and consistency through a toolkit with multi-pronged approaches to ensure comprehensive and holistic verification and audits of systems to strengthen and achieve data quality.</w:t>
            </w:r>
          </w:p>
        </w:tc>
      </w:tr>
    </w:tbl>
    <w:p w14:paraId="0EDE7913" w14:textId="77777777" w:rsidR="00F3702F" w:rsidRDefault="00F3702F" w:rsidP="00F3702F">
      <w:pPr>
        <w:spacing w:after="160" w:line="360" w:lineRule="auto"/>
        <w:jc w:val="left"/>
        <w:rPr>
          <w:rFonts w:ascii="Aptos" w:eastAsia="Aptos" w:hAnsi="Aptos" w:cs="Aptos"/>
          <w:sz w:val="22"/>
          <w:szCs w:val="22"/>
        </w:rPr>
      </w:pPr>
      <w:bookmarkStart w:id="2" w:name="_ksv2adlm0a6d" w:colFirst="0" w:colLast="0"/>
      <w:bookmarkEnd w:id="2"/>
      <w:r>
        <w:rPr>
          <w:rFonts w:ascii="Aptos" w:eastAsia="Aptos" w:hAnsi="Aptos" w:cs="Aptos"/>
          <w:sz w:val="22"/>
          <w:szCs w:val="22"/>
        </w:rPr>
        <w:t xml:space="preserve">  </w:t>
      </w:r>
    </w:p>
    <w:p w14:paraId="7480A112" w14:textId="77777777" w:rsidR="008A4B5C" w:rsidRDefault="008A4B5C" w:rsidP="00F3702F">
      <w:pPr>
        <w:spacing w:after="160" w:line="360" w:lineRule="auto"/>
        <w:jc w:val="left"/>
        <w:rPr>
          <w:rFonts w:ascii="Aptos" w:eastAsia="Aptos" w:hAnsi="Aptos" w:cs="Aptos"/>
          <w:sz w:val="22"/>
          <w:szCs w:val="22"/>
        </w:rPr>
      </w:pPr>
    </w:p>
    <w:p w14:paraId="75D55058" w14:textId="77777777" w:rsidR="00976A91" w:rsidRDefault="00976A91" w:rsidP="00F3702F">
      <w:pPr>
        <w:spacing w:after="160" w:line="360" w:lineRule="auto"/>
        <w:jc w:val="left"/>
        <w:rPr>
          <w:rFonts w:ascii="Aptos" w:eastAsia="Aptos" w:hAnsi="Aptos" w:cs="Aptos"/>
          <w:sz w:val="22"/>
          <w:szCs w:val="22"/>
        </w:rPr>
      </w:pPr>
    </w:p>
    <w:p w14:paraId="29934A77" w14:textId="2086AA1A" w:rsidR="002724FB" w:rsidRPr="00FA24E0" w:rsidRDefault="00C67996" w:rsidP="00FA24E0">
      <w:pPr>
        <w:pStyle w:val="Heading2"/>
        <w:spacing w:after="0" w:line="276" w:lineRule="auto"/>
        <w:rPr>
          <w:rFonts w:ascii="Aptos Narrow" w:hAnsi="Aptos Narrow"/>
          <w:b/>
          <w:bCs/>
          <w:color w:val="4C94D8" w:themeColor="text2" w:themeTint="80"/>
          <w:sz w:val="28"/>
          <w:szCs w:val="28"/>
          <w:u w:val="single"/>
        </w:rPr>
      </w:pPr>
      <w:r w:rsidRPr="00FA24E0">
        <w:rPr>
          <w:rFonts w:ascii="Aptos Narrow" w:hAnsi="Aptos Narrow"/>
          <w:b/>
          <w:bCs/>
          <w:color w:val="4C94D8" w:themeColor="text2" w:themeTint="80"/>
          <w:sz w:val="28"/>
          <w:szCs w:val="28"/>
          <w:u w:val="single"/>
        </w:rPr>
        <w:lastRenderedPageBreak/>
        <w:t>References</w:t>
      </w:r>
    </w:p>
    <w:p w14:paraId="28E7ACD4" w14:textId="77777777" w:rsidR="00FA24E0" w:rsidRPr="0050745D" w:rsidRDefault="002724FB" w:rsidP="00FA24E0">
      <w:pPr>
        <w:pStyle w:val="EndNoteBibliography"/>
        <w:ind w:left="720" w:hanging="720"/>
        <w:rPr>
          <w:rFonts w:ascii="Aptos Narrow" w:hAnsi="Aptos Narrow"/>
          <w:sz w:val="22"/>
          <w:szCs w:val="22"/>
        </w:rPr>
      </w:pPr>
      <w:r w:rsidRPr="0050745D">
        <w:rPr>
          <w:rFonts w:ascii="Aptos Narrow" w:hAnsi="Aptos Narrow"/>
          <w:sz w:val="22"/>
          <w:szCs w:val="22"/>
        </w:rPr>
        <w:fldChar w:fldCharType="begin"/>
      </w:r>
      <w:r w:rsidRPr="0050745D">
        <w:rPr>
          <w:rFonts w:ascii="Aptos Narrow" w:hAnsi="Aptos Narrow"/>
          <w:sz w:val="22"/>
          <w:szCs w:val="22"/>
        </w:rPr>
        <w:instrText xml:space="preserve"> ADDIN EN.REFLIST </w:instrText>
      </w:r>
      <w:r w:rsidRPr="0050745D">
        <w:rPr>
          <w:rFonts w:ascii="Aptos Narrow" w:hAnsi="Aptos Narrow"/>
          <w:sz w:val="22"/>
          <w:szCs w:val="22"/>
        </w:rPr>
        <w:fldChar w:fldCharType="separate"/>
      </w:r>
      <w:r w:rsidR="00FA24E0" w:rsidRPr="0050745D">
        <w:rPr>
          <w:rFonts w:ascii="Aptos Narrow" w:hAnsi="Aptos Narrow"/>
          <w:sz w:val="22"/>
          <w:szCs w:val="22"/>
        </w:rPr>
        <w:t>1.</w:t>
      </w:r>
      <w:r w:rsidR="00FA24E0" w:rsidRPr="0050745D">
        <w:rPr>
          <w:rFonts w:ascii="Aptos Narrow" w:hAnsi="Aptos Narrow"/>
          <w:sz w:val="22"/>
          <w:szCs w:val="22"/>
        </w:rPr>
        <w:tab/>
        <w:t xml:space="preserve">Moullin, J.C., et al., </w:t>
      </w:r>
      <w:r w:rsidR="00FA24E0" w:rsidRPr="0050745D">
        <w:rPr>
          <w:rFonts w:ascii="Aptos Narrow" w:hAnsi="Aptos Narrow"/>
          <w:i/>
          <w:sz w:val="22"/>
          <w:szCs w:val="22"/>
        </w:rPr>
        <w:t>Systematic review of the exploration, preparation, implementation, sustainment (EPIS) framework.</w:t>
      </w:r>
      <w:r w:rsidR="00FA24E0" w:rsidRPr="0050745D">
        <w:rPr>
          <w:rFonts w:ascii="Aptos Narrow" w:hAnsi="Aptos Narrow"/>
          <w:sz w:val="22"/>
          <w:szCs w:val="22"/>
        </w:rPr>
        <w:t xml:space="preserve"> Implementation science, 2019. </w:t>
      </w:r>
      <w:r w:rsidR="00FA24E0" w:rsidRPr="0050745D">
        <w:rPr>
          <w:rFonts w:ascii="Aptos Narrow" w:hAnsi="Aptos Narrow"/>
          <w:b/>
          <w:sz w:val="22"/>
          <w:szCs w:val="22"/>
        </w:rPr>
        <w:t>14</w:t>
      </w:r>
      <w:r w:rsidR="00FA24E0" w:rsidRPr="0050745D">
        <w:rPr>
          <w:rFonts w:ascii="Aptos Narrow" w:hAnsi="Aptos Narrow"/>
          <w:sz w:val="22"/>
          <w:szCs w:val="22"/>
        </w:rPr>
        <w:t>(1): p. 1.</w:t>
      </w:r>
    </w:p>
    <w:p w14:paraId="084303DF"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2.</w:t>
      </w:r>
      <w:r w:rsidRPr="0050745D">
        <w:rPr>
          <w:rFonts w:ascii="Aptos Narrow" w:hAnsi="Aptos Narrow"/>
          <w:sz w:val="22"/>
          <w:szCs w:val="22"/>
        </w:rPr>
        <w:tab/>
        <w:t xml:space="preserve">Engestrom, Y., </w:t>
      </w:r>
      <w:r w:rsidRPr="0050745D">
        <w:rPr>
          <w:rFonts w:ascii="Aptos Narrow" w:hAnsi="Aptos Narrow"/>
          <w:i/>
          <w:sz w:val="22"/>
          <w:szCs w:val="22"/>
        </w:rPr>
        <w:t>Activity theory as a framework for analyzing and redesigning work.</w:t>
      </w:r>
      <w:r w:rsidRPr="0050745D">
        <w:rPr>
          <w:rFonts w:ascii="Aptos Narrow" w:hAnsi="Aptos Narrow"/>
          <w:sz w:val="22"/>
          <w:szCs w:val="22"/>
        </w:rPr>
        <w:t xml:space="preserve"> Ergonomics, 2000. </w:t>
      </w:r>
      <w:r w:rsidRPr="0050745D">
        <w:rPr>
          <w:rFonts w:ascii="Aptos Narrow" w:hAnsi="Aptos Narrow"/>
          <w:b/>
          <w:sz w:val="22"/>
          <w:szCs w:val="22"/>
        </w:rPr>
        <w:t>43</w:t>
      </w:r>
      <w:r w:rsidRPr="0050745D">
        <w:rPr>
          <w:rFonts w:ascii="Aptos Narrow" w:hAnsi="Aptos Narrow"/>
          <w:sz w:val="22"/>
          <w:szCs w:val="22"/>
        </w:rPr>
        <w:t>(7): p. 960-974.</w:t>
      </w:r>
    </w:p>
    <w:p w14:paraId="081737D7"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3.</w:t>
      </w:r>
      <w:r w:rsidRPr="0050745D">
        <w:rPr>
          <w:rFonts w:ascii="Aptos Narrow" w:hAnsi="Aptos Narrow"/>
          <w:sz w:val="22"/>
          <w:szCs w:val="22"/>
        </w:rPr>
        <w:tab/>
        <w:t xml:space="preserve">Kirk, M.A., et al., </w:t>
      </w:r>
      <w:r w:rsidRPr="0050745D">
        <w:rPr>
          <w:rFonts w:ascii="Aptos Narrow" w:hAnsi="Aptos Narrow"/>
          <w:i/>
          <w:sz w:val="22"/>
          <w:szCs w:val="22"/>
        </w:rPr>
        <w:t>A systematic review of the use of the Consolidated Framework for Implementation Research.</w:t>
      </w:r>
      <w:r w:rsidRPr="0050745D">
        <w:rPr>
          <w:rFonts w:ascii="Aptos Narrow" w:hAnsi="Aptos Narrow"/>
          <w:sz w:val="22"/>
          <w:szCs w:val="22"/>
        </w:rPr>
        <w:t xml:space="preserve"> Implementation science, 2015. </w:t>
      </w:r>
      <w:r w:rsidRPr="0050745D">
        <w:rPr>
          <w:rFonts w:ascii="Aptos Narrow" w:hAnsi="Aptos Narrow"/>
          <w:b/>
          <w:sz w:val="22"/>
          <w:szCs w:val="22"/>
        </w:rPr>
        <w:t>11</w:t>
      </w:r>
      <w:r w:rsidRPr="0050745D">
        <w:rPr>
          <w:rFonts w:ascii="Aptos Narrow" w:hAnsi="Aptos Narrow"/>
          <w:sz w:val="22"/>
          <w:szCs w:val="22"/>
        </w:rPr>
        <w:t>(1): p. 72.</w:t>
      </w:r>
    </w:p>
    <w:p w14:paraId="7FADF836"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4.</w:t>
      </w:r>
      <w:r w:rsidRPr="0050745D">
        <w:rPr>
          <w:rFonts w:ascii="Aptos Narrow" w:hAnsi="Aptos Narrow"/>
          <w:sz w:val="22"/>
          <w:szCs w:val="22"/>
        </w:rPr>
        <w:tab/>
        <w:t xml:space="preserve">DeNisi, A.S., T.P. Cafferty, and B.M. Meglino, </w:t>
      </w:r>
      <w:r w:rsidRPr="0050745D">
        <w:rPr>
          <w:rFonts w:ascii="Aptos Narrow" w:hAnsi="Aptos Narrow"/>
          <w:i/>
          <w:sz w:val="22"/>
          <w:szCs w:val="22"/>
        </w:rPr>
        <w:t>A cognitive view of the performance appraisal process: A model and research propositions.</w:t>
      </w:r>
      <w:r w:rsidRPr="0050745D">
        <w:rPr>
          <w:rFonts w:ascii="Aptos Narrow" w:hAnsi="Aptos Narrow"/>
          <w:sz w:val="22"/>
          <w:szCs w:val="22"/>
        </w:rPr>
        <w:t xml:space="preserve"> Organizational behavior and human performance, 1984. </w:t>
      </w:r>
      <w:r w:rsidRPr="0050745D">
        <w:rPr>
          <w:rFonts w:ascii="Aptos Narrow" w:hAnsi="Aptos Narrow"/>
          <w:b/>
          <w:sz w:val="22"/>
          <w:szCs w:val="22"/>
        </w:rPr>
        <w:t>33</w:t>
      </w:r>
      <w:r w:rsidRPr="0050745D">
        <w:rPr>
          <w:rFonts w:ascii="Aptos Narrow" w:hAnsi="Aptos Narrow"/>
          <w:sz w:val="22"/>
          <w:szCs w:val="22"/>
        </w:rPr>
        <w:t>(3): p. 360-396.</w:t>
      </w:r>
    </w:p>
    <w:p w14:paraId="49DC122D"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5.</w:t>
      </w:r>
      <w:r w:rsidRPr="0050745D">
        <w:rPr>
          <w:rFonts w:ascii="Aptos Narrow" w:hAnsi="Aptos Narrow"/>
          <w:sz w:val="22"/>
          <w:szCs w:val="22"/>
        </w:rPr>
        <w:tab/>
        <w:t xml:space="preserve">Mills, J., A. Bonner, and K. Francis, </w:t>
      </w:r>
      <w:r w:rsidRPr="0050745D">
        <w:rPr>
          <w:rFonts w:ascii="Aptos Narrow" w:hAnsi="Aptos Narrow"/>
          <w:i/>
          <w:sz w:val="22"/>
          <w:szCs w:val="22"/>
        </w:rPr>
        <w:t>The Development of Constructivist Grounded Theory.</w:t>
      </w:r>
      <w:r w:rsidRPr="0050745D">
        <w:rPr>
          <w:rFonts w:ascii="Aptos Narrow" w:hAnsi="Aptos Narrow"/>
          <w:sz w:val="22"/>
          <w:szCs w:val="22"/>
        </w:rPr>
        <w:t xml:space="preserve"> International Journal of Qualitative Methods, 2006. </w:t>
      </w:r>
      <w:r w:rsidRPr="0050745D">
        <w:rPr>
          <w:rFonts w:ascii="Aptos Narrow" w:hAnsi="Aptos Narrow"/>
          <w:b/>
          <w:sz w:val="22"/>
          <w:szCs w:val="22"/>
        </w:rPr>
        <w:t>5</w:t>
      </w:r>
      <w:r w:rsidRPr="0050745D">
        <w:rPr>
          <w:rFonts w:ascii="Aptos Narrow" w:hAnsi="Aptos Narrow"/>
          <w:sz w:val="22"/>
          <w:szCs w:val="22"/>
        </w:rPr>
        <w:t>(1): p. 25-35.</w:t>
      </w:r>
    </w:p>
    <w:p w14:paraId="3D77ACE3"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6.</w:t>
      </w:r>
      <w:r w:rsidRPr="0050745D">
        <w:rPr>
          <w:rFonts w:ascii="Aptos Narrow" w:hAnsi="Aptos Narrow"/>
          <w:sz w:val="22"/>
          <w:szCs w:val="22"/>
        </w:rPr>
        <w:tab/>
        <w:t xml:space="preserve">Kaminski, J., </w:t>
      </w:r>
      <w:r w:rsidRPr="0050745D">
        <w:rPr>
          <w:rFonts w:ascii="Aptos Narrow" w:hAnsi="Aptos Narrow"/>
          <w:i/>
          <w:sz w:val="22"/>
          <w:szCs w:val="22"/>
        </w:rPr>
        <w:t>Diffusion of innovation theory.</w:t>
      </w:r>
      <w:r w:rsidRPr="0050745D">
        <w:rPr>
          <w:rFonts w:ascii="Aptos Narrow" w:hAnsi="Aptos Narrow"/>
          <w:sz w:val="22"/>
          <w:szCs w:val="22"/>
        </w:rPr>
        <w:t xml:space="preserve"> Canadian Journal of Nursing Informatics, 2011. </w:t>
      </w:r>
      <w:r w:rsidRPr="0050745D">
        <w:rPr>
          <w:rFonts w:ascii="Aptos Narrow" w:hAnsi="Aptos Narrow"/>
          <w:b/>
          <w:sz w:val="22"/>
          <w:szCs w:val="22"/>
        </w:rPr>
        <w:t>6</w:t>
      </w:r>
      <w:r w:rsidRPr="0050745D">
        <w:rPr>
          <w:rFonts w:ascii="Aptos Narrow" w:hAnsi="Aptos Narrow"/>
          <w:sz w:val="22"/>
          <w:szCs w:val="22"/>
        </w:rPr>
        <w:t>(2): p. 1-6.</w:t>
      </w:r>
    </w:p>
    <w:p w14:paraId="4CDCE4DE"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7.</w:t>
      </w:r>
      <w:r w:rsidRPr="0050745D">
        <w:rPr>
          <w:rFonts w:ascii="Aptos Narrow" w:hAnsi="Aptos Narrow"/>
          <w:sz w:val="22"/>
          <w:szCs w:val="22"/>
        </w:rPr>
        <w:tab/>
        <w:t xml:space="preserve">Network, H.M. and W.H. Organization, </w:t>
      </w:r>
      <w:r w:rsidRPr="0050745D">
        <w:rPr>
          <w:rFonts w:ascii="Aptos Narrow" w:hAnsi="Aptos Narrow"/>
          <w:i/>
          <w:sz w:val="22"/>
          <w:szCs w:val="22"/>
        </w:rPr>
        <w:t>Assessing the national health information system: an assessment tool</w:t>
      </w:r>
      <w:r w:rsidRPr="0050745D">
        <w:rPr>
          <w:rFonts w:ascii="Aptos Narrow" w:hAnsi="Aptos Narrow"/>
          <w:sz w:val="22"/>
          <w:szCs w:val="22"/>
        </w:rPr>
        <w:t>. 2008: World Health Organization.</w:t>
      </w:r>
    </w:p>
    <w:p w14:paraId="05A162BB"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8.</w:t>
      </w:r>
      <w:r w:rsidRPr="0050745D">
        <w:rPr>
          <w:rFonts w:ascii="Aptos Narrow" w:hAnsi="Aptos Narrow"/>
          <w:sz w:val="22"/>
          <w:szCs w:val="22"/>
        </w:rPr>
        <w:tab/>
        <w:t xml:space="preserve">Yusof, M.M., et al., </w:t>
      </w:r>
      <w:r w:rsidRPr="0050745D">
        <w:rPr>
          <w:rFonts w:ascii="Aptos Narrow" w:hAnsi="Aptos Narrow"/>
          <w:i/>
          <w:sz w:val="22"/>
          <w:szCs w:val="22"/>
        </w:rPr>
        <w:t>An evaluation framework for Health Information Systems: human, organization and technology-fit factors (HOT-fit).</w:t>
      </w:r>
      <w:r w:rsidRPr="0050745D">
        <w:rPr>
          <w:rFonts w:ascii="Aptos Narrow" w:hAnsi="Aptos Narrow"/>
          <w:sz w:val="22"/>
          <w:szCs w:val="22"/>
        </w:rPr>
        <w:t xml:space="preserve"> International journal of medical informatics, 2008. </w:t>
      </w:r>
      <w:r w:rsidRPr="0050745D">
        <w:rPr>
          <w:rFonts w:ascii="Aptos Narrow" w:hAnsi="Aptos Narrow"/>
          <w:b/>
          <w:sz w:val="22"/>
          <w:szCs w:val="22"/>
        </w:rPr>
        <w:t>77</w:t>
      </w:r>
      <w:r w:rsidRPr="0050745D">
        <w:rPr>
          <w:rFonts w:ascii="Aptos Narrow" w:hAnsi="Aptos Narrow"/>
          <w:sz w:val="22"/>
          <w:szCs w:val="22"/>
        </w:rPr>
        <w:t>(6): p. 386-398.</w:t>
      </w:r>
    </w:p>
    <w:p w14:paraId="30B6141D"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9.</w:t>
      </w:r>
      <w:r w:rsidRPr="0050745D">
        <w:rPr>
          <w:rFonts w:ascii="Aptos Narrow" w:hAnsi="Aptos Narrow"/>
          <w:sz w:val="22"/>
          <w:szCs w:val="22"/>
        </w:rPr>
        <w:tab/>
        <w:t xml:space="preserve">Bronfenbrenner, U. and P.A. Morris, </w:t>
      </w:r>
      <w:r w:rsidRPr="0050745D">
        <w:rPr>
          <w:rFonts w:ascii="Aptos Narrow" w:hAnsi="Aptos Narrow"/>
          <w:i/>
          <w:sz w:val="22"/>
          <w:szCs w:val="22"/>
        </w:rPr>
        <w:t>The bioecological model of human development.</w:t>
      </w:r>
      <w:r w:rsidRPr="0050745D">
        <w:rPr>
          <w:rFonts w:ascii="Aptos Narrow" w:hAnsi="Aptos Narrow"/>
          <w:sz w:val="22"/>
          <w:szCs w:val="22"/>
        </w:rPr>
        <w:t xml:space="preserve"> Handbook of child psychology, 2007. </w:t>
      </w:r>
      <w:r w:rsidRPr="0050745D">
        <w:rPr>
          <w:rFonts w:ascii="Aptos Narrow" w:hAnsi="Aptos Narrow"/>
          <w:b/>
          <w:sz w:val="22"/>
          <w:szCs w:val="22"/>
        </w:rPr>
        <w:t>1</w:t>
      </w:r>
      <w:r w:rsidRPr="0050745D">
        <w:rPr>
          <w:rFonts w:ascii="Aptos Narrow" w:hAnsi="Aptos Narrow"/>
          <w:sz w:val="22"/>
          <w:szCs w:val="22"/>
        </w:rPr>
        <w:t>.</w:t>
      </w:r>
    </w:p>
    <w:p w14:paraId="7B210F1F"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10.</w:t>
      </w:r>
      <w:r w:rsidRPr="0050745D">
        <w:rPr>
          <w:rFonts w:ascii="Aptos Narrow" w:hAnsi="Aptos Narrow"/>
          <w:sz w:val="22"/>
          <w:szCs w:val="22"/>
        </w:rPr>
        <w:tab/>
        <w:t xml:space="preserve">Heywood, A. and J. Rohde, </w:t>
      </w:r>
      <w:r w:rsidRPr="0050745D">
        <w:rPr>
          <w:rFonts w:ascii="Aptos Narrow" w:hAnsi="Aptos Narrow"/>
          <w:i/>
          <w:sz w:val="22"/>
          <w:szCs w:val="22"/>
        </w:rPr>
        <w:t>Using information for action: a manual for health workers at facility level.</w:t>
      </w:r>
      <w:r w:rsidRPr="0050745D">
        <w:rPr>
          <w:rFonts w:ascii="Aptos Narrow" w:hAnsi="Aptos Narrow"/>
          <w:sz w:val="22"/>
          <w:szCs w:val="22"/>
        </w:rPr>
        <w:t xml:space="preserve"> Arcadia, Pretoria: The Equity Project, 2001.</w:t>
      </w:r>
    </w:p>
    <w:p w14:paraId="52DCD81F"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11.</w:t>
      </w:r>
      <w:r w:rsidRPr="0050745D">
        <w:rPr>
          <w:rFonts w:ascii="Aptos Narrow" w:hAnsi="Aptos Narrow"/>
          <w:sz w:val="22"/>
          <w:szCs w:val="22"/>
        </w:rPr>
        <w:tab/>
        <w:t xml:space="preserve">Klein, K.J. and A.P. Knight, </w:t>
      </w:r>
      <w:r w:rsidRPr="0050745D">
        <w:rPr>
          <w:rFonts w:ascii="Aptos Narrow" w:hAnsi="Aptos Narrow"/>
          <w:i/>
          <w:sz w:val="22"/>
          <w:szCs w:val="22"/>
        </w:rPr>
        <w:t>Innovation Implementation:Overcoming the Challenge.</w:t>
      </w:r>
      <w:r w:rsidRPr="0050745D">
        <w:rPr>
          <w:rFonts w:ascii="Aptos Narrow" w:hAnsi="Aptos Narrow"/>
          <w:sz w:val="22"/>
          <w:szCs w:val="22"/>
        </w:rPr>
        <w:t xml:space="preserve"> Current Directions in Psychological Science, 2005. </w:t>
      </w:r>
      <w:r w:rsidRPr="0050745D">
        <w:rPr>
          <w:rFonts w:ascii="Aptos Narrow" w:hAnsi="Aptos Narrow"/>
          <w:b/>
          <w:sz w:val="22"/>
          <w:szCs w:val="22"/>
        </w:rPr>
        <w:t>14</w:t>
      </w:r>
      <w:r w:rsidRPr="0050745D">
        <w:rPr>
          <w:rFonts w:ascii="Aptos Narrow" w:hAnsi="Aptos Narrow"/>
          <w:sz w:val="22"/>
          <w:szCs w:val="22"/>
        </w:rPr>
        <w:t>(5): p. 243-246.</w:t>
      </w:r>
    </w:p>
    <w:p w14:paraId="4FCA1BF8"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12.</w:t>
      </w:r>
      <w:r w:rsidRPr="0050745D">
        <w:rPr>
          <w:rFonts w:ascii="Aptos Narrow" w:hAnsi="Aptos Narrow"/>
          <w:sz w:val="22"/>
          <w:szCs w:val="22"/>
        </w:rPr>
        <w:tab/>
        <w:t xml:space="preserve">Kruk, M.E., et al., </w:t>
      </w:r>
      <w:r w:rsidRPr="0050745D">
        <w:rPr>
          <w:rFonts w:ascii="Aptos Narrow" w:hAnsi="Aptos Narrow"/>
          <w:i/>
          <w:sz w:val="22"/>
          <w:szCs w:val="22"/>
        </w:rPr>
        <w:t>What is a resilient health system? Lessons from Ebola.</w:t>
      </w:r>
      <w:r w:rsidRPr="0050745D">
        <w:rPr>
          <w:rFonts w:ascii="Aptos Narrow" w:hAnsi="Aptos Narrow"/>
          <w:sz w:val="22"/>
          <w:szCs w:val="22"/>
        </w:rPr>
        <w:t xml:space="preserve"> The Lancet, 2015. </w:t>
      </w:r>
      <w:r w:rsidRPr="0050745D">
        <w:rPr>
          <w:rFonts w:ascii="Aptos Narrow" w:hAnsi="Aptos Narrow"/>
          <w:b/>
          <w:sz w:val="22"/>
          <w:szCs w:val="22"/>
        </w:rPr>
        <w:t>385</w:t>
      </w:r>
      <w:r w:rsidRPr="0050745D">
        <w:rPr>
          <w:rFonts w:ascii="Aptos Narrow" w:hAnsi="Aptos Narrow"/>
          <w:sz w:val="22"/>
          <w:szCs w:val="22"/>
        </w:rPr>
        <w:t>(9980): p. 1910-1912.</w:t>
      </w:r>
    </w:p>
    <w:p w14:paraId="6C9F27A3"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13.</w:t>
      </w:r>
      <w:r w:rsidRPr="0050745D">
        <w:rPr>
          <w:rFonts w:ascii="Aptos Narrow" w:hAnsi="Aptos Narrow"/>
          <w:sz w:val="22"/>
          <w:szCs w:val="22"/>
        </w:rPr>
        <w:tab/>
        <w:t xml:space="preserve">Graham, I.D. and J.M. Tetroe, </w:t>
      </w:r>
      <w:r w:rsidRPr="0050745D">
        <w:rPr>
          <w:rFonts w:ascii="Aptos Narrow" w:hAnsi="Aptos Narrow"/>
          <w:i/>
          <w:sz w:val="22"/>
          <w:szCs w:val="22"/>
        </w:rPr>
        <w:t>The knowledge to action framework.</w:t>
      </w:r>
      <w:r w:rsidRPr="0050745D">
        <w:rPr>
          <w:rFonts w:ascii="Aptos Narrow" w:hAnsi="Aptos Narrow"/>
          <w:sz w:val="22"/>
          <w:szCs w:val="22"/>
        </w:rPr>
        <w:t xml:space="preserve"> Models and frameworks for implementing evidence-based practice: Linking evidence to action, 2010. </w:t>
      </w:r>
      <w:r w:rsidRPr="0050745D">
        <w:rPr>
          <w:rFonts w:ascii="Aptos Narrow" w:hAnsi="Aptos Narrow"/>
          <w:b/>
          <w:sz w:val="22"/>
          <w:szCs w:val="22"/>
        </w:rPr>
        <w:t>207</w:t>
      </w:r>
      <w:r w:rsidRPr="0050745D">
        <w:rPr>
          <w:rFonts w:ascii="Aptos Narrow" w:hAnsi="Aptos Narrow"/>
          <w:sz w:val="22"/>
          <w:szCs w:val="22"/>
        </w:rPr>
        <w:t>: p. 222.</w:t>
      </w:r>
    </w:p>
    <w:p w14:paraId="562330B9"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14.</w:t>
      </w:r>
      <w:r w:rsidRPr="0050745D">
        <w:rPr>
          <w:rFonts w:ascii="Aptos Narrow" w:hAnsi="Aptos Narrow"/>
          <w:sz w:val="22"/>
          <w:szCs w:val="22"/>
        </w:rPr>
        <w:tab/>
        <w:t xml:space="preserve">Shahsavari, H., et al., </w:t>
      </w:r>
      <w:r w:rsidRPr="0050745D">
        <w:rPr>
          <w:rFonts w:ascii="Aptos Narrow" w:hAnsi="Aptos Narrow"/>
          <w:i/>
          <w:sz w:val="22"/>
          <w:szCs w:val="22"/>
        </w:rPr>
        <w:t>Medical Research Council framework for development and evaluation of complex interventions: A comprehensive guidance.</w:t>
      </w:r>
      <w:r w:rsidRPr="0050745D">
        <w:rPr>
          <w:rFonts w:ascii="Aptos Narrow" w:hAnsi="Aptos Narrow"/>
          <w:sz w:val="22"/>
          <w:szCs w:val="22"/>
        </w:rPr>
        <w:t xml:space="preserve"> J Educ Health Promot, 2020. </w:t>
      </w:r>
      <w:r w:rsidRPr="0050745D">
        <w:rPr>
          <w:rFonts w:ascii="Aptos Narrow" w:hAnsi="Aptos Narrow"/>
          <w:b/>
          <w:sz w:val="22"/>
          <w:szCs w:val="22"/>
        </w:rPr>
        <w:t>9</w:t>
      </w:r>
      <w:r w:rsidRPr="0050745D">
        <w:rPr>
          <w:rFonts w:ascii="Aptos Narrow" w:hAnsi="Aptos Narrow"/>
          <w:sz w:val="22"/>
          <w:szCs w:val="22"/>
        </w:rPr>
        <w:t>: p. 88.</w:t>
      </w:r>
    </w:p>
    <w:p w14:paraId="78596DD5"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15.</w:t>
      </w:r>
      <w:r w:rsidRPr="0050745D">
        <w:rPr>
          <w:rFonts w:ascii="Aptos Narrow" w:hAnsi="Aptos Narrow"/>
          <w:sz w:val="22"/>
          <w:szCs w:val="22"/>
        </w:rPr>
        <w:tab/>
        <w:t xml:space="preserve">May, C.R., et al., </w:t>
      </w:r>
      <w:r w:rsidRPr="0050745D">
        <w:rPr>
          <w:rFonts w:ascii="Aptos Narrow" w:hAnsi="Aptos Narrow"/>
          <w:i/>
          <w:sz w:val="22"/>
          <w:szCs w:val="22"/>
        </w:rPr>
        <w:t>Development of a theory of implementation and integration: Normalization Process Theory.</w:t>
      </w:r>
      <w:r w:rsidRPr="0050745D">
        <w:rPr>
          <w:rFonts w:ascii="Aptos Narrow" w:hAnsi="Aptos Narrow"/>
          <w:sz w:val="22"/>
          <w:szCs w:val="22"/>
        </w:rPr>
        <w:t xml:space="preserve"> Implementation Science, 2009. </w:t>
      </w:r>
      <w:r w:rsidRPr="0050745D">
        <w:rPr>
          <w:rFonts w:ascii="Aptos Narrow" w:hAnsi="Aptos Narrow"/>
          <w:b/>
          <w:sz w:val="22"/>
          <w:szCs w:val="22"/>
        </w:rPr>
        <w:t>4</w:t>
      </w:r>
      <w:r w:rsidRPr="0050745D">
        <w:rPr>
          <w:rFonts w:ascii="Aptos Narrow" w:hAnsi="Aptos Narrow"/>
          <w:sz w:val="22"/>
          <w:szCs w:val="22"/>
        </w:rPr>
        <w:t>(1): p. 29.</w:t>
      </w:r>
    </w:p>
    <w:p w14:paraId="01E4663A"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16.</w:t>
      </w:r>
      <w:r w:rsidRPr="0050745D">
        <w:rPr>
          <w:rFonts w:ascii="Aptos Narrow" w:hAnsi="Aptos Narrow"/>
          <w:sz w:val="22"/>
          <w:szCs w:val="22"/>
        </w:rPr>
        <w:tab/>
        <w:t xml:space="preserve">Aqil, A., T. Lippeveld, and D. Hozumi, </w:t>
      </w:r>
      <w:r w:rsidRPr="0050745D">
        <w:rPr>
          <w:rFonts w:ascii="Aptos Narrow" w:hAnsi="Aptos Narrow"/>
          <w:i/>
          <w:sz w:val="22"/>
          <w:szCs w:val="22"/>
        </w:rPr>
        <w:t>PRISM framework: a paradigm shift for designing, strengthening and evaluating routine health information systems.</w:t>
      </w:r>
      <w:r w:rsidRPr="0050745D">
        <w:rPr>
          <w:rFonts w:ascii="Aptos Narrow" w:hAnsi="Aptos Narrow"/>
          <w:sz w:val="22"/>
          <w:szCs w:val="22"/>
        </w:rPr>
        <w:t xml:space="preserve"> Health Policy Plan, 2009. </w:t>
      </w:r>
      <w:r w:rsidRPr="0050745D">
        <w:rPr>
          <w:rFonts w:ascii="Aptos Narrow" w:hAnsi="Aptos Narrow"/>
          <w:b/>
          <w:sz w:val="22"/>
          <w:szCs w:val="22"/>
        </w:rPr>
        <w:t>24</w:t>
      </w:r>
      <w:r w:rsidRPr="0050745D">
        <w:rPr>
          <w:rFonts w:ascii="Aptos Narrow" w:hAnsi="Aptos Narrow"/>
          <w:sz w:val="22"/>
          <w:szCs w:val="22"/>
        </w:rPr>
        <w:t>(3): p. 217-28.</w:t>
      </w:r>
    </w:p>
    <w:p w14:paraId="531F4504"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17.</w:t>
      </w:r>
      <w:r w:rsidRPr="0050745D">
        <w:rPr>
          <w:rFonts w:ascii="Aptos Narrow" w:hAnsi="Aptos Narrow"/>
          <w:sz w:val="22"/>
          <w:szCs w:val="22"/>
        </w:rPr>
        <w:tab/>
        <w:t xml:space="preserve">Holtrop, J.S., et al., </w:t>
      </w:r>
      <w:r w:rsidRPr="0050745D">
        <w:rPr>
          <w:rFonts w:ascii="Aptos Narrow" w:hAnsi="Aptos Narrow"/>
          <w:i/>
          <w:sz w:val="22"/>
          <w:szCs w:val="22"/>
        </w:rPr>
        <w:t>Understanding and applying the RE-AIM framework: clarifications and resources.</w:t>
      </w:r>
      <w:r w:rsidRPr="0050745D">
        <w:rPr>
          <w:rFonts w:ascii="Aptos Narrow" w:hAnsi="Aptos Narrow"/>
          <w:sz w:val="22"/>
          <w:szCs w:val="22"/>
        </w:rPr>
        <w:t xml:space="preserve"> Journal of clinical and translational science, 2021. </w:t>
      </w:r>
      <w:r w:rsidRPr="0050745D">
        <w:rPr>
          <w:rFonts w:ascii="Aptos Narrow" w:hAnsi="Aptos Narrow"/>
          <w:b/>
          <w:sz w:val="22"/>
          <w:szCs w:val="22"/>
        </w:rPr>
        <w:t>5</w:t>
      </w:r>
      <w:r w:rsidRPr="0050745D">
        <w:rPr>
          <w:rFonts w:ascii="Aptos Narrow" w:hAnsi="Aptos Narrow"/>
          <w:sz w:val="22"/>
          <w:szCs w:val="22"/>
        </w:rPr>
        <w:t>(1): p. e126.</w:t>
      </w:r>
    </w:p>
    <w:p w14:paraId="772CEA2C"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18.</w:t>
      </w:r>
      <w:r w:rsidRPr="0050745D">
        <w:rPr>
          <w:rFonts w:ascii="Aptos Narrow" w:hAnsi="Aptos Narrow"/>
          <w:sz w:val="22"/>
          <w:szCs w:val="22"/>
        </w:rPr>
        <w:tab/>
        <w:t xml:space="preserve">Westhorp, G., et al. </w:t>
      </w:r>
      <w:r w:rsidRPr="0050745D">
        <w:rPr>
          <w:rFonts w:ascii="Aptos Narrow" w:hAnsi="Aptos Narrow"/>
          <w:i/>
          <w:sz w:val="22"/>
          <w:szCs w:val="22"/>
        </w:rPr>
        <w:t>Realist evaluation: an overview</w:t>
      </w:r>
      <w:r w:rsidRPr="0050745D">
        <w:rPr>
          <w:rFonts w:ascii="Aptos Narrow" w:hAnsi="Aptos Narrow"/>
          <w:sz w:val="22"/>
          <w:szCs w:val="22"/>
        </w:rPr>
        <w:t xml:space="preserve">. in </w:t>
      </w:r>
      <w:r w:rsidRPr="0050745D">
        <w:rPr>
          <w:rFonts w:ascii="Aptos Narrow" w:hAnsi="Aptos Narrow"/>
          <w:i/>
          <w:sz w:val="22"/>
          <w:szCs w:val="22"/>
        </w:rPr>
        <w:t>Seminar Report</w:t>
      </w:r>
      <w:r w:rsidRPr="0050745D">
        <w:rPr>
          <w:rFonts w:ascii="Aptos Narrow" w:hAnsi="Aptos Narrow"/>
          <w:sz w:val="22"/>
          <w:szCs w:val="22"/>
        </w:rPr>
        <w:t>. 2011. Wageningen UR Centre for Development Innovation.</w:t>
      </w:r>
    </w:p>
    <w:p w14:paraId="2AA296F1"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19.</w:t>
      </w:r>
      <w:r w:rsidRPr="0050745D">
        <w:rPr>
          <w:rFonts w:ascii="Aptos Narrow" w:hAnsi="Aptos Narrow"/>
          <w:sz w:val="22"/>
          <w:szCs w:val="22"/>
        </w:rPr>
        <w:tab/>
        <w:t xml:space="preserve">McLeroy, K.R., et al., </w:t>
      </w:r>
      <w:r w:rsidRPr="0050745D">
        <w:rPr>
          <w:rFonts w:ascii="Aptos Narrow" w:hAnsi="Aptos Narrow"/>
          <w:i/>
          <w:sz w:val="22"/>
          <w:szCs w:val="22"/>
        </w:rPr>
        <w:t>An ecological perspective on health promotion programs.</w:t>
      </w:r>
      <w:r w:rsidRPr="0050745D">
        <w:rPr>
          <w:rFonts w:ascii="Aptos Narrow" w:hAnsi="Aptos Narrow"/>
          <w:sz w:val="22"/>
          <w:szCs w:val="22"/>
        </w:rPr>
        <w:t xml:space="preserve"> Health Educ Q, 1988. </w:t>
      </w:r>
      <w:r w:rsidRPr="0050745D">
        <w:rPr>
          <w:rFonts w:ascii="Aptos Narrow" w:hAnsi="Aptos Narrow"/>
          <w:b/>
          <w:sz w:val="22"/>
          <w:szCs w:val="22"/>
        </w:rPr>
        <w:t>15</w:t>
      </w:r>
      <w:r w:rsidRPr="0050745D">
        <w:rPr>
          <w:rFonts w:ascii="Aptos Narrow" w:hAnsi="Aptos Narrow"/>
          <w:sz w:val="22"/>
          <w:szCs w:val="22"/>
        </w:rPr>
        <w:t>(4): p. 351-77.</w:t>
      </w:r>
    </w:p>
    <w:p w14:paraId="4869307E"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20.</w:t>
      </w:r>
      <w:r w:rsidRPr="0050745D">
        <w:rPr>
          <w:rFonts w:ascii="Aptos Narrow" w:hAnsi="Aptos Narrow"/>
          <w:sz w:val="22"/>
          <w:szCs w:val="22"/>
        </w:rPr>
        <w:tab/>
        <w:t xml:space="preserve">Trist, E. and F. Emery, </w:t>
      </w:r>
      <w:r w:rsidRPr="0050745D">
        <w:rPr>
          <w:rFonts w:ascii="Aptos Narrow" w:hAnsi="Aptos Narrow"/>
          <w:i/>
          <w:sz w:val="22"/>
          <w:szCs w:val="22"/>
        </w:rPr>
        <w:t>Socio-technical systems theory.</w:t>
      </w:r>
      <w:r w:rsidRPr="0050745D">
        <w:rPr>
          <w:rFonts w:ascii="Aptos Narrow" w:hAnsi="Aptos Narrow"/>
          <w:sz w:val="22"/>
          <w:szCs w:val="22"/>
        </w:rPr>
        <w:t xml:space="preserve"> Organizational behavior 2: Essential theories of process and structure, 2005. </w:t>
      </w:r>
      <w:r w:rsidRPr="0050745D">
        <w:rPr>
          <w:rFonts w:ascii="Aptos Narrow" w:hAnsi="Aptos Narrow"/>
          <w:b/>
          <w:sz w:val="22"/>
          <w:szCs w:val="22"/>
        </w:rPr>
        <w:t>169</w:t>
      </w:r>
      <w:r w:rsidRPr="0050745D">
        <w:rPr>
          <w:rFonts w:ascii="Aptos Narrow" w:hAnsi="Aptos Narrow"/>
          <w:sz w:val="22"/>
          <w:szCs w:val="22"/>
        </w:rPr>
        <w:t>.</w:t>
      </w:r>
    </w:p>
    <w:p w14:paraId="00F7DABE"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21.</w:t>
      </w:r>
      <w:r w:rsidRPr="0050745D">
        <w:rPr>
          <w:rFonts w:ascii="Aptos Narrow" w:hAnsi="Aptos Narrow"/>
          <w:sz w:val="22"/>
          <w:szCs w:val="22"/>
        </w:rPr>
        <w:tab/>
        <w:t xml:space="preserve">Rahimi, B., et al., </w:t>
      </w:r>
      <w:r w:rsidRPr="0050745D">
        <w:rPr>
          <w:rFonts w:ascii="Aptos Narrow" w:hAnsi="Aptos Narrow"/>
          <w:i/>
          <w:sz w:val="22"/>
          <w:szCs w:val="22"/>
        </w:rPr>
        <w:t>A systematic review of the technology acceptance model in health informatics.</w:t>
      </w:r>
      <w:r w:rsidRPr="0050745D">
        <w:rPr>
          <w:rFonts w:ascii="Aptos Narrow" w:hAnsi="Aptos Narrow"/>
          <w:sz w:val="22"/>
          <w:szCs w:val="22"/>
        </w:rPr>
        <w:t xml:space="preserve"> Applied clinical informatics, 2018. </w:t>
      </w:r>
      <w:r w:rsidRPr="0050745D">
        <w:rPr>
          <w:rFonts w:ascii="Aptos Narrow" w:hAnsi="Aptos Narrow"/>
          <w:b/>
          <w:sz w:val="22"/>
          <w:szCs w:val="22"/>
        </w:rPr>
        <w:t>9</w:t>
      </w:r>
      <w:r w:rsidRPr="0050745D">
        <w:rPr>
          <w:rFonts w:ascii="Aptos Narrow" w:hAnsi="Aptos Narrow"/>
          <w:sz w:val="22"/>
          <w:szCs w:val="22"/>
        </w:rPr>
        <w:t>(03): p. 604-634.</w:t>
      </w:r>
    </w:p>
    <w:p w14:paraId="393692FE"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22.</w:t>
      </w:r>
      <w:r w:rsidRPr="0050745D">
        <w:rPr>
          <w:rFonts w:ascii="Aptos Narrow" w:hAnsi="Aptos Narrow"/>
          <w:sz w:val="22"/>
          <w:szCs w:val="22"/>
        </w:rPr>
        <w:tab/>
        <w:t xml:space="preserve">Taplin, D.H., et al., </w:t>
      </w:r>
      <w:r w:rsidRPr="0050745D">
        <w:rPr>
          <w:rFonts w:ascii="Aptos Narrow" w:hAnsi="Aptos Narrow"/>
          <w:i/>
          <w:sz w:val="22"/>
          <w:szCs w:val="22"/>
        </w:rPr>
        <w:t>Theory of change.</w:t>
      </w:r>
      <w:r w:rsidRPr="0050745D">
        <w:rPr>
          <w:rFonts w:ascii="Aptos Narrow" w:hAnsi="Aptos Narrow"/>
          <w:sz w:val="22"/>
          <w:szCs w:val="22"/>
        </w:rPr>
        <w:t xml:space="preserve"> Technical papers: a series of papers to support development of theories of change based on practice in the field. ActKnowledge, New York, NY, USA, 2013.</w:t>
      </w:r>
    </w:p>
    <w:p w14:paraId="72EA723B"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23.</w:t>
      </w:r>
      <w:r w:rsidRPr="0050745D">
        <w:rPr>
          <w:rFonts w:ascii="Aptos Narrow" w:hAnsi="Aptos Narrow"/>
          <w:sz w:val="22"/>
          <w:szCs w:val="22"/>
        </w:rPr>
        <w:tab/>
        <w:t xml:space="preserve">Weiss, M.J., H.S. Bloom, and T. Brock, </w:t>
      </w:r>
      <w:r w:rsidRPr="0050745D">
        <w:rPr>
          <w:rFonts w:ascii="Aptos Narrow" w:hAnsi="Aptos Narrow"/>
          <w:i/>
          <w:sz w:val="22"/>
          <w:szCs w:val="22"/>
        </w:rPr>
        <w:t>A conceptual framework for studying the sources of variation in program effects.</w:t>
      </w:r>
      <w:r w:rsidRPr="0050745D">
        <w:rPr>
          <w:rFonts w:ascii="Aptos Narrow" w:hAnsi="Aptos Narrow"/>
          <w:sz w:val="22"/>
          <w:szCs w:val="22"/>
        </w:rPr>
        <w:t xml:space="preserve"> Journal of Policy Analysis and Management, 2014. </w:t>
      </w:r>
      <w:r w:rsidRPr="0050745D">
        <w:rPr>
          <w:rFonts w:ascii="Aptos Narrow" w:hAnsi="Aptos Narrow"/>
          <w:b/>
          <w:sz w:val="22"/>
          <w:szCs w:val="22"/>
        </w:rPr>
        <w:t>33</w:t>
      </w:r>
      <w:r w:rsidRPr="0050745D">
        <w:rPr>
          <w:rFonts w:ascii="Aptos Narrow" w:hAnsi="Aptos Narrow"/>
          <w:sz w:val="22"/>
          <w:szCs w:val="22"/>
        </w:rPr>
        <w:t>(3): p. 778-808.</w:t>
      </w:r>
    </w:p>
    <w:p w14:paraId="0C339373" w14:textId="77777777" w:rsidR="00FA24E0" w:rsidRPr="0050745D" w:rsidRDefault="00FA24E0" w:rsidP="00FA24E0">
      <w:pPr>
        <w:pStyle w:val="EndNoteBibliography"/>
        <w:ind w:left="720" w:hanging="720"/>
        <w:rPr>
          <w:rFonts w:ascii="Aptos Narrow" w:hAnsi="Aptos Narrow"/>
          <w:sz w:val="22"/>
          <w:szCs w:val="22"/>
        </w:rPr>
      </w:pPr>
      <w:r w:rsidRPr="0050745D">
        <w:rPr>
          <w:rFonts w:ascii="Aptos Narrow" w:hAnsi="Aptos Narrow"/>
          <w:sz w:val="22"/>
          <w:szCs w:val="22"/>
        </w:rPr>
        <w:t>24.</w:t>
      </w:r>
      <w:r w:rsidRPr="0050745D">
        <w:rPr>
          <w:rFonts w:ascii="Aptos Narrow" w:hAnsi="Aptos Narrow"/>
          <w:sz w:val="22"/>
          <w:szCs w:val="22"/>
        </w:rPr>
        <w:tab/>
        <w:t xml:space="preserve">Organization, W.H., </w:t>
      </w:r>
      <w:r w:rsidRPr="0050745D">
        <w:rPr>
          <w:rFonts w:ascii="Aptos Narrow" w:hAnsi="Aptos Narrow"/>
          <w:i/>
          <w:sz w:val="22"/>
          <w:szCs w:val="22"/>
        </w:rPr>
        <w:t>Data quality assurance. Module 1. Framework and metrics</w:t>
      </w:r>
      <w:r w:rsidRPr="0050745D">
        <w:rPr>
          <w:rFonts w:ascii="Aptos Narrow" w:hAnsi="Aptos Narrow"/>
          <w:sz w:val="22"/>
          <w:szCs w:val="22"/>
        </w:rPr>
        <w:t>. 2023: World Health Organization.</w:t>
      </w:r>
    </w:p>
    <w:p w14:paraId="7E5A9233" w14:textId="272D3413" w:rsidR="008C7BA6" w:rsidRPr="0050745D" w:rsidRDefault="002724FB">
      <w:pPr>
        <w:rPr>
          <w:rFonts w:ascii="Aptos Narrow" w:hAnsi="Aptos Narrow"/>
          <w:sz w:val="22"/>
          <w:szCs w:val="22"/>
        </w:rPr>
      </w:pPr>
      <w:r w:rsidRPr="0050745D">
        <w:rPr>
          <w:rFonts w:ascii="Aptos Narrow" w:hAnsi="Aptos Narrow"/>
          <w:sz w:val="22"/>
          <w:szCs w:val="22"/>
        </w:rPr>
        <w:fldChar w:fldCharType="end"/>
      </w:r>
    </w:p>
    <w:sectPr w:rsidR="008C7BA6" w:rsidRPr="0050745D" w:rsidSect="00F3702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27FA7"/>
    <w:multiLevelType w:val="multilevel"/>
    <w:tmpl w:val="EF285F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D811D1A"/>
    <w:multiLevelType w:val="multilevel"/>
    <w:tmpl w:val="43962B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93221723">
    <w:abstractNumId w:val="0"/>
  </w:num>
  <w:num w:numId="2" w16cid:durableId="870264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waavvwnv2a5terfaq5tvr4par250f9s59v&quot;&gt;ScopingReview&lt;record-ids&gt;&lt;item&gt;99&lt;/item&gt;&lt;/record-ids&gt;&lt;/item&gt;&lt;/Libraries&gt;"/>
  </w:docVars>
  <w:rsids>
    <w:rsidRoot w:val="00F3702F"/>
    <w:rsid w:val="000E1BD2"/>
    <w:rsid w:val="000F34FC"/>
    <w:rsid w:val="001206A2"/>
    <w:rsid w:val="001D0AB1"/>
    <w:rsid w:val="00244AA2"/>
    <w:rsid w:val="002724FB"/>
    <w:rsid w:val="002C541F"/>
    <w:rsid w:val="00303994"/>
    <w:rsid w:val="00321B17"/>
    <w:rsid w:val="0040489F"/>
    <w:rsid w:val="0050745D"/>
    <w:rsid w:val="00525CF7"/>
    <w:rsid w:val="005848BA"/>
    <w:rsid w:val="006B3A21"/>
    <w:rsid w:val="00785250"/>
    <w:rsid w:val="007F30C5"/>
    <w:rsid w:val="007F44F6"/>
    <w:rsid w:val="00851545"/>
    <w:rsid w:val="00863E8B"/>
    <w:rsid w:val="00866D43"/>
    <w:rsid w:val="008A4B5C"/>
    <w:rsid w:val="008B2C44"/>
    <w:rsid w:val="008C7BA6"/>
    <w:rsid w:val="008D367E"/>
    <w:rsid w:val="009729D3"/>
    <w:rsid w:val="00976A91"/>
    <w:rsid w:val="00A056A0"/>
    <w:rsid w:val="00A15B7D"/>
    <w:rsid w:val="00A801CA"/>
    <w:rsid w:val="00B73F2A"/>
    <w:rsid w:val="00B80B15"/>
    <w:rsid w:val="00BC11B8"/>
    <w:rsid w:val="00C46900"/>
    <w:rsid w:val="00C51DF7"/>
    <w:rsid w:val="00C567CE"/>
    <w:rsid w:val="00C67996"/>
    <w:rsid w:val="00CD2BC0"/>
    <w:rsid w:val="00E35C86"/>
    <w:rsid w:val="00E429C2"/>
    <w:rsid w:val="00EA5A7D"/>
    <w:rsid w:val="00F3702F"/>
    <w:rsid w:val="00F752E0"/>
    <w:rsid w:val="00FA1383"/>
    <w:rsid w:val="00FA24E0"/>
    <w:rsid w:val="00FC1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631AE"/>
  <w15:chartTrackingRefBased/>
  <w15:docId w15:val="{712EAB45-18B0-43AC-905A-841ABFCF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02F"/>
    <w:pPr>
      <w:spacing w:after="0" w:line="480" w:lineRule="auto"/>
      <w:jc w:val="both"/>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37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7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0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0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0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0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7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02F"/>
    <w:rPr>
      <w:rFonts w:eastAsiaTheme="majorEastAsia" w:cstheme="majorBidi"/>
      <w:color w:val="272727" w:themeColor="text1" w:themeTint="D8"/>
    </w:rPr>
  </w:style>
  <w:style w:type="paragraph" w:styleId="Title">
    <w:name w:val="Title"/>
    <w:basedOn w:val="Normal"/>
    <w:next w:val="Normal"/>
    <w:link w:val="TitleChar"/>
    <w:uiPriority w:val="10"/>
    <w:qFormat/>
    <w:rsid w:val="00F37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02F"/>
    <w:pPr>
      <w:spacing w:before="160"/>
      <w:jc w:val="center"/>
    </w:pPr>
    <w:rPr>
      <w:i/>
      <w:iCs/>
      <w:color w:val="404040" w:themeColor="text1" w:themeTint="BF"/>
    </w:rPr>
  </w:style>
  <w:style w:type="character" w:customStyle="1" w:styleId="QuoteChar">
    <w:name w:val="Quote Char"/>
    <w:basedOn w:val="DefaultParagraphFont"/>
    <w:link w:val="Quote"/>
    <w:uiPriority w:val="29"/>
    <w:rsid w:val="00F3702F"/>
    <w:rPr>
      <w:i/>
      <w:iCs/>
      <w:color w:val="404040" w:themeColor="text1" w:themeTint="BF"/>
    </w:rPr>
  </w:style>
  <w:style w:type="paragraph" w:styleId="ListParagraph">
    <w:name w:val="List Paragraph"/>
    <w:basedOn w:val="Normal"/>
    <w:uiPriority w:val="34"/>
    <w:qFormat/>
    <w:rsid w:val="00F3702F"/>
    <w:pPr>
      <w:ind w:left="720"/>
      <w:contextualSpacing/>
    </w:pPr>
  </w:style>
  <w:style w:type="character" w:styleId="IntenseEmphasis">
    <w:name w:val="Intense Emphasis"/>
    <w:basedOn w:val="DefaultParagraphFont"/>
    <w:uiPriority w:val="21"/>
    <w:qFormat/>
    <w:rsid w:val="00F3702F"/>
    <w:rPr>
      <w:i/>
      <w:iCs/>
      <w:color w:val="0F4761" w:themeColor="accent1" w:themeShade="BF"/>
    </w:rPr>
  </w:style>
  <w:style w:type="paragraph" w:styleId="IntenseQuote">
    <w:name w:val="Intense Quote"/>
    <w:basedOn w:val="Normal"/>
    <w:next w:val="Normal"/>
    <w:link w:val="IntenseQuoteChar"/>
    <w:uiPriority w:val="30"/>
    <w:qFormat/>
    <w:rsid w:val="00F37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02F"/>
    <w:rPr>
      <w:i/>
      <w:iCs/>
      <w:color w:val="0F4761" w:themeColor="accent1" w:themeShade="BF"/>
    </w:rPr>
  </w:style>
  <w:style w:type="character" w:styleId="IntenseReference">
    <w:name w:val="Intense Reference"/>
    <w:basedOn w:val="DefaultParagraphFont"/>
    <w:uiPriority w:val="32"/>
    <w:qFormat/>
    <w:rsid w:val="00F3702F"/>
    <w:rPr>
      <w:b/>
      <w:bCs/>
      <w:smallCaps/>
      <w:color w:val="0F4761" w:themeColor="accent1" w:themeShade="BF"/>
      <w:spacing w:val="5"/>
    </w:rPr>
  </w:style>
  <w:style w:type="character" w:styleId="CommentReference">
    <w:name w:val="annotation reference"/>
    <w:basedOn w:val="DefaultParagraphFont"/>
    <w:uiPriority w:val="99"/>
    <w:semiHidden/>
    <w:unhideWhenUsed/>
    <w:rsid w:val="00F3702F"/>
    <w:rPr>
      <w:sz w:val="16"/>
      <w:szCs w:val="16"/>
    </w:rPr>
  </w:style>
  <w:style w:type="paragraph" w:styleId="CommentText">
    <w:name w:val="annotation text"/>
    <w:basedOn w:val="Normal"/>
    <w:link w:val="CommentTextChar"/>
    <w:uiPriority w:val="99"/>
    <w:unhideWhenUsed/>
    <w:rsid w:val="00F3702F"/>
    <w:pPr>
      <w:spacing w:line="240" w:lineRule="auto"/>
    </w:pPr>
    <w:rPr>
      <w:sz w:val="20"/>
      <w:szCs w:val="20"/>
    </w:rPr>
  </w:style>
  <w:style w:type="character" w:customStyle="1" w:styleId="CommentTextChar">
    <w:name w:val="Comment Text Char"/>
    <w:basedOn w:val="DefaultParagraphFont"/>
    <w:link w:val="CommentText"/>
    <w:uiPriority w:val="99"/>
    <w:rsid w:val="00F3702F"/>
    <w:rPr>
      <w:rFonts w:ascii="Times New Roman" w:eastAsia="Times New Roman" w:hAnsi="Times New Roman" w:cs="Times New Roman"/>
      <w:kern w:val="0"/>
      <w:sz w:val="20"/>
      <w:szCs w:val="20"/>
      <w:lang w:eastAsia="en-GB"/>
      <w14:ligatures w14:val="none"/>
    </w:rPr>
  </w:style>
  <w:style w:type="character" w:styleId="Hyperlink">
    <w:name w:val="Hyperlink"/>
    <w:basedOn w:val="DefaultParagraphFont"/>
    <w:uiPriority w:val="99"/>
    <w:unhideWhenUsed/>
    <w:rsid w:val="008A4B5C"/>
    <w:rPr>
      <w:color w:val="467886" w:themeColor="hyperlink"/>
      <w:u w:val="single"/>
    </w:rPr>
  </w:style>
  <w:style w:type="table" w:styleId="PlainTable1">
    <w:name w:val="Plain Table 1"/>
    <w:basedOn w:val="TableNormal"/>
    <w:uiPriority w:val="41"/>
    <w:rsid w:val="008A4B5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785250"/>
    <w:pPr>
      <w:jc w:val="center"/>
    </w:pPr>
    <w:rPr>
      <w:noProof/>
    </w:rPr>
  </w:style>
  <w:style w:type="character" w:customStyle="1" w:styleId="EndNoteBibliographyTitleChar">
    <w:name w:val="EndNote Bibliography Title Char"/>
    <w:basedOn w:val="DefaultParagraphFont"/>
    <w:link w:val="EndNoteBibliographyTitle"/>
    <w:rsid w:val="00785250"/>
    <w:rPr>
      <w:rFonts w:ascii="Times New Roman" w:eastAsia="Times New Roman" w:hAnsi="Times New Roman" w:cs="Times New Roman"/>
      <w:noProof/>
      <w:kern w:val="0"/>
      <w:lang w:eastAsia="en-GB"/>
      <w14:ligatures w14:val="none"/>
    </w:rPr>
  </w:style>
  <w:style w:type="paragraph" w:customStyle="1" w:styleId="EndNoteBibliography">
    <w:name w:val="EndNote Bibliography"/>
    <w:basedOn w:val="Normal"/>
    <w:link w:val="EndNoteBibliographyChar"/>
    <w:rsid w:val="00785250"/>
    <w:pPr>
      <w:spacing w:line="240" w:lineRule="auto"/>
    </w:pPr>
    <w:rPr>
      <w:noProof/>
    </w:rPr>
  </w:style>
  <w:style w:type="character" w:customStyle="1" w:styleId="EndNoteBibliographyChar">
    <w:name w:val="EndNote Bibliography Char"/>
    <w:basedOn w:val="DefaultParagraphFont"/>
    <w:link w:val="EndNoteBibliography"/>
    <w:rsid w:val="00785250"/>
    <w:rPr>
      <w:rFonts w:ascii="Times New Roman" w:eastAsia="Times New Roman" w:hAnsi="Times New Roman" w:cs="Times New Roman"/>
      <w:noProof/>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6540</Words>
  <Characters>37283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Tuti</dc:creator>
  <cp:keywords/>
  <dc:description/>
  <cp:lastModifiedBy>Timothy Tuti</cp:lastModifiedBy>
  <cp:revision>3</cp:revision>
  <dcterms:created xsi:type="dcterms:W3CDTF">2026-09-11T06:32:00Z</dcterms:created>
  <dcterms:modified xsi:type="dcterms:W3CDTF">2026-09-11T06:33:00Z</dcterms:modified>
</cp:coreProperties>
</file>