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971" w:tblpY="1628"/>
        <w:tblOverlap w:val="never"/>
        <w:tblW w:w="8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964"/>
        <w:gridCol w:w="1509"/>
        <w:gridCol w:w="1916"/>
        <w:gridCol w:w="1552"/>
      </w:tblGrid>
      <w:tr w14:paraId="34783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9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E2C0A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Characteristic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059FC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Category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CEAE3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Cohort（N=39)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FD6A0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PDO-Guided Cohort（N=13)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D9CC1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SMD</w:t>
            </w:r>
          </w:p>
        </w:tc>
      </w:tr>
      <w:tr w14:paraId="76E2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CE685F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086B345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Median (range)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981EB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9-74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DFBC68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13-70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4BBEC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0.10</w:t>
            </w:r>
          </w:p>
        </w:tc>
      </w:tr>
      <w:tr w14:paraId="0EBF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D9F1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6CE464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26BA9E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 (5)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760CF2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7.7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77F861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7A5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4E1E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17BB854F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15-40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FF5DD4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19 (48.8)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66369B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4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30.7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57F4712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4CCC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2E7C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1B23B0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D9003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18 (46.2) 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08F500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61.6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3A1EDB3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923A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CBE3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Sex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009519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08AF38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24 (61.5)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DAC6E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 (69.2)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7B23D80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0.16</w:t>
            </w:r>
          </w:p>
        </w:tc>
      </w:tr>
      <w:tr w14:paraId="6CDE4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5BF8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4F807CA6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F3ABC6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 (38.5)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5B5A9BE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 (30.8)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3E1CAB2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0D1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97F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Histological subtype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E80977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UPS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640BDA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16 (41.0)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0CB8735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5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38.4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1B2D382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0.07</w:t>
            </w:r>
          </w:p>
        </w:tc>
      </w:tr>
      <w:tr w14:paraId="02EA1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BF1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996DA9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Synovial sarcoma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B4D5E0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10 (25.6)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21DE8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 (23.1)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2062A1E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C8C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6A65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1F77D8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Epithelioid sarcoma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E9821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 (10.3)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7D4DDE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2F521F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2F05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A13C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5451DF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Spindle cell sarcoma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79A9B4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 (12.8)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71443F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247AE2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A93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61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2D0E1525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Clear cell sarcoma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4E093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 (10.3)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CC3E4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 (7.7)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222CC52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1864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36E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Previous lines of systemic therapy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6B8D70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0(treatment-na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ve)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C1D6B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9 (23.1)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5FAA41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7.7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219879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0.18</w:t>
            </w:r>
          </w:p>
        </w:tc>
      </w:tr>
      <w:tr w14:paraId="2019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C59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78A5B72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86F557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 (17.9)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322D8B9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23.1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185215C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702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1B2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FA2DCC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5FC16E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 (15.4)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6306AF7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23.1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1286C36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4C070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1A64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1FC553E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≥3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0318C4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17 (43.6)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37DF703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46.2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11DFA69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1AF0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0D8C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Metastatic disease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1B19E40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B4D92D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27 (69.2)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7A06578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69.3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059D78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0.00</w:t>
            </w:r>
          </w:p>
        </w:tc>
      </w:tr>
      <w:tr w14:paraId="3D31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D93B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529E505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343DA7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12 (30.8)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D20E5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30.7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120DF9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D7C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7DC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PDO Generation &amp; Follow-up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7E6B17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3393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52BF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Disease progression after sample collection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4FA45F7F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FF070E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7627A7E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 (38.5)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A622B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A5A7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623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E1350A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60A84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2C951C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 (61.5)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F84F2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D67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6DE2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Specimen source for PDO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A152D1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Surgical resection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96F008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2731D1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76.9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52FFF7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D430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25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302280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Biopsy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4C5D68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34C2DD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 (7.7)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32B5387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E03D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D1CE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AEBCBDF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Other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2F91C0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49B60A1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15.4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67AE1FB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232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E5D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Tumor site used for PDO generation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DEB089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Primary lesion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CB5FA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C54F27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 (76.9)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01E611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E05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D842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0F2B08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Metastatic lesion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96B94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5F1C4CA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 (15.4)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5BB4B16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48B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791EB5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3FEE47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Other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48E898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191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B4009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 (7.7)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2C7581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</w:tbl>
    <w:p w14:paraId="3230381A">
      <w:pPr>
        <w:rPr>
          <w:rStyle w:val="8"/>
          <w:rFonts w:ascii="Times New Roman" w:hAnsi="Times New Roman" w:eastAsia="宋体" w:cs="Times New Roman"/>
          <w:sz w:val="24"/>
        </w:rPr>
      </w:pPr>
    </w:p>
    <w:p w14:paraId="4A4BF382">
      <w:pPr>
        <w:rPr>
          <w:rStyle w:val="8"/>
          <w:rFonts w:ascii="Times New Roman" w:hAnsi="Times New Roman" w:eastAsia="宋体" w:cs="Times New Roman"/>
          <w:sz w:val="24"/>
        </w:rPr>
      </w:pPr>
      <w:r>
        <w:rPr>
          <w:rStyle w:val="8"/>
          <w:rFonts w:hint="eastAsia" w:ascii="Times New Roman" w:hAnsi="Times New Roman" w:eastAsia="宋体" w:cs="Times New Roman"/>
          <w:sz w:val="24"/>
        </w:rPr>
        <w:t>Table 1. Baseline characteristics of patients in the PDO-guided and control cohorts.</w:t>
      </w:r>
    </w:p>
    <w:p w14:paraId="5EC9A01C">
      <w:pPr>
        <w:rPr>
          <w:rStyle w:val="8"/>
          <w:rFonts w:ascii="Times New Roman" w:hAnsi="Times New Roman" w:eastAsia="宋体" w:cs="Times New Roman"/>
          <w:b w:val="0"/>
          <w:bCs/>
          <w:sz w:val="18"/>
          <w:szCs w:val="18"/>
        </w:rPr>
      </w:pPr>
      <w:r>
        <w:rPr>
          <w:rStyle w:val="8"/>
          <w:rFonts w:ascii="Times New Roman" w:hAnsi="Times New Roman" w:eastAsia="宋体" w:cs="Times New Roman"/>
          <w:b w:val="0"/>
          <w:bCs/>
          <w:sz w:val="18"/>
          <w:szCs w:val="18"/>
        </w:rPr>
        <w:t xml:space="preserve">Demographic and clinical characteristics of patients included in the PDO-guided cohort (n = 13) and 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18"/>
          <w:szCs w:val="18"/>
        </w:rPr>
        <w:t>control</w:t>
      </w:r>
      <w:r>
        <w:rPr>
          <w:rStyle w:val="8"/>
          <w:rFonts w:ascii="Times New Roman" w:hAnsi="Times New Roman" w:eastAsia="宋体" w:cs="Times New Roman"/>
          <w:b w:val="0"/>
          <w:bCs/>
          <w:sz w:val="18"/>
          <w:szCs w:val="18"/>
        </w:rPr>
        <w:t xml:space="preserve"> cohort (n = 39). Continuous variables are presented as median (range), and categorical variables are presented as n (%). Standardized mean differences (SMDs) were used to evaluate baseline balance between cohorts. Characteristics related to PDO generation and follow-up are additionally summarized for patients receiving PDO-guided treatment.</w:t>
      </w:r>
      <w:bookmarkStart w:id="0" w:name="_GoBack"/>
      <w:bookmarkEnd w:id="0"/>
    </w:p>
    <w:p w14:paraId="3EEECFC1">
      <w:pPr>
        <w:rPr>
          <w:rStyle w:val="8"/>
          <w:rFonts w:ascii="Times New Roman" w:hAnsi="Times New Roman" w:eastAsia="宋体" w:cs="Times New Roman"/>
          <w:b w:val="0"/>
          <w:bCs/>
          <w:sz w:val="18"/>
          <w:szCs w:val="18"/>
        </w:rPr>
      </w:pPr>
    </w:p>
    <w:p w14:paraId="6C402DF5">
      <w:pPr>
        <w:rPr>
          <w:rStyle w:val="8"/>
          <w:rFonts w:ascii="Times New Roman" w:hAnsi="Times New Roman" w:eastAsia="宋体" w:cs="Times New Roman"/>
          <w:b w:val="0"/>
          <w:bCs/>
          <w:sz w:val="18"/>
          <w:szCs w:val="18"/>
        </w:rPr>
      </w:pPr>
    </w:p>
    <w:p w14:paraId="4D750F3F">
      <w:pPr>
        <w:rPr>
          <w:rStyle w:val="8"/>
          <w:rFonts w:hint="eastAsia" w:ascii="Times New Roman" w:hAnsi="Times New Roman" w:eastAsia="宋体" w:cs="Times New Roman"/>
          <w:b w:val="0"/>
          <w:bCs/>
          <w:sz w:val="18"/>
          <w:szCs w:val="18"/>
        </w:rPr>
      </w:pPr>
    </w:p>
    <w:tbl>
      <w:tblPr>
        <w:tblStyle w:val="5"/>
        <w:tblpPr w:leftFromText="180" w:rightFromText="180" w:vertAnchor="text" w:horzAnchor="page" w:tblpX="1599" w:tblpY="261"/>
        <w:tblOverlap w:val="never"/>
        <w:tblW w:w="98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1"/>
        <w:gridCol w:w="1050"/>
        <w:gridCol w:w="1308"/>
        <w:gridCol w:w="942"/>
        <w:gridCol w:w="949"/>
        <w:gridCol w:w="862"/>
        <w:gridCol w:w="1292"/>
        <w:gridCol w:w="791"/>
        <w:gridCol w:w="1302"/>
      </w:tblGrid>
      <w:tr w14:paraId="56D2EE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401" w:type="dxa"/>
            <w:vMerge w:val="restart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1042DC">
            <w:pPr>
              <w:pStyle w:val="4"/>
              <w:widowControl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2358" w:type="dxa"/>
            <w:gridSpan w:val="2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E1F952">
            <w:pPr>
              <w:pStyle w:val="4"/>
              <w:widowControl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DFS cohort</w:t>
            </w:r>
          </w:p>
        </w:tc>
        <w:tc>
          <w:tcPr>
            <w:tcW w:w="1891" w:type="dxa"/>
            <w:gridSpan w:val="2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267AF5">
            <w:pPr>
              <w:pStyle w:val="4"/>
              <w:widowControl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First-line PFS cohort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47DD60">
            <w:pPr>
              <w:pStyle w:val="4"/>
              <w:widowControl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Second-line PFS cohort</w:t>
            </w:r>
          </w:p>
        </w:tc>
        <w:tc>
          <w:tcPr>
            <w:tcW w:w="2093" w:type="dxa"/>
            <w:gridSpan w:val="2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47395">
            <w:pPr>
              <w:pStyle w:val="4"/>
              <w:widowControl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Third-line PFS cohort</w:t>
            </w:r>
          </w:p>
        </w:tc>
      </w:tr>
      <w:tr w14:paraId="3D3E1E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401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128B04">
            <w:pPr>
              <w:rPr>
                <w:rFonts w:ascii="宋体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6BFF1A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Patients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18"/>
                <w:szCs w:val="18"/>
              </w:rPr>
              <w:t>,    n (%)</w:t>
            </w: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682F4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mDFS (95% CI)</w:t>
            </w:r>
          </w:p>
        </w:tc>
        <w:tc>
          <w:tcPr>
            <w:tcW w:w="942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7AA3CD">
            <w:pPr>
              <w:pStyle w:val="4"/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Patients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18"/>
                <w:szCs w:val="18"/>
              </w:rPr>
              <w:t>,    n (%)</w:t>
            </w:r>
          </w:p>
        </w:tc>
        <w:tc>
          <w:tcPr>
            <w:tcW w:w="949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EAF584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mPFS (95% CI)</w:t>
            </w:r>
          </w:p>
        </w:tc>
        <w:tc>
          <w:tcPr>
            <w:tcW w:w="862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D9C782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Patients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18"/>
                <w:szCs w:val="18"/>
              </w:rPr>
              <w:t>,  n (%)</w:t>
            </w:r>
          </w:p>
        </w:tc>
        <w:tc>
          <w:tcPr>
            <w:tcW w:w="1292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C7980C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mPFS (95% CI)</w:t>
            </w:r>
          </w:p>
        </w:tc>
        <w:tc>
          <w:tcPr>
            <w:tcW w:w="791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20EBAF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Patients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18"/>
                <w:szCs w:val="18"/>
              </w:rPr>
              <w:t>,  n (%)</w:t>
            </w:r>
          </w:p>
        </w:tc>
        <w:tc>
          <w:tcPr>
            <w:tcW w:w="1302" w:type="dxa"/>
            <w:tcBorders>
              <w:top w:val="single" w:color="000000" w:sz="4" w:space="0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FE84EC">
            <w:pPr>
              <w:pStyle w:val="4"/>
              <w:widowControl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mPFS (95% CI)</w:t>
            </w:r>
          </w:p>
        </w:tc>
      </w:tr>
      <w:tr w14:paraId="7F7A8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401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208ED7">
            <w:pPr>
              <w:pStyle w:val="4"/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50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147D89">
            <w:pPr>
              <w:pStyle w:val="4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(100.0)</w:t>
            </w:r>
          </w:p>
        </w:tc>
        <w:tc>
          <w:tcPr>
            <w:tcW w:w="1308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20C9C9">
            <w:pPr>
              <w:pStyle w:val="4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6.4 (4.9-7.4)</w:t>
            </w:r>
          </w:p>
        </w:tc>
        <w:tc>
          <w:tcPr>
            <w:tcW w:w="942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E9F5C5">
            <w:pPr>
              <w:pStyle w:val="4"/>
              <w:widowControl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28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(100.0)</w:t>
            </w:r>
          </w:p>
        </w:tc>
        <w:tc>
          <w:tcPr>
            <w:tcW w:w="949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86408F">
            <w:pPr>
              <w:pStyle w:val="4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1.7 (1.6-2.0)</w:t>
            </w:r>
          </w:p>
        </w:tc>
        <w:tc>
          <w:tcPr>
            <w:tcW w:w="862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679E6A">
            <w:pPr>
              <w:pStyle w:val="4"/>
              <w:widowControl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(100.0)</w:t>
            </w:r>
          </w:p>
        </w:tc>
        <w:tc>
          <w:tcPr>
            <w:tcW w:w="1292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353AFF">
            <w:pPr>
              <w:pStyle w:val="4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2.3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(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3.8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1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253775">
            <w:pPr>
              <w:pStyle w:val="4"/>
              <w:widowControl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(100.0)</w:t>
            </w:r>
          </w:p>
        </w:tc>
        <w:tc>
          <w:tcPr>
            <w:tcW w:w="1302" w:type="dxa"/>
            <w:tcBorders>
              <w:top w:val="single" w:color="000000" w:sz="4" w:space="0"/>
              <w:bottom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CD4FC8">
            <w:pPr>
              <w:pStyle w:val="4"/>
              <w:widowControl/>
              <w:jc w:val="center"/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(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14:paraId="3C2FD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</w:tcPr>
          <w:p w14:paraId="19DBF0C3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UPS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B0199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15 (41.7）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D3A5C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5.8 (2.4-9.2)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8AB16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11 (39.4）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C4C9F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1.8 (0.4-3.2)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849A6B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24A94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1.8 (1.8-1.9)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7DE6C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5 (33.3)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0C053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0.8 (0.4-1.2)</w:t>
            </w:r>
          </w:p>
        </w:tc>
      </w:tr>
      <w:tr w14:paraId="0DE3F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</w:tcPr>
          <w:p w14:paraId="13533F4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Synovial sarcoma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AEF3C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9 (25.0)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CA547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10.1 (5.0-15.0)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160303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9 (32.1)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7E580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1.3 (1.2-1.4)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037EB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206C6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5.0 (0.8-9.2)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EC4B7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5 (33.3)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171096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0.9 (0.6-1.2)</w:t>
            </w:r>
          </w:p>
        </w:tc>
      </w:tr>
      <w:tr w14:paraId="59E93C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</w:tcPr>
          <w:p w14:paraId="7DC10E3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Epithelioid sarcoma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4ADA9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4 (11.1)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B012A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8.6 (2.9-14.3)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C8044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 (10.7)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59FF4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2.1 (0.4-3.8)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A3F41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D78B9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120D8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 (6.7)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9D8AF8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14:paraId="755688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</w:tcPr>
          <w:p w14:paraId="63BF6CC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Spindle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cell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sarcoma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BCBF9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5 (13.9)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F17F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3.8 (2.1-5.6)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1822B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2 (7.1)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F8D69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4C694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 (4.6)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703C4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C68947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 (6.7)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8D35D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14:paraId="54349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401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</w:tcPr>
          <w:p w14:paraId="13C4BCC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Clear cell sarcoma</w:t>
            </w:r>
          </w:p>
        </w:tc>
        <w:tc>
          <w:tcPr>
            <w:tcW w:w="1050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8A863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 (8.3)</w:t>
            </w:r>
          </w:p>
        </w:tc>
        <w:tc>
          <w:tcPr>
            <w:tcW w:w="1308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4CC69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2.3 (0.6-4.0)</w:t>
            </w:r>
          </w:p>
        </w:tc>
        <w:tc>
          <w:tcPr>
            <w:tcW w:w="942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6BBFEA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 (10.7)</w:t>
            </w:r>
          </w:p>
        </w:tc>
        <w:tc>
          <w:tcPr>
            <w:tcW w:w="949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AE2FC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1.1 (0.9-3.2)</w:t>
            </w:r>
          </w:p>
        </w:tc>
        <w:tc>
          <w:tcPr>
            <w:tcW w:w="862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6CA35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1292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4031A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1.5 (0.0-3.0)</w:t>
            </w:r>
          </w:p>
        </w:tc>
        <w:tc>
          <w:tcPr>
            <w:tcW w:w="791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B7A788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3 (20.0)</w:t>
            </w:r>
          </w:p>
        </w:tc>
        <w:tc>
          <w:tcPr>
            <w:tcW w:w="1302" w:type="dxa"/>
            <w:tcBorders>
              <w:top w:val="nil"/>
              <w:bottom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A2D0E3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0.7 (0.4-1.0)</w:t>
            </w:r>
          </w:p>
        </w:tc>
      </w:tr>
    </w:tbl>
    <w:p w14:paraId="2B8C46DD">
      <w:pPr>
        <w:rPr>
          <w:rStyle w:val="8"/>
          <w:rFonts w:hint="eastAsia" w:ascii="Times New Roman" w:hAnsi="Times New Roman" w:eastAsia="宋体" w:cs="Times New Roman"/>
          <w:szCs w:val="21"/>
        </w:rPr>
      </w:pPr>
    </w:p>
    <w:p w14:paraId="3F874395">
      <w:pPr>
        <w:rPr>
          <w:sz w:val="24"/>
        </w:rPr>
      </w:pPr>
      <w:r>
        <w:rPr>
          <w:rStyle w:val="8"/>
          <w:rFonts w:hint="eastAsia" w:ascii="Times New Roman" w:hAnsi="Times New Roman" w:eastAsia="宋体" w:cs="Times New Roman"/>
          <w:sz w:val="24"/>
        </w:rPr>
        <w:t>Table 2. Disease-free survival and progression-free survival across treatment lines in the control cohort</w:t>
      </w:r>
    </w:p>
    <w:p w14:paraId="5C51B9B7">
      <w:pPr>
        <w:rPr>
          <w:rFonts w:hint="eastAsia" w:ascii="Times New Roman" w:hAnsi="Times New Roman" w:eastAsia="宋体" w:cs="Times New Roman"/>
          <w:bCs/>
          <w:sz w:val="18"/>
          <w:szCs w:val="18"/>
        </w:rPr>
      </w:pPr>
      <w:r>
        <w:rPr>
          <w:rStyle w:val="8"/>
          <w:rFonts w:hint="eastAsia" w:ascii="Times New Roman" w:hAnsi="Times New Roman" w:eastAsia="宋体" w:cs="Times New Roman"/>
          <w:b w:val="0"/>
          <w:bCs/>
          <w:sz w:val="18"/>
          <w:szCs w:val="18"/>
        </w:rPr>
        <w:t>Survival outcomes are presented as median survival time (months) with 95% confidence intervals (CIs). Median disease-free survival (mDFS) was calculated from definitive surgery to the date of disease recurrence or metastasis. Median progression-free survival (mPFS) was calculated from the initiation of each treatment line to radiological disease progression or death from any cause. Survival estimates were generated using the Kaplan</w:t>
      </w:r>
      <w:r>
        <w:rPr>
          <w:rStyle w:val="8"/>
          <w:rFonts w:hint="default" w:ascii="Times New Roman" w:hAnsi="Times New Roman" w:eastAsia="宋体" w:cs="Times New Roman"/>
          <w:b w:val="0"/>
          <w:bCs/>
          <w:sz w:val="18"/>
          <w:szCs w:val="18"/>
        </w:rPr>
        <w:t>–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18"/>
          <w:szCs w:val="18"/>
        </w:rPr>
        <w:t>Meier method. A dash (</w:t>
      </w:r>
      <w:r>
        <w:rPr>
          <w:rFonts w:ascii="Times New Roman" w:hAnsi="Times New Roman"/>
          <w:color w:val="000000"/>
          <w:sz w:val="20"/>
          <w:szCs w:val="20"/>
        </w:rPr>
        <w:t>-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18"/>
          <w:szCs w:val="18"/>
        </w:rPr>
        <w:t>) indicates that the median survival time could not be estimated due to limited events or insufficient follow-up. UPS, undifferentiated pleomorphic sarcoma; DFS, disease-free survival; PFS, progression-free survival; CI, confidence interval.</w:t>
      </w:r>
    </w:p>
    <w:p w14:paraId="4FBEBDB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12023319"/>
      <w:docPartObj>
        <w:docPartGallery w:val="autotext"/>
      </w:docPartObj>
    </w:sdtPr>
    <w:sdtContent>
      <w:p w14:paraId="2B7E67E3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6444E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6D32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0E69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C5C8D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302C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8499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14D10"/>
    <w:rsid w:val="69F8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2603</Characters>
  <Lines>0</Lines>
  <Paragraphs>0</Paragraphs>
  <TotalTime>0</TotalTime>
  <ScaleCrop>false</ScaleCrop>
  <LinksUpToDate>false</LinksUpToDate>
  <CharactersWithSpaces>2939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2026-09-11T03:26:00Z</dcterms:created>
  <dc:creator>kq072</dc:creator>
  <cp:lastModifiedBy>孔倩</cp:lastModifiedBy>
  <dcterms:modified xsi:type="dcterms:W3CDTF">2026-09-11T03:44:44Z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eyJoZGlkIjoiNDE2MmE1ZWZkZDM5YzIwMTUxNDkxMTYyZjA5MTJmNjYiLCJ1c2VySWQiOiIxODUxMDM2MjQyIn0=</vt:lpwstr>
  </property>
  <property fmtid="{D5CDD505-2E9C-101B-9397-08002B2CF9AE}" pid="4" name="ICV">
    <vt:lpwstr>B47ABD9A8EC54C559ADB1E949A32A46D_12</vt:lpwstr>
  </property>
</Properties>
</file>