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D40C2" w14:textId="77777777" w:rsidR="00AD68AE" w:rsidRPr="00906A98" w:rsidRDefault="00AD68AE" w:rsidP="00AD68AE">
      <w:pPr>
        <w:spacing w:after="80" w:line="360" w:lineRule="auto"/>
      </w:pPr>
      <w:r>
        <w:rPr>
          <w:b/>
          <w:bCs/>
          <w:sz w:val="26"/>
          <w:szCs w:val="26"/>
        </w:rPr>
        <w:t>Supplementary material: Sensitivity Analyses</w:t>
      </w:r>
    </w:p>
    <w:p w14:paraId="461A34A2" w14:textId="77777777" w:rsidR="00AD68AE" w:rsidRPr="00906A98" w:rsidRDefault="00AD68AE" w:rsidP="00AD68AE">
      <w:pPr>
        <w:spacing w:after="120" w:line="360" w:lineRule="auto"/>
        <w:jc w:val="both"/>
      </w:pPr>
      <w:r>
        <w:rPr>
          <w:b/>
          <w:bCs/>
        </w:rPr>
        <w:t xml:space="preserve">Table S1. </w:t>
      </w:r>
      <w:r>
        <w:t>Attenuation of the apparent colonoscopy–survival association under progressive adjustment and propensity-score methods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2500"/>
        <w:gridCol w:w="1500"/>
      </w:tblGrid>
      <w:tr w:rsidR="00AD68AE" w:rsidRPr="00906A98" w14:paraId="0DE475CA" w14:textId="77777777" w:rsidTr="00AF3744">
        <w:trPr>
          <w:tblHeader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6202BD" w14:textId="77777777" w:rsidR="00AD68AE" w:rsidRPr="00906A98" w:rsidRDefault="00AD68AE" w:rsidP="00AF3744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Model / method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100F56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HR for colonoscopy (95% CI)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2927B0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p-value</w:t>
            </w:r>
          </w:p>
        </w:tc>
      </w:tr>
      <w:tr w:rsidR="00AD68AE" w:rsidRPr="00906A98" w14:paraId="38777D4D" w14:textId="77777777" w:rsidTr="00AF3744">
        <w:tc>
          <w:tcPr>
            <w:tcW w:w="9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877A9C" w14:textId="77777777" w:rsidR="00AD68AE" w:rsidRPr="00906A98" w:rsidRDefault="00AD68AE" w:rsidP="00AF3744">
            <w:pPr>
              <w:spacing w:line="276" w:lineRule="auto"/>
            </w:pPr>
            <w:r>
              <w:rPr>
                <w:b/>
                <w:bCs/>
                <w:i/>
                <w:iCs/>
                <w:sz w:val="18"/>
                <w:szCs w:val="18"/>
              </w:rPr>
              <w:t>Progressive covariate adjustment</w:t>
            </w:r>
          </w:p>
        </w:tc>
      </w:tr>
      <w:tr w:rsidR="00AD68AE" w:rsidRPr="00906A98" w14:paraId="2BCBF2BE" w14:textId="77777777" w:rsidTr="00AF3744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0EC983" w14:textId="77777777" w:rsidR="00AD68AE" w:rsidRPr="00906A98" w:rsidRDefault="00AD68AE" w:rsidP="00AF3744">
            <w:pPr>
              <w:spacing w:line="276" w:lineRule="auto"/>
            </w:pPr>
            <w:r>
              <w:rPr>
                <w:sz w:val="18"/>
                <w:szCs w:val="18"/>
              </w:rPr>
              <w:t>Unadjusted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559EEC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0.62 (0.41–0.95)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BEB900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0.026</w:t>
            </w:r>
          </w:p>
        </w:tc>
      </w:tr>
      <w:tr w:rsidR="00AD68AE" w:rsidRPr="00906A98" w14:paraId="34A971DA" w14:textId="77777777" w:rsidTr="00AF3744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2C3046" w14:textId="77777777" w:rsidR="00AD68AE" w:rsidRPr="00906A98" w:rsidRDefault="00AD68AE" w:rsidP="00AF3744">
            <w:pPr>
              <w:spacing w:line="276" w:lineRule="auto"/>
            </w:pPr>
            <w:r>
              <w:rPr>
                <w:sz w:val="18"/>
                <w:szCs w:val="18"/>
              </w:rPr>
              <w:t>+ Age, sex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44D1B0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0.66 (0.43–1.00)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2D01C4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0.051</w:t>
            </w:r>
          </w:p>
        </w:tc>
      </w:tr>
      <w:tr w:rsidR="00AD68AE" w:rsidRPr="00906A98" w14:paraId="278FE388" w14:textId="77777777" w:rsidTr="00AF3744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819421" w14:textId="77777777" w:rsidR="00AD68AE" w:rsidRPr="00906A98" w:rsidRDefault="00AD68AE" w:rsidP="00AF3744">
            <w:pPr>
              <w:spacing w:line="276" w:lineRule="auto"/>
            </w:pPr>
            <w:r>
              <w:rPr>
                <w:sz w:val="18"/>
                <w:szCs w:val="18"/>
              </w:rPr>
              <w:t>+ Charlson Comorbidity Index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1CB151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0.78 (0.51–1.20)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CB6FE1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0.263</w:t>
            </w:r>
          </w:p>
        </w:tc>
      </w:tr>
      <w:tr w:rsidR="00AD68AE" w:rsidRPr="00906A98" w14:paraId="3179B05C" w14:textId="77777777" w:rsidTr="00AF3744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18953F" w14:textId="77777777" w:rsidR="00AD68AE" w:rsidRPr="00906A98" w:rsidRDefault="00AD68AE" w:rsidP="00AF3744">
            <w:pPr>
              <w:spacing w:line="276" w:lineRule="auto"/>
            </w:pPr>
            <w:r>
              <w:rPr>
                <w:sz w:val="18"/>
                <w:szCs w:val="18"/>
              </w:rPr>
              <w:t>+ Serum albumin, hemoglobin (full model)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227E9D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0.66 (0.37–1.20)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5FEFA7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0.175</w:t>
            </w:r>
          </w:p>
        </w:tc>
      </w:tr>
      <w:tr w:rsidR="00AD68AE" w:rsidRPr="00906A98" w14:paraId="685A1889" w14:textId="77777777" w:rsidTr="00AF3744">
        <w:tc>
          <w:tcPr>
            <w:tcW w:w="9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6F9955" w14:textId="77777777" w:rsidR="00AD68AE" w:rsidRPr="00906A98" w:rsidRDefault="00AD68AE" w:rsidP="00AF3744">
            <w:pPr>
              <w:spacing w:line="276" w:lineRule="auto"/>
            </w:pPr>
            <w:r>
              <w:rPr>
                <w:b/>
                <w:bCs/>
                <w:i/>
                <w:iCs/>
                <w:sz w:val="18"/>
                <w:szCs w:val="18"/>
              </w:rPr>
              <w:t>Propensity-score–based methods</w:t>
            </w:r>
          </w:p>
        </w:tc>
      </w:tr>
      <w:tr w:rsidR="00AD68AE" w:rsidRPr="00906A98" w14:paraId="0BB1A975" w14:textId="77777777" w:rsidTr="00AF3744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6C249F" w14:textId="77777777" w:rsidR="00AD68AE" w:rsidRPr="00906A98" w:rsidRDefault="00AD68AE" w:rsidP="00AF3744">
            <w:pPr>
              <w:spacing w:line="276" w:lineRule="auto"/>
            </w:pPr>
            <w:r>
              <w:rPr>
                <w:sz w:val="18"/>
                <w:szCs w:val="18"/>
              </w:rPr>
              <w:t>IPTW (stabilized weights)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C5D455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0.70 (0.45–1.08)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6FA249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0.103</w:t>
            </w:r>
          </w:p>
        </w:tc>
      </w:tr>
      <w:tr w:rsidR="00AD68AE" w:rsidRPr="00906A98" w14:paraId="41B5B6E6" w14:textId="77777777" w:rsidTr="00AF3744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BEA64D" w14:textId="77777777" w:rsidR="00AD68AE" w:rsidRPr="00906A98" w:rsidRDefault="00AD68AE" w:rsidP="00AF3744">
            <w:pPr>
              <w:spacing w:line="276" w:lineRule="auto"/>
            </w:pPr>
            <w:r>
              <w:rPr>
                <w:sz w:val="18"/>
                <w:szCs w:val="18"/>
              </w:rPr>
              <w:t>PS as covariate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FEA5AC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0.71 (0.46–1.09)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269F30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0.119</w:t>
            </w:r>
          </w:p>
        </w:tc>
      </w:tr>
      <w:tr w:rsidR="00AD68AE" w:rsidRPr="00906A98" w14:paraId="5434D58C" w14:textId="77777777" w:rsidTr="00AF3744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3673D0" w14:textId="77777777" w:rsidR="00AD68AE" w:rsidRPr="00906A98" w:rsidRDefault="00AD68AE" w:rsidP="00AF3744">
            <w:pPr>
              <w:spacing w:line="276" w:lineRule="auto"/>
            </w:pPr>
            <w:r>
              <w:rPr>
                <w:sz w:val="18"/>
                <w:szCs w:val="18"/>
              </w:rPr>
              <w:t>PS-stratified (quintiles)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05EB33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0.68 (0.44–1.05)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1CC815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0.083</w:t>
            </w:r>
          </w:p>
        </w:tc>
      </w:tr>
    </w:tbl>
    <w:p w14:paraId="09F148E2" w14:textId="77777777" w:rsidR="00AD68AE" w:rsidRPr="00906A98" w:rsidRDefault="00AD68AE" w:rsidP="00AD68AE">
      <w:pPr>
        <w:spacing w:before="80" w:after="320" w:line="28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The unadjusted survival advantage of colonoscopy progressively attenuated toward the null with adjustment for comorbidity and physiological </w:t>
      </w:r>
      <w:proofErr w:type="gramStart"/>
      <w:r>
        <w:rPr>
          <w:sz w:val="18"/>
          <w:szCs w:val="18"/>
        </w:rPr>
        <w:t>reserve, and</w:t>
      </w:r>
      <w:proofErr w:type="gramEnd"/>
      <w:r>
        <w:rPr>
          <w:sz w:val="18"/>
          <w:szCs w:val="18"/>
        </w:rPr>
        <w:t xml:space="preserve"> was non-significant under all propensity-score approaches. This pattern indicates that the apparent benefit reflects healthy user selection (fitter patients were referred for colonoscopy) rather than a causal protective effect of the procedure. CI, confidence interval; HR, hazard ratio; IPTW, inverse probability of treatment weighting; PS, propensity score.</w:t>
      </w:r>
    </w:p>
    <w:p w14:paraId="0885C498" w14:textId="77777777" w:rsidR="00AD68AE" w:rsidRPr="00906A98" w:rsidRDefault="00AD68AE" w:rsidP="00AD68AE">
      <w:pPr>
        <w:spacing w:before="80" w:after="320" w:line="280" w:lineRule="auto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Methods note.</w:t>
      </w:r>
      <w:r>
        <w:rPr>
          <w:sz w:val="18"/>
          <w:szCs w:val="18"/>
        </w:rPr>
        <w:t xml:space="preserve"> Propensity scores for undergoing colonoscopy were estimated by logistic regression on age, sex, Charlson Comorbidity Index, cerebrovascular disease, dementia, and hemoglobin (model c-statistic </w:t>
      </w:r>
      <w:r>
        <w:rPr>
          <w:sz w:val="18"/>
          <w:szCs w:val="18"/>
          <w:cs/>
        </w:rPr>
        <w:t xml:space="preserve">0.65). </w:t>
      </w:r>
      <w:r>
        <w:rPr>
          <w:sz w:val="18"/>
          <w:szCs w:val="18"/>
        </w:rPr>
        <w:t xml:space="preserve">Stabilized inverse-probability weights were truncated at the </w:t>
      </w:r>
      <w:r>
        <w:rPr>
          <w:sz w:val="18"/>
          <w:szCs w:val="18"/>
          <w:cs/>
        </w:rPr>
        <w:t>99</w:t>
      </w:r>
      <w:proofErr w:type="spellStart"/>
      <w:r>
        <w:rPr>
          <w:sz w:val="18"/>
          <w:szCs w:val="18"/>
        </w:rPr>
        <w:t>th</w:t>
      </w:r>
      <w:proofErr w:type="spellEnd"/>
      <w:r>
        <w:rPr>
          <w:sz w:val="18"/>
          <w:szCs w:val="18"/>
        </w:rPr>
        <w:t xml:space="preserve"> percentile. Covariate balance was assessed using standardized mean differences, ensuring all values were &lt;</w:t>
      </w:r>
      <w:r>
        <w:rPr>
          <w:sz w:val="18"/>
          <w:szCs w:val="18"/>
          <w:cs/>
        </w:rPr>
        <w:t xml:space="preserve">0.10 </w:t>
      </w:r>
      <w:r>
        <w:rPr>
          <w:sz w:val="18"/>
          <w:szCs w:val="18"/>
        </w:rPr>
        <w:t>after weighting. Multiple imputation used iterative chained equations (</w:t>
      </w:r>
      <w:r>
        <w:rPr>
          <w:sz w:val="18"/>
          <w:szCs w:val="18"/>
          <w:cs/>
        </w:rPr>
        <w:t xml:space="preserve">20 </w:t>
      </w:r>
      <w:r>
        <w:rPr>
          <w:sz w:val="18"/>
          <w:szCs w:val="18"/>
        </w:rPr>
        <w:t>imputations) with estimates pooled on the log-hazard scale. E-values were computed using the VanderWeele–Ding approximation for hazard ratios.</w:t>
      </w:r>
    </w:p>
    <w:p w14:paraId="0ED3C16E" w14:textId="77777777" w:rsidR="00AD68AE" w:rsidRPr="00906A98" w:rsidRDefault="00AD68AE" w:rsidP="00AD68AE">
      <w:pPr>
        <w:spacing w:after="120" w:line="360" w:lineRule="auto"/>
        <w:jc w:val="both"/>
      </w:pPr>
      <w:r>
        <w:rPr>
          <w:b/>
          <w:bCs/>
        </w:rPr>
        <w:t xml:space="preserve">Table S2. </w:t>
      </w:r>
      <w:r>
        <w:t>Stability of the Charlson Comorbidity Index association with mortality across follow-up horizons</w:t>
      </w:r>
    </w:p>
    <w:tbl>
      <w:tblPr>
        <w:tblW w:w="8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2000"/>
      </w:tblGrid>
      <w:tr w:rsidR="00AD68AE" w:rsidRPr="00906A98" w14:paraId="3EC4BE23" w14:textId="77777777" w:rsidTr="00AF3744">
        <w:trPr>
          <w:tblHeader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B05401" w14:textId="77777777" w:rsidR="00AD68AE" w:rsidRPr="00906A98" w:rsidRDefault="00AD68AE" w:rsidP="00AF3744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Follow-up horizon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93894C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CCI HR per point (95% CI)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0707D9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Events (n)</w:t>
            </w:r>
          </w:p>
        </w:tc>
      </w:tr>
      <w:tr w:rsidR="00AD68AE" w:rsidRPr="00906A98" w14:paraId="39927ECF" w14:textId="77777777" w:rsidTr="00AF3744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BF284C" w14:textId="77777777" w:rsidR="00AD68AE" w:rsidRPr="00906A98" w:rsidRDefault="00AD68AE" w:rsidP="00AF3744">
            <w:pPr>
              <w:spacing w:line="276" w:lineRule="auto"/>
            </w:pPr>
            <w:r>
              <w:rPr>
                <w:sz w:val="18"/>
                <w:szCs w:val="18"/>
              </w:rPr>
              <w:t>1 year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79AE71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1.28 (1.17–1.41)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262628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89</w:t>
            </w:r>
          </w:p>
        </w:tc>
      </w:tr>
      <w:tr w:rsidR="00AD68AE" w:rsidRPr="00906A98" w14:paraId="59A2286D" w14:textId="77777777" w:rsidTr="00AF3744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17A078" w14:textId="77777777" w:rsidR="00AD68AE" w:rsidRPr="00906A98" w:rsidRDefault="00AD68AE" w:rsidP="00AF3744">
            <w:pPr>
              <w:spacing w:line="276" w:lineRule="auto"/>
            </w:pPr>
            <w:r>
              <w:rPr>
                <w:sz w:val="18"/>
                <w:szCs w:val="18"/>
              </w:rPr>
              <w:t>2 years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73EA31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1.33 (1.23–1.45)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EC4865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112</w:t>
            </w:r>
          </w:p>
        </w:tc>
      </w:tr>
      <w:tr w:rsidR="00AD68AE" w:rsidRPr="00906A98" w14:paraId="781298EA" w14:textId="77777777" w:rsidTr="00AF3744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F5C05B" w14:textId="77777777" w:rsidR="00AD68AE" w:rsidRPr="00906A98" w:rsidRDefault="00AD68AE" w:rsidP="00AF3744">
            <w:pPr>
              <w:spacing w:line="276" w:lineRule="auto"/>
            </w:pPr>
            <w:r>
              <w:rPr>
                <w:sz w:val="18"/>
                <w:szCs w:val="18"/>
              </w:rPr>
              <w:t>3 years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E125F8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1.32 (1.22–1.43)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7A7CCC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126</w:t>
            </w:r>
          </w:p>
        </w:tc>
      </w:tr>
      <w:tr w:rsidR="00AD68AE" w:rsidRPr="00906A98" w14:paraId="168CDF19" w14:textId="77777777" w:rsidTr="00AF3744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813E0B" w14:textId="77777777" w:rsidR="00AD68AE" w:rsidRPr="00906A98" w:rsidRDefault="00AD68AE" w:rsidP="00AF3744">
            <w:pPr>
              <w:spacing w:line="276" w:lineRule="auto"/>
            </w:pPr>
            <w:r>
              <w:rPr>
                <w:sz w:val="18"/>
                <w:szCs w:val="18"/>
              </w:rPr>
              <w:t>5 years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3621B6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1.34 (1.24–1.45)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B80462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145</w:t>
            </w:r>
          </w:p>
        </w:tc>
      </w:tr>
    </w:tbl>
    <w:p w14:paraId="35577E1A" w14:textId="77777777" w:rsidR="00AD68AE" w:rsidRPr="00906A98" w:rsidRDefault="00AD68AE" w:rsidP="00AD68AE">
      <w:pPr>
        <w:spacing w:before="80" w:after="320" w:line="280" w:lineRule="auto"/>
        <w:jc w:val="both"/>
      </w:pPr>
      <w:r>
        <w:rPr>
          <w:sz w:val="18"/>
          <w:szCs w:val="18"/>
        </w:rPr>
        <w:t>The magnitude of the CCI–mortality association was essentially constant from 1 through 5 years, supporting the robustness of the 5-year Kaplan–Meier estimates despite a median follow-up of 2.5 years. CCI, Charlson Comorbidity Index; HR, hazard ratio.</w:t>
      </w:r>
    </w:p>
    <w:p w14:paraId="788D71E0" w14:textId="77777777" w:rsidR="00AD68AE" w:rsidRPr="00906A98" w:rsidRDefault="00AD68AE" w:rsidP="00AD68AE">
      <w:pPr>
        <w:spacing w:after="120" w:line="360" w:lineRule="auto"/>
        <w:jc w:val="both"/>
      </w:pPr>
      <w:r>
        <w:rPr>
          <w:b/>
          <w:bCs/>
        </w:rPr>
        <w:t xml:space="preserve">Table S3. </w:t>
      </w:r>
      <w:r>
        <w:t>Robustness of independent mortality predictors to missing-data handling and unmeasured confounding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2200"/>
        <w:gridCol w:w="2200"/>
        <w:gridCol w:w="1600"/>
      </w:tblGrid>
      <w:tr w:rsidR="00AD68AE" w:rsidRPr="00906A98" w14:paraId="4AB69505" w14:textId="77777777" w:rsidTr="00AF3744">
        <w:trPr>
          <w:tblHeader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5694AF" w14:textId="77777777" w:rsidR="00AD68AE" w:rsidRPr="00906A98" w:rsidRDefault="00AD68AE" w:rsidP="00AF3744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lastRenderedPageBreak/>
              <w:t>Predictor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92F695" w14:textId="77777777" w:rsidR="00AD68AE" w:rsidRPr="00906A98" w:rsidRDefault="00AD68AE" w:rsidP="00AF3744">
            <w:pPr>
              <w:spacing w:line="276" w:lineRule="auto"/>
              <w:jc w:val="center"/>
            </w:pPr>
            <w:proofErr w:type="gramStart"/>
            <w:r>
              <w:rPr>
                <w:b/>
                <w:bCs/>
                <w:sz w:val="18"/>
                <w:szCs w:val="18"/>
              </w:rPr>
              <w:t>Complete-case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aHR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(N=409)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0A9962" w14:textId="77777777" w:rsidR="00AD68AE" w:rsidRPr="00906A98" w:rsidRDefault="00AD68AE" w:rsidP="00AF3744">
            <w:pPr>
              <w:spacing w:line="276" w:lineRule="auto"/>
              <w:jc w:val="center"/>
            </w:pPr>
            <w:proofErr w:type="gramStart"/>
            <w:r>
              <w:rPr>
                <w:b/>
                <w:bCs/>
                <w:sz w:val="18"/>
                <w:szCs w:val="18"/>
              </w:rPr>
              <w:t>Multiple-imputation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aHR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(N=709)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AB039D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E-value (point)</w:t>
            </w:r>
          </w:p>
        </w:tc>
      </w:tr>
      <w:tr w:rsidR="00AD68AE" w:rsidRPr="00906A98" w14:paraId="65F519FC" w14:textId="77777777" w:rsidTr="00AF3744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7FCBBD" w14:textId="77777777" w:rsidR="00AD68AE" w:rsidRPr="00906A98" w:rsidRDefault="00AD68AE" w:rsidP="00AF3744">
            <w:pPr>
              <w:spacing w:line="276" w:lineRule="auto"/>
            </w:pPr>
            <w:r>
              <w:rPr>
                <w:sz w:val="18"/>
                <w:szCs w:val="18"/>
              </w:rPr>
              <w:t>End-stage renal disease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B7F338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2.14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FA71DA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2.09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EE8F1E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3.70</w:t>
            </w:r>
          </w:p>
        </w:tc>
      </w:tr>
      <w:tr w:rsidR="00AD68AE" w:rsidRPr="00906A98" w14:paraId="134A551B" w14:textId="77777777" w:rsidTr="00AF3744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F2B935" w14:textId="77777777" w:rsidR="00AD68AE" w:rsidRPr="00906A98" w:rsidRDefault="00AD68AE" w:rsidP="00AF3744">
            <w:pPr>
              <w:spacing w:line="276" w:lineRule="auto"/>
            </w:pPr>
            <w:r>
              <w:rPr>
                <w:sz w:val="18"/>
                <w:szCs w:val="18"/>
              </w:rPr>
              <w:t>Coronary artery disease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B7E5DF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1.88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FA57A8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1.60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0191FC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3.17</w:t>
            </w:r>
          </w:p>
        </w:tc>
      </w:tr>
      <w:tr w:rsidR="00AD68AE" w:rsidRPr="00906A98" w14:paraId="786E9503" w14:textId="77777777" w:rsidTr="00AF3744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AF974B" w14:textId="77777777" w:rsidR="00AD68AE" w:rsidRPr="00906A98" w:rsidRDefault="00AD68AE" w:rsidP="00AF3744">
            <w:pPr>
              <w:spacing w:line="276" w:lineRule="auto"/>
            </w:pPr>
            <w:r>
              <w:rPr>
                <w:sz w:val="18"/>
                <w:szCs w:val="18"/>
              </w:rPr>
              <w:t>Serum albumin (per g/dL)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4BF1B6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0.43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84A84F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0.52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39CCB2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4.08</w:t>
            </w:r>
          </w:p>
        </w:tc>
      </w:tr>
      <w:tr w:rsidR="00AD68AE" w:rsidRPr="00906A98" w14:paraId="6E7EB7AD" w14:textId="77777777" w:rsidTr="00AF3744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5797D0" w14:textId="77777777" w:rsidR="00AD68AE" w:rsidRPr="00906A98" w:rsidRDefault="00AD68AE" w:rsidP="00AF3744">
            <w:pPr>
              <w:spacing w:line="276" w:lineRule="auto"/>
            </w:pPr>
            <w:r>
              <w:rPr>
                <w:sz w:val="18"/>
                <w:szCs w:val="18"/>
              </w:rPr>
              <w:t>Charlson Index (per point)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67ECFD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1.34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FB8B5D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1E4660" w14:textId="77777777" w:rsidR="00AD68AE" w:rsidRPr="00906A98" w:rsidRDefault="00AD68AE" w:rsidP="00AF3744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2.01</w:t>
            </w:r>
          </w:p>
        </w:tc>
      </w:tr>
    </w:tbl>
    <w:p w14:paraId="0E5949C8" w14:textId="77777777" w:rsidR="00AD68AE" w:rsidRPr="00906A98" w:rsidRDefault="00AD68AE" w:rsidP="00AD68AE">
      <w:pPr>
        <w:spacing w:before="80" w:after="200" w:line="280" w:lineRule="auto"/>
        <w:jc w:val="both"/>
        <w:rPr>
          <w:cs/>
        </w:rPr>
      </w:pPr>
      <w:r>
        <w:rPr>
          <w:sz w:val="18"/>
          <w:szCs w:val="18"/>
        </w:rPr>
        <w:t xml:space="preserve">Estimates from multiple imputations (m = 20 imputations using chained equations on the full cohort of 709) were consistent with the complete-case model, indicating that missing albumin values did not materially bias the conclusions. E-values represent the minimum strength of association (on the risk-ratio scale) that an unmeasured confounder would need with both the predictor and mortality to fully explain away the observed association; the large E-values for albumin (4.08) and end-stage renal disease (3.70) indicate the findings are relatively robust to plausible unmeasured confounding. </w:t>
      </w:r>
      <w:proofErr w:type="spellStart"/>
      <w:r>
        <w:rPr>
          <w:sz w:val="18"/>
          <w:szCs w:val="18"/>
        </w:rPr>
        <w:t>aHR</w:t>
      </w:r>
      <w:proofErr w:type="spellEnd"/>
      <w:r>
        <w:rPr>
          <w:sz w:val="18"/>
          <w:szCs w:val="18"/>
        </w:rPr>
        <w:t>, adjusted hazard ratio.</w:t>
      </w:r>
    </w:p>
    <w:p w14:paraId="127040B8" w14:textId="77777777" w:rsidR="00AD68AE" w:rsidRPr="00906A98" w:rsidRDefault="00AD68AE" w:rsidP="00AD68AE">
      <w:pPr>
        <w:spacing w:before="80" w:after="240"/>
        <w:jc w:val="both"/>
      </w:pPr>
    </w:p>
    <w:p w14:paraId="776F9C1F" w14:textId="77777777" w:rsidR="00AD68AE" w:rsidRPr="00906A98" w:rsidRDefault="00AD68AE" w:rsidP="00AD68AE">
      <w:pPr>
        <w:spacing w:before="80" w:after="240"/>
        <w:jc w:val="both"/>
      </w:pPr>
    </w:p>
    <w:p w14:paraId="25717850" w14:textId="77777777" w:rsidR="0076746A" w:rsidRDefault="0076746A"/>
    <w:sectPr w:rsidR="007674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AE"/>
    <w:rsid w:val="007014E3"/>
    <w:rsid w:val="0076746A"/>
    <w:rsid w:val="007C704D"/>
    <w:rsid w:val="00AD68AE"/>
    <w:rsid w:val="00D6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2740F"/>
  <w15:chartTrackingRefBased/>
  <w15:docId w15:val="{9C4A0CC6-6377-45B9-8879-F61DC0461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8AE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68A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68A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68A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68A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68A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68A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68A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68A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68A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8A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68A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68A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68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68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68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68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68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68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68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D68A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68A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D68A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D68A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D68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68A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3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D68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8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8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68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Unchana Sura-amonrattana</dc:creator>
  <cp:keywords/>
  <dc:description/>
  <cp:lastModifiedBy>Unchana Sura-amonrattana</cp:lastModifiedBy>
  <cp:revision>1</cp:revision>
  <dcterms:created xsi:type="dcterms:W3CDTF">2026-09-11T01:53:00Z</dcterms:created>
  <dcterms:modified xsi:type="dcterms:W3CDTF">2026-09-11T01:53:00Z</dcterms:modified>
</cp:coreProperties>
</file>