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276"/>
        <w:jc w:val="left"/>
      </w:pPr>
      <w:r>
        <w:rPr>
          <w:rFonts w:ascii="Times New Roman" w:cs="Times New Roman" w:eastAsia="Times New Roman" w:hAnsi="Times New Roman"/>
          <w:b/>
          <w:bCs/>
          <w:i w:val="false"/>
          <w:iCs w:val="false"/>
          <w:sz w:val="22"/>
          <w:szCs w:val="22"/>
        </w:rPr>
        <w:t xml:space="preserve">Additional file 1</w:t>
      </w:r>
    </w:p>
    <w:p>
      <w:pPr>
        <w:spacing w:after="240" w:line="276"/>
        <w:jc w:val="left"/>
      </w:pPr>
      <w:r>
        <w:rPr>
          <w:rFonts w:ascii="Times New Roman" w:cs="Times New Roman" w:eastAsia="Times New Roman" w:hAnsi="Times New Roman"/>
          <w:b/>
          <w:bCs/>
          <w:i w:val="false"/>
          <w:iCs w:val="false"/>
          <w:sz w:val="22"/>
          <w:szCs w:val="22"/>
        </w:rPr>
        <w:t xml:space="preserve">Semi-structured interview guides</w:t>
      </w:r>
    </w:p>
    <w:p>
      <w:pPr>
        <w:spacing w:after="160" w:line="276"/>
        <w:jc w:val="both"/>
      </w:pPr>
      <w:r>
        <w:rPr>
          <w:rFonts w:ascii="Times New Roman" w:cs="Times New Roman" w:eastAsia="Times New Roman" w:hAnsi="Times New Roman"/>
          <w:b w:val="false"/>
          <w:bCs w:val="false"/>
          <w:i w:val="false"/>
          <w:iCs w:val="false"/>
          <w:sz w:val="22"/>
          <w:szCs w:val="22"/>
        </w:rPr>
        <w:t xml:space="preserve">Manuscript: Managing Surgical Waiting Lists in Public Health Systems: A Soft Systems Methodology Study in Brazil.</w:t>
      </w:r>
    </w:p>
    <w:p>
      <w:pPr>
        <w:spacing w:after="160" w:line="276"/>
        <w:jc w:val="both"/>
      </w:pPr>
      <w:r>
        <w:rPr>
          <w:rFonts w:ascii="Times New Roman" w:cs="Times New Roman" w:eastAsia="Times New Roman" w:hAnsi="Times New Roman"/>
          <w:b w:val="false"/>
          <w:bCs w:val="false"/>
          <w:i w:val="false"/>
          <w:iCs w:val="false"/>
          <w:sz w:val="22"/>
          <w:szCs w:val="22"/>
        </w:rPr>
        <w:t xml:space="preserve">These interview guides were developed by the research team specifically for this study and have not been published elsewhere. They were submitted to and approved by the Research Ethics Committee of the National Institute of Traumatology and Orthopedics (CEP/INTO) as part of the study protocol (approval number 8.236.962; CAAE 70527623.3.0000.5273). The guides were written and applied in Portuguese; the English version below is a translation prepared for publication.</w:t>
      </w:r>
    </w:p>
    <w:p>
      <w:pPr>
        <w:spacing w:after="160" w:line="276"/>
        <w:jc w:val="both"/>
      </w:pPr>
      <w:r>
        <w:rPr>
          <w:rFonts w:ascii="Times New Roman" w:cs="Times New Roman" w:eastAsia="Times New Roman" w:hAnsi="Times New Roman"/>
          <w:b w:val="false"/>
          <w:bCs w:val="false"/>
          <w:i w:val="false"/>
          <w:iCs w:val="false"/>
          <w:sz w:val="22"/>
          <w:szCs w:val="22"/>
        </w:rPr>
        <w:t xml:space="preserve">Two versions were used. Guide A was applied to the heads of the Specialized Care Centers (SCC) and of the units directly involved in their operation. Guide B was applied to all other participants, comprising the senior management of the hospital and the directorates of strategic planning, administration, clinical care, legal services and teaching and research, together with the units responsible for waiting list management, internal regulation, nursing, the surgical center, inpatient care and clinical support services. Both guides were semi-structured: the items below defined the scope of the conversation, and the interviewer was free to follow up, reorder questions and explore issues raised by the participant.</w:t>
      </w:r>
    </w:p>
    <w:p>
      <w:pPr>
        <w:spacing w:after="160" w:line="276"/>
        <w:jc w:val="both"/>
      </w:pPr>
      <w:r>
        <w:rPr>
          <w:rFonts w:ascii="Times New Roman" w:cs="Times New Roman" w:eastAsia="Times New Roman" w:hAnsi="Times New Roman"/>
          <w:b w:val="false"/>
          <w:bCs w:val="false"/>
          <w:i w:val="false"/>
          <w:iCs w:val="false"/>
          <w:sz w:val="22"/>
          <w:szCs w:val="22"/>
        </w:rPr>
        <w:t xml:space="preserve">In both guides, "Surgical Menu" (cardapio cirurgico) refers to the institutional tool that suggests a monthly volume of procedures for each Specialized Care Center, and "sub-lists" (subfilas) refers to the procedure-level waiting lists maintained within each Specialized Care Center.</w:t>
      </w:r>
    </w:p>
    <w:p>
      <w:pPr>
        <w:spacing w:after="200" w:before="320"/>
      </w:pPr>
      <w:r>
        <w:rPr>
          <w:rFonts w:ascii="Times New Roman" w:cs="Times New Roman" w:eastAsia="Times New Roman" w:hAnsi="Times New Roman"/>
          <w:b/>
          <w:bCs/>
          <w:i w:val="false"/>
          <w:iCs w:val="false"/>
          <w:sz w:val="22"/>
          <w:szCs w:val="22"/>
        </w:rPr>
        <w:t xml:space="preserve">Guide A. Heads of the Specialized Care Centers and of the units directly involved in their operation</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1. Introduction: name, academic background, position or role at INTO, length of professional experience at INTO or at other institutions, and time in the current position.</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2. What are the main problems faced by the SCC?</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3. Which of these problems affect the patient waiting list (waiting time, priority, size of the list, and others)?</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4. What solution would you propose?</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5. How does the patient flow work, from entry into the sub-lists through discharge (who is responsible, time for the patient to be ready, and multiplying factor)?</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6. How and at what point is the Surgical Menu used by the SCC?</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7. What improvements would you propose for the use of the Surgical Menu?</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8. How is the surgical map built (distribution of procedures among surgeons, among operating rooms, and use of other resources)?</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9. Is surgical planning (choice of surgical technique, management of materials, and related decisions) carried out with the participation of the surgeon?</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10. Is there synergy between this area and other areas within or outside INTO? Please explain, indicating which areas or institutions are involved and how that synergy works.</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11. Is there any percentage agreed with municipal and state health secretariats for the performance of surgeries? If so, what is it?</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12. How does the percentage of referred trauma patients affect the surgical map? Is any capacity reserved for it?</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13. Review of sub-lists: classification of priorities by sub-list, assessment of the relevance of each sub-list, and number of physicians in the operating room by sub-list.</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14. Is the current workforce of the SCC sufficient?</w:t>
      </w:r>
    </w:p>
    <w:p>
      <w:pPr>
        <w:spacing w:after="200" w:before="320"/>
      </w:pPr>
      <w:r>
        <w:rPr>
          <w:rFonts w:ascii="Times New Roman" w:cs="Times New Roman" w:eastAsia="Times New Roman" w:hAnsi="Times New Roman"/>
          <w:b/>
          <w:bCs/>
          <w:i w:val="false"/>
          <w:iCs w:val="false"/>
          <w:sz w:val="22"/>
          <w:szCs w:val="22"/>
        </w:rPr>
        <w:t xml:space="preserve">Guide B. Senior management and other units involved in waiting list management</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1. Introduction: name, academic background, position or role at INTO, length of professional experience at INTO or at other institutions, and time in the current position.</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2. How does the patient flow work, from entry into the sub-lists through discharge (who is responsible, time for the patient to be ready, and multiplying factor)?</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3. How do the administrative processes that support patient flow work? What is the impact of these processes on the waiting list?</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4. How and at what point is the Surgical Menu used by the SCC?</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5. Is there synergy between this area and other areas within or outside INTO? Please explain, indicating which areas or institutions are involved and how that synergy works.</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6. Is there any percentage agreed with municipal and state health secretariats for the performance of surgeries? If so, what is it?</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7. How does the percentage of referred trauma patients affect the surgical map? Is any capacity reserved for it?</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8. What are the main problems faced by INTO that affect the patient waiting list (waiting time, priority, size of the list, and others)?</w:t>
      </w:r>
    </w:p>
    <w:p>
      <w:pPr>
        <w:spacing w:after="120" w:line="276"/>
        <w:ind w:left="400" w:hanging="400"/>
        <w:jc w:val="both"/>
      </w:pPr>
      <w:r>
        <w:rPr>
          <w:rFonts w:ascii="Times New Roman" w:cs="Times New Roman" w:eastAsia="Times New Roman" w:hAnsi="Times New Roman"/>
          <w:b w:val="false"/>
          <w:bCs w:val="false"/>
          <w:i w:val="false"/>
          <w:iCs w:val="false"/>
          <w:sz w:val="22"/>
          <w:szCs w:val="22"/>
        </w:rPr>
        <w:t xml:space="preserve">9. What solution would you propose?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2026-09-21T17:42:06.837Z</dcterms:created>
  <dcterms:modified xsi:type="dcterms:W3CDTF">2026-09-21T17:42:06.837Z</dcterms:modified>
</cp:coreProperties>
</file>

<file path=docProps/custom.xml><?xml version="1.0" encoding="utf-8"?>
<Properties xmlns="http://schemas.openxmlformats.org/officeDocument/2006/custom-properties" xmlns:vt="http://schemas.openxmlformats.org/officeDocument/2006/docPropsVTypes"/>
</file>