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46C" w:rsidRDefault="00C67E6A" w:rsidP="0056463A">
      <w:pPr>
        <w:pStyle w:val="Titre1"/>
        <w:spacing w:before="0"/>
        <w:jc w:val="center"/>
      </w:pPr>
      <w:bookmarkStart w:id="0" w:name="_Toc236390655"/>
      <w:bookmarkStart w:id="1" w:name="_Toc236390834"/>
      <w:r>
        <w:t xml:space="preserve">Additional file </w:t>
      </w:r>
      <w:r w:rsidR="00267667">
        <w:t>4</w:t>
      </w:r>
      <w:r>
        <w:t xml:space="preserve">. Characteristics of </w:t>
      </w:r>
      <w:r w:rsidR="0056463A">
        <w:t>articles</w:t>
      </w:r>
      <w:r>
        <w:t xml:space="preserve"> included in the realist review</w:t>
      </w:r>
      <w:bookmarkEnd w:id="0"/>
      <w:bookmarkEnd w:id="1"/>
    </w:p>
    <w:p w:rsidR="0056463A" w:rsidRDefault="0056463A" w:rsidP="0056463A">
      <w:pPr>
        <w:jc w:val="center"/>
        <w:rPr>
          <w:i/>
          <w:color w:val="595959"/>
          <w:sz w:val="20"/>
        </w:rPr>
      </w:pPr>
      <w:r>
        <w:rPr>
          <w:i/>
          <w:color w:val="595959"/>
          <w:sz w:val="20"/>
        </w:rPr>
        <w:t>H</w:t>
      </w:r>
      <w:r w:rsidRPr="0056463A">
        <w:rPr>
          <w:i/>
          <w:color w:val="595959"/>
          <w:sz w:val="20"/>
        </w:rPr>
        <w:t>ow to improve cancer outreach programs in rural areas: insights from a realist evaluation</w:t>
      </w:r>
    </w:p>
    <w:sdt>
      <w:sdtPr>
        <w:rPr>
          <w:rFonts w:ascii="Calibri" w:eastAsia="Calibri" w:hAnsi="Calibri" w:cstheme="minorBidi"/>
          <w:b w:val="0"/>
          <w:bCs w:val="0"/>
          <w:color w:val="auto"/>
          <w:sz w:val="19"/>
          <w:szCs w:val="22"/>
          <w:lang w:val="fr-FR"/>
        </w:rPr>
        <w:id w:val="-443148734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1D3FB4" w:rsidRDefault="001D3FB4">
          <w:pPr>
            <w:pStyle w:val="En-ttedetabledesmatires"/>
          </w:pPr>
          <w:r>
            <w:rPr>
              <w:lang w:val="fr-FR"/>
            </w:rPr>
            <w:t>Table of contents</w:t>
          </w:r>
        </w:p>
        <w:p w:rsidR="001D3FB4" w:rsidRDefault="001D3FB4">
          <w:pPr>
            <w:pStyle w:val="TM1"/>
            <w:tabs>
              <w:tab w:val="right" w:leader="dot" w:pos="14390"/>
            </w:tabs>
            <w:rPr>
              <w:rFonts w:asciiTheme="minorHAnsi" w:eastAsiaTheme="minorEastAsia" w:hAnsiTheme="minorHAnsi"/>
              <w:noProof/>
              <w:sz w:val="22"/>
              <w:lang w:val="fr-FR"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390835" w:history="1">
            <w:r w:rsidRPr="00E6009E">
              <w:rPr>
                <w:rStyle w:val="Lienhypertexte"/>
                <w:noProof/>
              </w:rPr>
              <w:t>Abbreviations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_Toc236390835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D3FB4" w:rsidRDefault="000C55A2">
          <w:pPr>
            <w:pStyle w:val="TM1"/>
            <w:tabs>
              <w:tab w:val="right" w:leader="dot" w:pos="14390"/>
            </w:tabs>
            <w:rPr>
              <w:rFonts w:asciiTheme="minorHAnsi" w:eastAsiaTheme="minorEastAsia" w:hAnsiTheme="minorHAnsi"/>
              <w:noProof/>
              <w:sz w:val="22"/>
              <w:lang w:val="fr-FR" w:eastAsia="fr-FR"/>
            </w:rPr>
          </w:pPr>
          <w:hyperlink w:anchor="_Toc236390836" w:history="1">
            <w:r w:rsidR="00C67E6A">
              <w:rPr>
                <w:rStyle w:val="Lienhypertexte"/>
                <w:noProof/>
              </w:rPr>
              <w:t>Table A</w:t>
            </w:r>
            <w:r w:rsidR="00267667">
              <w:rPr>
                <w:rStyle w:val="Lienhypertexte"/>
                <w:noProof/>
              </w:rPr>
              <w:t>4</w:t>
            </w:r>
            <w:r w:rsidR="001D3FB4" w:rsidRPr="00E6009E">
              <w:rPr>
                <w:rStyle w:val="Lienhypertexte"/>
                <w:noProof/>
              </w:rPr>
              <w:t>.1 Cancer-specific outreach publications (n = 12), Realist review, 2013-2023</w:t>
            </w:r>
            <w:r w:rsidR="001D3FB4">
              <w:rPr>
                <w:noProof/>
                <w:webHidden/>
              </w:rPr>
              <w:tab/>
            </w:r>
            <w:r w:rsidR="001D3FB4">
              <w:rPr>
                <w:noProof/>
                <w:webHidden/>
              </w:rPr>
              <w:fldChar w:fldCharType="begin"/>
            </w:r>
            <w:r w:rsidR="001D3FB4">
              <w:rPr>
                <w:noProof/>
                <w:webHidden/>
              </w:rPr>
              <w:instrText xml:space="preserve"> PAGEREF _Toc236390836 \h </w:instrText>
            </w:r>
            <w:r w:rsidR="001D3FB4">
              <w:rPr>
                <w:noProof/>
                <w:webHidden/>
              </w:rPr>
            </w:r>
            <w:r w:rsidR="001D3FB4">
              <w:rPr>
                <w:noProof/>
                <w:webHidden/>
              </w:rPr>
              <w:fldChar w:fldCharType="separate"/>
            </w:r>
            <w:r w:rsidR="001D3FB4">
              <w:rPr>
                <w:noProof/>
                <w:webHidden/>
              </w:rPr>
              <w:t>2</w:t>
            </w:r>
            <w:r w:rsidR="001D3FB4">
              <w:rPr>
                <w:noProof/>
                <w:webHidden/>
              </w:rPr>
              <w:fldChar w:fldCharType="end"/>
            </w:r>
          </w:hyperlink>
        </w:p>
        <w:p w:rsidR="001D3FB4" w:rsidRDefault="000C55A2">
          <w:pPr>
            <w:pStyle w:val="TM1"/>
            <w:tabs>
              <w:tab w:val="right" w:leader="dot" w:pos="14390"/>
            </w:tabs>
            <w:rPr>
              <w:rFonts w:asciiTheme="minorHAnsi" w:eastAsiaTheme="minorEastAsia" w:hAnsiTheme="minorHAnsi"/>
              <w:noProof/>
              <w:sz w:val="22"/>
              <w:lang w:val="fr-FR" w:eastAsia="fr-FR"/>
            </w:rPr>
          </w:pPr>
          <w:hyperlink w:anchor="_Toc236390837" w:history="1">
            <w:r w:rsidR="00267667">
              <w:rPr>
                <w:rStyle w:val="Lienhypertexte"/>
                <w:noProof/>
              </w:rPr>
              <w:t>Table A4</w:t>
            </w:r>
            <w:r w:rsidR="001D3FB4" w:rsidRPr="00E6009E">
              <w:rPr>
                <w:rStyle w:val="Lienhypertexte"/>
                <w:noProof/>
              </w:rPr>
              <w:t>.2 French aller-vers publications (n = 10), Realist review, 2013-2023</w:t>
            </w:r>
            <w:r w:rsidR="001D3FB4">
              <w:rPr>
                <w:noProof/>
                <w:webHidden/>
              </w:rPr>
              <w:tab/>
            </w:r>
            <w:r w:rsidR="001D3FB4">
              <w:rPr>
                <w:noProof/>
                <w:webHidden/>
              </w:rPr>
              <w:fldChar w:fldCharType="begin"/>
            </w:r>
            <w:r w:rsidR="001D3FB4">
              <w:rPr>
                <w:noProof/>
                <w:webHidden/>
              </w:rPr>
              <w:instrText xml:space="preserve"> PAGEREF _Toc236390837 \h </w:instrText>
            </w:r>
            <w:r w:rsidR="001D3FB4">
              <w:rPr>
                <w:noProof/>
                <w:webHidden/>
              </w:rPr>
            </w:r>
            <w:r w:rsidR="001D3FB4">
              <w:rPr>
                <w:noProof/>
                <w:webHidden/>
              </w:rPr>
              <w:fldChar w:fldCharType="separate"/>
            </w:r>
            <w:r w:rsidR="001D3FB4">
              <w:rPr>
                <w:noProof/>
                <w:webHidden/>
              </w:rPr>
              <w:t>3</w:t>
            </w:r>
            <w:r w:rsidR="001D3FB4">
              <w:rPr>
                <w:noProof/>
                <w:webHidden/>
              </w:rPr>
              <w:fldChar w:fldCharType="end"/>
            </w:r>
          </w:hyperlink>
        </w:p>
        <w:p w:rsidR="001D3FB4" w:rsidRDefault="001D3FB4">
          <w:r>
            <w:rPr>
              <w:b/>
              <w:bCs/>
            </w:rPr>
            <w:fldChar w:fldCharType="end"/>
          </w:r>
        </w:p>
      </w:sdtContent>
    </w:sdt>
    <w:p w:rsidR="001D3FB4" w:rsidRDefault="001D3FB4" w:rsidP="001D3FB4">
      <w:pPr>
        <w:pStyle w:val="Titre1"/>
      </w:pPr>
      <w:bookmarkStart w:id="2" w:name="_Toc236390835"/>
      <w:r>
        <w:t>Abbreviations</w:t>
      </w:r>
      <w:bookmarkEnd w:id="2"/>
    </w:p>
    <w:p w:rsidR="001D3FB4" w:rsidRDefault="001D3FB4" w:rsidP="001D3FB4">
      <w:r>
        <w:t xml:space="preserve">CRC, colorectal cancer; FIT, </w:t>
      </w:r>
      <w:proofErr w:type="spellStart"/>
      <w:r>
        <w:t>faecal</w:t>
      </w:r>
      <w:proofErr w:type="spellEnd"/>
      <w:r>
        <w:t xml:space="preserve"> immunochemical test; HBV, hepatitis B virus; HPV, human papillomavirus; NCI, National Cancer Institute.</w:t>
      </w:r>
    </w:p>
    <w:p w:rsidR="001D3FB4" w:rsidRDefault="001D3FB4">
      <w:pPr>
        <w:spacing w:after="200" w:line="276" w:lineRule="auto"/>
        <w:rPr>
          <w:i/>
          <w:color w:val="595959"/>
          <w:sz w:val="20"/>
        </w:rPr>
      </w:pPr>
      <w:r>
        <w:rPr>
          <w:i/>
          <w:color w:val="595959"/>
          <w:sz w:val="20"/>
        </w:rPr>
        <w:br w:type="page"/>
      </w:r>
    </w:p>
    <w:p w:rsidR="0076246C" w:rsidRDefault="00C67E6A" w:rsidP="0056463A">
      <w:pPr>
        <w:pStyle w:val="Titre1"/>
        <w:spacing w:before="0"/>
      </w:pPr>
      <w:bookmarkStart w:id="3" w:name="_Toc236390836"/>
      <w:r>
        <w:lastRenderedPageBreak/>
        <w:t>Table A</w:t>
      </w:r>
      <w:r w:rsidR="000C55A2">
        <w:t>4</w:t>
      </w:r>
      <w:r w:rsidR="0056463A">
        <w:t xml:space="preserve">.1 </w:t>
      </w:r>
      <w:r>
        <w:t>Cancer-specific outreach publications (n = 12)</w:t>
      </w:r>
      <w:r w:rsidR="0056463A">
        <w:t>, Realist review, 2013-2023</w:t>
      </w:r>
      <w:bookmarkEnd w:id="3"/>
    </w:p>
    <w:tbl>
      <w:tblPr>
        <w:tblStyle w:val="Tableausimple2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842"/>
        <w:gridCol w:w="3180"/>
        <w:gridCol w:w="1782"/>
        <w:gridCol w:w="4114"/>
      </w:tblGrid>
      <w:tr w:rsidR="0056463A" w:rsidTr="00564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7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:rsidR="0056463A" w:rsidRDefault="000C55A2" w:rsidP="0056463A">
            <w:pPr>
              <w:spacing w:after="0"/>
              <w:rPr>
                <w:b w:val="0"/>
                <w:color w:val="FFFFFF"/>
                <w:sz w:val="16"/>
              </w:rPr>
            </w:pPr>
            <w:r>
              <w:rPr>
                <w:b w:val="0"/>
                <w:sz w:val="16"/>
              </w:rPr>
              <w:t>Table A4</w:t>
            </w:r>
            <w:r w:rsidR="0056463A" w:rsidRPr="0056463A">
              <w:rPr>
                <w:b w:val="0"/>
                <w:sz w:val="16"/>
              </w:rPr>
              <w:t>.1 Cancer-specific outreach publications (n = 12), Realist review, 2013-2023</w:t>
            </w:r>
          </w:p>
        </w:tc>
      </w:tr>
      <w:tr w:rsidR="0076246C" w:rsidTr="001D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76246C" w:rsidRPr="0056463A" w:rsidRDefault="00C67E6A">
            <w:pPr>
              <w:spacing w:after="0"/>
              <w:jc w:val="center"/>
            </w:pPr>
            <w:r w:rsidRPr="0056463A">
              <w:rPr>
                <w:sz w:val="16"/>
              </w:rPr>
              <w:t>Source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6246C" w:rsidRPr="0056463A" w:rsidRDefault="00C67E6A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463A">
              <w:rPr>
                <w:b/>
                <w:sz w:val="16"/>
              </w:rPr>
              <w:t>Setting and population</w:t>
            </w:r>
          </w:p>
        </w:tc>
        <w:tc>
          <w:tcPr>
            <w:tcW w:w="3180" w:type="dxa"/>
            <w:tcBorders>
              <w:top w:val="single" w:sz="4" w:space="0" w:color="auto"/>
              <w:bottom w:val="single" w:sz="4" w:space="0" w:color="auto"/>
            </w:tcBorders>
          </w:tcPr>
          <w:p w:rsidR="0076246C" w:rsidRPr="0056463A" w:rsidRDefault="00C67E6A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463A">
              <w:rPr>
                <w:b/>
                <w:sz w:val="16"/>
              </w:rPr>
              <w:t>Outreach approach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76246C" w:rsidRPr="0056463A" w:rsidRDefault="00C67E6A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463A">
              <w:rPr>
                <w:b/>
                <w:sz w:val="16"/>
              </w:rPr>
              <w:t>Evidence type / design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</w:tcPr>
          <w:p w:rsidR="0076246C" w:rsidRPr="0056463A" w:rsidRDefault="00C67E6A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463A">
              <w:rPr>
                <w:b/>
                <w:sz w:val="16"/>
              </w:rPr>
              <w:t>Main findings and contribution to programme theory</w:t>
            </w:r>
          </w:p>
        </w:tc>
      </w:tr>
      <w:tr w:rsidR="0076246C" w:rsidTr="001D3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Whitaker et al. (2020). Screen to Save: results from NCI’s colorectal cancer outreach and screening initiative. Cancer Epidemiol Biomarkers Prev. doi:10.1158/1055-9965.EPI-19-0972.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United States; racial/ethnic minority and rural populations.</w:t>
            </w:r>
          </w:p>
        </w:tc>
        <w:tc>
          <w:tcPr>
            <w:tcW w:w="3180" w:type="dxa"/>
            <w:tcBorders>
              <w:top w:val="single" w:sz="4" w:space="0" w:color="auto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Standardised, culturally tailored colorectal-cancer education delivered through community health educators in the National Outreach Network.</w:t>
            </w:r>
          </w:p>
        </w:tc>
        <w:tc>
          <w:tcPr>
            <w:tcW w:w="1782" w:type="dxa"/>
            <w:tcBorders>
              <w:top w:val="single" w:sz="4" w:space="0" w:color="auto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National outreach initiative with pre/post educational assessment.</w:t>
            </w:r>
          </w:p>
        </w:tc>
        <w:tc>
          <w:tcPr>
            <w:tcW w:w="4114" w:type="dxa"/>
            <w:tcBorders>
              <w:top w:val="single" w:sz="4" w:space="0" w:color="auto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Improved colorectal-cancer knowledge and reported intentions to engage in healthy or screening-related behaviours. Supported culturally adapted messaging, credible community educators, and standardised tools.</w:t>
            </w:r>
          </w:p>
        </w:tc>
      </w:tr>
      <w:tr w:rsidR="0076246C" w:rsidTr="001D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Arens &amp; Early (2019). A brief report describing cancer outreach events in the rural Midwest. J Agromedicine. doi:10.1080/1059924X.2019.1590271.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United States; farmers, ranchers, families, and rural event attendees.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Cancer-prevention booths at fairs and community events, educational materials, one-to-one navigation, risk-assessment forms, and follow-up calls.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Descriptive mixed-methods evaluation of seven outreach events.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Smaller targeted events produced deeper engagement than very large events. Immediate information and referral appeared more useful than delayed telephone follow-up. Identified transport, distance, cost, knowledge, and referral barriers.</w:t>
            </w:r>
          </w:p>
        </w:tc>
      </w:tr>
      <w:tr w:rsidR="0076246C" w:rsidTr="001D3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DuCharme et al. (2023). Addressing disparities in breast cancer screening: radiology and global health outreach in Guyana. J Radiol Nurs. doi:10.1016/j.jradnu.2023.05.007.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Guyana; women in rural and low-resource areas.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Phased strengthening of breast-care services through partnerships, train-the-trainer activities, culturally relevant materials, and links between regional services and the national hospital.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Programme description and implementation report.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Highlighted the importance of health-system partnerships, role extension beyond nurses, local training, and pathways linking outreach to diagnostic services. No clear participant-level outcome estimate was reported.</w:t>
            </w:r>
          </w:p>
        </w:tc>
      </w:tr>
      <w:tr w:rsidR="0076246C" w:rsidTr="001D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Riley (2008). Collaboration for prevention of chronic disease in Kentucky: the Health Education Through Extension Leaders programme. Nurs Clin North Am. doi:10.1016/j.cnur.2008.04.007.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United States; largely rural communities.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Train-the-trainer model using county extension agents and community volunteers to deliver evidence-informed chronic-disease and cancer-prevention education.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Programme description with examples of post-session knowledge and intention outcomes.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Supported community capacity-building, use of locally embedded educators, transfer of expertise, and advocacy. Cancer-prevention sessions increased recognition of sun damage and intentions to practise sun safety.</w:t>
            </w:r>
          </w:p>
        </w:tc>
      </w:tr>
      <w:tr w:rsidR="0076246C" w:rsidTr="001D3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Love et al. (2018). Communication and comprehensive cancer control coalitions: lessons from two decades of campaigns, outreach, and training. Cancer Causes Control. doi:10.1007/s10552-018-1122-0.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United States; comprehensive cancer-control coalitions operating at national, state, and local levels.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Multilevel communication, educational outreach, coalition-building, and engagement of community and governmental partners.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Narrative synthesis of coalition experience and practice examples.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Supported repeated multichannel communication, ongoing stakeholder engagement, dedicated coordination, community leadership, partnership synergy, and system-level outcomes.</w:t>
            </w:r>
          </w:p>
        </w:tc>
      </w:tr>
      <w:tr w:rsidR="0076246C" w:rsidTr="001D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Maybee et al. (2024; online 2023). Indigenizing and ruralizing NCI Screen to Save: ROOTS. J Cancer Educ. doi:10.1007/s13187-023-02376-8.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United States; Indigenous and non-Indigenous rural communities.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Community-adapted colorectal-cancer education toolkit, Indigenous and rural advisory input, community health educators, and hybrid in-person/virtual delivery.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Prospective pre/post cohort; 79 paired surveys from 82 participants.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Culturally tailored delivery increased screening intentions and discussion with family and friends. Supported community co-adaptation, trusted educators, flexible delivery, and personal relevance.</w:t>
            </w:r>
          </w:p>
        </w:tc>
      </w:tr>
      <w:tr w:rsidR="0076246C" w:rsidTr="001D3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Gupta et al. (2020). Mailed faecal immunochemical test outreach for colorectal cancer screening: summary of a CDC-sponsored summit. CA Cancer J Clin. doi:10.3322/caac.21615.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United States; health-system populations not up to date with colorectal-cancer screening.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Mailed FIT outreach with invitation, simple instructions, reminders, tracking, navigation after abnormal results, and organisational support.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Evidence synthesis and expert summit report.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Specified implementation resources required for reliable pathway completion: data infrastructure, reminders, navigation, programme champions, sustained funding, and organisational commitment.</w:t>
            </w:r>
          </w:p>
        </w:tc>
      </w:tr>
      <w:tr w:rsidR="0076246C" w:rsidTr="001D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Alexander et al. (2013). Multicultural media outreach: increasing cancer information coverage in minority communities. J Cancer Educ. doi:10.1007/s13187-013-0534-5.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United States; African American, Hispanic, Asian American, American Indian, and Alaska Native audiences.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Integrated traditional and social media, tailored news content, minority spokespersons, and evidence-based cancer information for multicultural media outlets.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Programme description.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Supported the role of culturally tailored communication, multiple communication channels, timing, and trusted or representative messengers in increasing visibility and legitimacy.</w:t>
            </w:r>
          </w:p>
        </w:tc>
      </w:tr>
      <w:tr w:rsidR="0076246C" w:rsidTr="001D3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Hughes et al. (2007). Prostate cancer community collaboration and partnership: education, awareness, recruitment, and outreach to southern African-American males. J Cult Divers. 14:68–73.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United States; African-American men with prostate cancer and female partners/spouses.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Community recruitment, support groups, sex-specific focus groups, family involvement, and discussion of screening and research participation.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Qualitative study using 10 focus groups.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Highlighted trust in organisations and professionals, family influence, peer support, culturally tailored information, and safe spaces for discussing fear and prior healthcare experiences.</w:t>
            </w:r>
          </w:p>
        </w:tc>
      </w:tr>
      <w:tr w:rsidR="0076246C" w:rsidTr="001D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Levano et al. (2014). Public education and targeted outreach to underserved women through the National Breast and Cervical Cancer Early Detection Program. Cancer. doi:10.1002/cncr.28819.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United States; low-income, uninsured, and underinsured women in several state programmes.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Multiple evidence-based strategies, including mass and small media, direct outreach, one-to-one education, reminders, access-enhancing strategies, and partnerships.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Multi-programme descriptive case series.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State examples reported increases in enquiries and programme enrolment. Supported combining strategies across socio-ecological levels and adapting materials and channels to local populations.</w:t>
            </w:r>
          </w:p>
        </w:tc>
      </w:tr>
      <w:tr w:rsidR="0076246C" w:rsidTr="001D3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Luque et al. (2011). Salud es vida: development of a cervical-cancer education curriculum for promotora outreach with Latina farmworkers in rural Southern Georgia. Am J Public Health. doi:10.2105/AJPH.2011.300324.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United States; Latina farmworkers and volunteer promotoras.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Bilingual, culturally adapted cervical-cancer and HPV curriculum delivered by trained lay health workers using participatory activities and local referral resources.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Pilot development study with seven promotoras and pre/post knowledge assessment.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76246C" w:rsidRDefault="00C67E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Knowledge scores increased after training. Supported culturally adapted materials, peer educators, familiar venues, participatory learning, and attention to embarrassment, fear, cost, transport, language, and family permission.</w:t>
            </w:r>
          </w:p>
        </w:tc>
      </w:tr>
      <w:tr w:rsidR="0076246C" w:rsidTr="001D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single" w:sz="4" w:space="0" w:color="auto"/>
            </w:tcBorders>
          </w:tcPr>
          <w:p w:rsidR="0076246C" w:rsidRDefault="00C67E6A">
            <w:pPr>
              <w:spacing w:after="0" w:line="240" w:lineRule="auto"/>
            </w:pPr>
            <w:r>
              <w:rPr>
                <w:sz w:val="15"/>
              </w:rPr>
              <w:t>Chao et al. (2009). The Jade Ribbon Campaign: a model programme for community outreach and education to prevent liver cancer in Asian Americans. J Immigr Minor Health. doi:10.1007/s10903-007-9094-2.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United States; Asian American communities, particularly Chinese Americans.</w:t>
            </w:r>
          </w:p>
        </w:tc>
        <w:tc>
          <w:tcPr>
            <w:tcW w:w="3180" w:type="dxa"/>
            <w:tcBorders>
              <w:top w:val="nil"/>
              <w:bottom w:val="single" w:sz="4" w:space="0" w:color="auto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Culturally targeted mass-media campaign, community outreach, hepatitis-B screening, education, and follow-up interviews.</w:t>
            </w:r>
          </w:p>
        </w:tc>
        <w:tc>
          <w:tcPr>
            <w:tcW w:w="1782" w:type="dxa"/>
            <w:tcBorders>
              <w:top w:val="nil"/>
              <w:bottom w:val="single" w:sz="4" w:space="0" w:color="auto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Community campaign with questionnaire and follow-up assessment.</w:t>
            </w:r>
          </w:p>
        </w:tc>
        <w:tc>
          <w:tcPr>
            <w:tcW w:w="4114" w:type="dxa"/>
            <w:tcBorders>
              <w:top w:val="nil"/>
              <w:bottom w:val="single" w:sz="4" w:space="0" w:color="auto"/>
            </w:tcBorders>
          </w:tcPr>
          <w:p w:rsidR="0076246C" w:rsidRDefault="00C67E6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Participants reported encouraging relatives to seek testing and some subsequent vaccination of children. Supported culturally targeted information, family diffusion, and combined media/community delivery.</w:t>
            </w:r>
          </w:p>
        </w:tc>
      </w:tr>
    </w:tbl>
    <w:p w:rsidR="001D3FB4" w:rsidRDefault="00C67E6A" w:rsidP="001D3FB4">
      <w:pPr>
        <w:pStyle w:val="Titre1"/>
        <w:spacing w:before="0"/>
      </w:pPr>
      <w:bookmarkStart w:id="4" w:name="_Toc236390837"/>
      <w:r>
        <w:lastRenderedPageBreak/>
        <w:t>Table A</w:t>
      </w:r>
      <w:r w:rsidR="000C55A2">
        <w:t>4</w:t>
      </w:r>
      <w:r w:rsidR="001D3FB4">
        <w:t xml:space="preserve">.2 French </w:t>
      </w:r>
      <w:proofErr w:type="spellStart"/>
      <w:r w:rsidR="001D3FB4">
        <w:t>aller-vers</w:t>
      </w:r>
      <w:proofErr w:type="spellEnd"/>
      <w:r w:rsidR="001D3FB4">
        <w:t xml:space="preserve"> publications (n = 10), Realist review, 2013-2023</w:t>
      </w:r>
      <w:bookmarkEnd w:id="4"/>
    </w:p>
    <w:tbl>
      <w:tblPr>
        <w:tblStyle w:val="Tableausimple2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842"/>
        <w:gridCol w:w="3180"/>
        <w:gridCol w:w="1782"/>
        <w:gridCol w:w="4114"/>
      </w:tblGrid>
      <w:tr w:rsidR="001D3FB4" w:rsidTr="008061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7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:rsidR="001D3FB4" w:rsidRDefault="00C67E6A" w:rsidP="000C55A2">
            <w:pPr>
              <w:spacing w:after="0"/>
              <w:rPr>
                <w:b w:val="0"/>
                <w:color w:val="FFFFFF"/>
                <w:sz w:val="16"/>
              </w:rPr>
            </w:pPr>
            <w:r>
              <w:rPr>
                <w:b w:val="0"/>
                <w:sz w:val="16"/>
              </w:rPr>
              <w:t>Table A</w:t>
            </w:r>
            <w:r w:rsidR="000C55A2">
              <w:rPr>
                <w:b w:val="0"/>
                <w:sz w:val="16"/>
              </w:rPr>
              <w:t>4</w:t>
            </w:r>
            <w:bookmarkStart w:id="5" w:name="_GoBack"/>
            <w:bookmarkEnd w:id="5"/>
            <w:r w:rsidR="001D3FB4" w:rsidRPr="0056463A">
              <w:rPr>
                <w:b w:val="0"/>
                <w:sz w:val="16"/>
              </w:rPr>
              <w:t>.</w:t>
            </w:r>
            <w:r w:rsidR="001D3FB4">
              <w:rPr>
                <w:b w:val="0"/>
                <w:sz w:val="16"/>
              </w:rPr>
              <w:t>2</w:t>
            </w:r>
            <w:r w:rsidR="001D3FB4" w:rsidRPr="0056463A">
              <w:rPr>
                <w:b w:val="0"/>
                <w:sz w:val="16"/>
              </w:rPr>
              <w:t xml:space="preserve"> </w:t>
            </w:r>
            <w:r w:rsidR="001D3FB4" w:rsidRPr="001D3FB4">
              <w:rPr>
                <w:b w:val="0"/>
                <w:sz w:val="16"/>
              </w:rPr>
              <w:t xml:space="preserve">French </w:t>
            </w:r>
            <w:proofErr w:type="spellStart"/>
            <w:r w:rsidR="001D3FB4" w:rsidRPr="001D3FB4">
              <w:rPr>
                <w:b w:val="0"/>
                <w:sz w:val="16"/>
              </w:rPr>
              <w:t>aller-vers</w:t>
            </w:r>
            <w:proofErr w:type="spellEnd"/>
            <w:r w:rsidR="001D3FB4" w:rsidRPr="001D3FB4">
              <w:rPr>
                <w:b w:val="0"/>
                <w:sz w:val="16"/>
              </w:rPr>
              <w:t xml:space="preserve"> publications </w:t>
            </w:r>
            <w:proofErr w:type="spellStart"/>
            <w:r w:rsidR="001D3FB4" w:rsidRPr="0056463A">
              <w:rPr>
                <w:b w:val="0"/>
                <w:sz w:val="16"/>
              </w:rPr>
              <w:t>publications</w:t>
            </w:r>
            <w:proofErr w:type="spellEnd"/>
            <w:r w:rsidR="001D3FB4" w:rsidRPr="0056463A">
              <w:rPr>
                <w:b w:val="0"/>
                <w:sz w:val="16"/>
              </w:rPr>
              <w:t xml:space="preserve"> (n = 1</w:t>
            </w:r>
            <w:r w:rsidR="001D3FB4">
              <w:rPr>
                <w:b w:val="0"/>
                <w:sz w:val="16"/>
              </w:rPr>
              <w:t>0</w:t>
            </w:r>
            <w:r w:rsidR="001D3FB4" w:rsidRPr="0056463A">
              <w:rPr>
                <w:b w:val="0"/>
                <w:sz w:val="16"/>
              </w:rPr>
              <w:t>), Realist review, 2013-2023</w:t>
            </w:r>
          </w:p>
        </w:tc>
      </w:tr>
      <w:tr w:rsidR="001D3FB4" w:rsidTr="00806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1D3FB4" w:rsidRPr="0056463A" w:rsidRDefault="001D3FB4" w:rsidP="008061F6">
            <w:pPr>
              <w:spacing w:after="0"/>
              <w:jc w:val="center"/>
            </w:pPr>
            <w:r w:rsidRPr="0056463A">
              <w:rPr>
                <w:sz w:val="16"/>
              </w:rPr>
              <w:t>Source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D3FB4" w:rsidRPr="0056463A" w:rsidRDefault="001D3FB4" w:rsidP="008061F6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463A">
              <w:rPr>
                <w:b/>
                <w:sz w:val="16"/>
              </w:rPr>
              <w:t>Setting and population</w:t>
            </w:r>
          </w:p>
        </w:tc>
        <w:tc>
          <w:tcPr>
            <w:tcW w:w="3180" w:type="dxa"/>
            <w:tcBorders>
              <w:top w:val="single" w:sz="4" w:space="0" w:color="auto"/>
              <w:bottom w:val="single" w:sz="4" w:space="0" w:color="auto"/>
            </w:tcBorders>
          </w:tcPr>
          <w:p w:rsidR="001D3FB4" w:rsidRPr="0056463A" w:rsidRDefault="001D3FB4" w:rsidP="008061F6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463A">
              <w:rPr>
                <w:b/>
                <w:sz w:val="16"/>
              </w:rPr>
              <w:t>Outreach approach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1D3FB4" w:rsidRPr="0056463A" w:rsidRDefault="001D3FB4" w:rsidP="008061F6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463A">
              <w:rPr>
                <w:b/>
                <w:sz w:val="16"/>
              </w:rPr>
              <w:t>Evidence type / design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</w:tcBorders>
          </w:tcPr>
          <w:p w:rsidR="001D3FB4" w:rsidRPr="0056463A" w:rsidRDefault="001D3FB4" w:rsidP="008061F6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463A">
              <w:rPr>
                <w:b/>
                <w:sz w:val="16"/>
              </w:rPr>
              <w:t xml:space="preserve">Main findings and contribution to </w:t>
            </w:r>
            <w:proofErr w:type="spellStart"/>
            <w:r w:rsidRPr="0056463A">
              <w:rPr>
                <w:b/>
                <w:sz w:val="16"/>
              </w:rPr>
              <w:t>programme</w:t>
            </w:r>
            <w:proofErr w:type="spellEnd"/>
            <w:r w:rsidRPr="0056463A">
              <w:rPr>
                <w:b/>
                <w:sz w:val="16"/>
              </w:rPr>
              <w:t xml:space="preserve"> theory</w:t>
            </w:r>
          </w:p>
        </w:tc>
      </w:tr>
      <w:tr w:rsidR="001D3FB4" w:rsidTr="00806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proofErr w:type="spellStart"/>
            <w:r w:rsidRPr="0056463A">
              <w:rPr>
                <w:sz w:val="15"/>
                <w:lang w:val="fr-FR"/>
              </w:rPr>
              <w:t>Parisse</w:t>
            </w:r>
            <w:proofErr w:type="spellEnd"/>
            <w:r w:rsidRPr="0056463A">
              <w:rPr>
                <w:sz w:val="15"/>
                <w:lang w:val="fr-FR"/>
              </w:rPr>
              <w:t xml:space="preserve"> &amp; Porte (2022). Les démarches d</w:t>
            </w:r>
            <w:proofErr w:type="gramStart"/>
            <w:r w:rsidRPr="0056463A">
              <w:rPr>
                <w:sz w:val="15"/>
                <w:lang w:val="fr-FR"/>
              </w:rPr>
              <w:t>’«</w:t>
            </w:r>
            <w:proofErr w:type="gramEnd"/>
            <w:r w:rsidRPr="0056463A">
              <w:rPr>
                <w:sz w:val="15"/>
                <w:lang w:val="fr-FR"/>
              </w:rPr>
              <w:t xml:space="preserve"> aller vers » dans le travail social : une mise en perspective. </w:t>
            </w:r>
            <w:r>
              <w:rPr>
                <w:sz w:val="15"/>
              </w:rPr>
              <w:t xml:space="preserve">Cahiers de </w:t>
            </w:r>
            <w:proofErr w:type="spellStart"/>
            <w:r>
              <w:rPr>
                <w:sz w:val="15"/>
              </w:rPr>
              <w:t>l’action</w:t>
            </w:r>
            <w:proofErr w:type="spellEnd"/>
            <w:r>
              <w:rPr>
                <w:sz w:val="15"/>
              </w:rPr>
              <w:t>. doi:10.3917/cact.059.0009.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Comparative discussion drawing on France and other Western settings.</w:t>
            </w:r>
          </w:p>
        </w:tc>
        <w:tc>
          <w:tcPr>
            <w:tcW w:w="3180" w:type="dxa"/>
            <w:tcBorders>
              <w:top w:val="single" w:sz="4" w:space="0" w:color="auto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Outreach understood as spatial and relational proximity, immersion in everyday settings, and work conducted differently rather than merely elsewhere.</w:t>
            </w:r>
          </w:p>
        </w:tc>
        <w:tc>
          <w:tcPr>
            <w:tcW w:w="1782" w:type="dxa"/>
            <w:tcBorders>
              <w:top w:val="single" w:sz="4" w:space="0" w:color="auto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Conceptual and practice-oriented overview</w:t>
            </w:r>
          </w:p>
        </w:tc>
        <w:tc>
          <w:tcPr>
            <w:tcW w:w="4114" w:type="dxa"/>
            <w:tcBorders>
              <w:top w:val="single" w:sz="4" w:space="0" w:color="auto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Informed the distinction between physical access and relational engagement, and the importance of acting with communities rather than acting on them.</w:t>
            </w:r>
          </w:p>
        </w:tc>
      </w:tr>
      <w:tr w:rsidR="001D3FB4" w:rsidTr="00806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r w:rsidRPr="0056463A">
              <w:rPr>
                <w:sz w:val="15"/>
                <w:lang w:val="fr-FR"/>
              </w:rPr>
              <w:t xml:space="preserve">Gunther (2022). Investir le « dehors » : l’expérience de l’association Terrain d’entente. </w:t>
            </w:r>
            <w:r>
              <w:rPr>
                <w:sz w:val="15"/>
              </w:rPr>
              <w:t xml:space="preserve">Cahiers de </w:t>
            </w:r>
            <w:proofErr w:type="spellStart"/>
            <w:r>
              <w:rPr>
                <w:sz w:val="15"/>
              </w:rPr>
              <w:t>l’action</w:t>
            </w:r>
            <w:proofErr w:type="spellEnd"/>
            <w:r>
              <w:rPr>
                <w:sz w:val="15"/>
              </w:rPr>
              <w:t>. doi:10.3917/cact.059.0018.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 xml:space="preserve">Disadvantaged </w:t>
            </w:r>
            <w:proofErr w:type="spellStart"/>
            <w:r>
              <w:rPr>
                <w:sz w:val="15"/>
              </w:rPr>
              <w:t>neighbourhood</w:t>
            </w:r>
            <w:proofErr w:type="spellEnd"/>
            <w:r>
              <w:rPr>
                <w:sz w:val="15"/>
              </w:rPr>
              <w:t xml:space="preserve"> of </w:t>
            </w:r>
            <w:proofErr w:type="spellStart"/>
            <w:r>
              <w:rPr>
                <w:sz w:val="15"/>
              </w:rPr>
              <w:t>Tarentaize</w:t>
            </w:r>
            <w:proofErr w:type="spellEnd"/>
            <w:r>
              <w:rPr>
                <w:sz w:val="15"/>
              </w:rPr>
              <w:t>, Saint-Étienne, France.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Free and unconditional outdoor workshops, games, and regular presence at the foot of residential buildings.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Practice account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Supported familiar local settings, low-threshold participation, repeated presence, and the development of a local educational community.</w:t>
            </w:r>
          </w:p>
        </w:tc>
      </w:tr>
      <w:tr w:rsidR="001D3FB4" w:rsidTr="00806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proofErr w:type="spellStart"/>
            <w:r w:rsidRPr="0056463A">
              <w:rPr>
                <w:sz w:val="15"/>
                <w:lang w:val="fr-FR"/>
              </w:rPr>
              <w:t>Pesce</w:t>
            </w:r>
            <w:proofErr w:type="spellEnd"/>
            <w:r w:rsidRPr="0056463A">
              <w:rPr>
                <w:sz w:val="15"/>
                <w:lang w:val="fr-FR"/>
              </w:rPr>
              <w:t>, Doublet &amp; Guillet (2021). Chapitre 11. Une expérience d</w:t>
            </w:r>
            <w:proofErr w:type="gramStart"/>
            <w:r w:rsidRPr="0056463A">
              <w:rPr>
                <w:sz w:val="15"/>
                <w:lang w:val="fr-FR"/>
              </w:rPr>
              <w:t>’«</w:t>
            </w:r>
            <w:proofErr w:type="gramEnd"/>
            <w:r w:rsidRPr="0056463A">
              <w:rPr>
                <w:sz w:val="15"/>
                <w:lang w:val="fr-FR"/>
              </w:rPr>
              <w:t xml:space="preserve"> aller vers ». </w:t>
            </w:r>
            <w:r>
              <w:rPr>
                <w:sz w:val="15"/>
              </w:rPr>
              <w:t xml:space="preserve">In: </w:t>
            </w:r>
            <w:proofErr w:type="spellStart"/>
            <w:r>
              <w:rPr>
                <w:sz w:val="15"/>
              </w:rPr>
              <w:t>Vers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une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pédagogie</w:t>
            </w:r>
            <w:proofErr w:type="spellEnd"/>
            <w:r>
              <w:rPr>
                <w:sz w:val="15"/>
              </w:rPr>
              <w:t xml:space="preserve"> de </w:t>
            </w:r>
            <w:proofErr w:type="spellStart"/>
            <w:r>
              <w:rPr>
                <w:sz w:val="15"/>
              </w:rPr>
              <w:t>l’engagement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Bordeaux, France; residential-building hall and surrounding area.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Extended presence in a residential setting, using the hall and immediate surroundings as the intervention space.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Practice-based book chapter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Contributed to hypotheses about visible local presence, time spent in place, informal contact, and engagement outside institutional venues.</w:t>
            </w:r>
          </w:p>
        </w:tc>
      </w:tr>
      <w:tr w:rsidR="001D3FB4" w:rsidTr="00806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proofErr w:type="spellStart"/>
            <w:r w:rsidRPr="0056463A">
              <w:rPr>
                <w:sz w:val="15"/>
                <w:lang w:val="fr-FR"/>
              </w:rPr>
              <w:t>Beaupère</w:t>
            </w:r>
            <w:proofErr w:type="spellEnd"/>
            <w:r w:rsidRPr="0056463A">
              <w:rPr>
                <w:sz w:val="15"/>
                <w:lang w:val="fr-FR"/>
              </w:rPr>
              <w:t xml:space="preserve"> (2019). « Aller vers » ou l’accompagnement des Gens du voyage pour leur accès aux droits fondamentaux. </w:t>
            </w:r>
            <w:proofErr w:type="spellStart"/>
            <w:r>
              <w:rPr>
                <w:sz w:val="15"/>
              </w:rPr>
              <w:t>Études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Tsiganes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 xml:space="preserve">Gironde, France; </w:t>
            </w:r>
            <w:proofErr w:type="spellStart"/>
            <w:r>
              <w:rPr>
                <w:sz w:val="15"/>
              </w:rPr>
              <w:t>Travellers</w:t>
            </w:r>
            <w:proofErr w:type="spellEnd"/>
            <w:r>
              <w:rPr>
                <w:sz w:val="15"/>
              </w:rPr>
              <w:t xml:space="preserve"> and families facing access barriers.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5"/>
              </w:rPr>
              <w:t>Intersectoral</w:t>
            </w:r>
            <w:proofErr w:type="spellEnd"/>
            <w:r>
              <w:rPr>
                <w:sz w:val="15"/>
              </w:rPr>
              <w:t xml:space="preserve"> outreach and comprehensive support addressing multiple everyday needs and access to rights.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Practice and service account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Supported coordination across sectors, holistic support, trusted relationships, and attention to needs extending beyond a single health objective.</w:t>
            </w:r>
          </w:p>
        </w:tc>
      </w:tr>
      <w:tr w:rsidR="001D3FB4" w:rsidTr="00806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r w:rsidRPr="0056463A">
              <w:rPr>
                <w:sz w:val="15"/>
                <w:lang w:val="fr-FR"/>
              </w:rPr>
              <w:t xml:space="preserve">Bressan (2020). Concilier le « aller vers » et le respect des distances : un pari impossible ? </w:t>
            </w:r>
            <w:r>
              <w:rPr>
                <w:sz w:val="15"/>
              </w:rPr>
              <w:t xml:space="preserve">Cahiers du </w:t>
            </w:r>
            <w:proofErr w:type="spellStart"/>
            <w:r>
              <w:rPr>
                <w:sz w:val="15"/>
              </w:rPr>
              <w:t>Développement</w:t>
            </w:r>
            <w:proofErr w:type="spellEnd"/>
            <w:r>
              <w:rPr>
                <w:sz w:val="15"/>
              </w:rPr>
              <w:t xml:space="preserve"> Social </w:t>
            </w:r>
            <w:proofErr w:type="spellStart"/>
            <w:r>
              <w:rPr>
                <w:sz w:val="15"/>
              </w:rPr>
              <w:t>Urbain</w:t>
            </w:r>
            <w:proofErr w:type="spellEnd"/>
            <w:r>
              <w:rPr>
                <w:sz w:val="15"/>
              </w:rPr>
              <w:t>. doi:10.3917/cdsu.072.0038.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Auvergne–Rhône-Alpes, France; socially isolated residents during COVID-19 restrictions.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 xml:space="preserve">Telephone contact, digital activities, </w:t>
            </w:r>
            <w:proofErr w:type="spellStart"/>
            <w:r>
              <w:rPr>
                <w:sz w:val="15"/>
              </w:rPr>
              <w:t>neighbourhood</w:t>
            </w:r>
            <w:proofErr w:type="spellEnd"/>
            <w:r>
              <w:rPr>
                <w:sz w:val="15"/>
              </w:rPr>
              <w:t xml:space="preserve"> media, home delivery, outdoor visits, and other adaptations used by social </w:t>
            </w:r>
            <w:proofErr w:type="spellStart"/>
            <w:r>
              <w:rPr>
                <w:sz w:val="15"/>
              </w:rPr>
              <w:t>centres</w:t>
            </w:r>
            <w:proofErr w:type="spellEnd"/>
            <w:r>
              <w:rPr>
                <w:sz w:val="15"/>
              </w:rPr>
              <w:t xml:space="preserve"> to maintain relationships.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Practice reflection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Highlighted continuity, repeated contact, digital exclusion, adaptation to disrupted contexts, and the need to rebuild relationships after interruption.</w:t>
            </w:r>
          </w:p>
        </w:tc>
      </w:tr>
      <w:tr w:rsidR="001D3FB4" w:rsidTr="00806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r w:rsidRPr="0056463A">
              <w:rPr>
                <w:sz w:val="15"/>
                <w:lang w:val="fr-FR"/>
              </w:rPr>
              <w:t>Dubois-</w:t>
            </w:r>
            <w:proofErr w:type="spellStart"/>
            <w:r w:rsidRPr="0056463A">
              <w:rPr>
                <w:sz w:val="15"/>
                <w:lang w:val="fr-FR"/>
              </w:rPr>
              <w:t>Orlandi</w:t>
            </w:r>
            <w:proofErr w:type="spellEnd"/>
            <w:r w:rsidRPr="0056463A">
              <w:rPr>
                <w:sz w:val="15"/>
                <w:lang w:val="fr-FR"/>
              </w:rPr>
              <w:t xml:space="preserve"> (2018). Jeunes invisibles des zones rurales : quand la prévention spécialisée reste un dispositif pertinent pour « aller vers » eux. </w:t>
            </w:r>
            <w:r>
              <w:rPr>
                <w:sz w:val="15"/>
              </w:rPr>
              <w:t xml:space="preserve">Vie </w:t>
            </w:r>
            <w:proofErr w:type="spellStart"/>
            <w:r>
              <w:rPr>
                <w:sz w:val="15"/>
              </w:rPr>
              <w:t>Sociale</w:t>
            </w:r>
            <w:proofErr w:type="spellEnd"/>
            <w:r>
              <w:rPr>
                <w:sz w:val="15"/>
              </w:rPr>
              <w:t>. doi:10.3917/vsoc.182.0085.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Rural Seine-et-Marne, France; socially invisible or isolated young people.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Repeated visits at different times and seasons, prior territorial diagnosis, identification of gathering places, and collaboration with local authorities and partners.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Practice-based analysis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 xml:space="preserve">Supported geographical context, repeated exposure, local diagnostic work, trusted field professionals, and </w:t>
            </w:r>
            <w:proofErr w:type="gramStart"/>
            <w:r>
              <w:rPr>
                <w:sz w:val="15"/>
              </w:rPr>
              <w:t>partnership-building</w:t>
            </w:r>
            <w:proofErr w:type="gramEnd"/>
            <w:r>
              <w:rPr>
                <w:sz w:val="15"/>
              </w:rPr>
              <w:t xml:space="preserve"> in dispersed rural settings.</w:t>
            </w:r>
          </w:p>
        </w:tc>
      </w:tr>
      <w:tr w:rsidR="001D3FB4" w:rsidTr="00806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proofErr w:type="spellStart"/>
            <w:r w:rsidRPr="0056463A">
              <w:rPr>
                <w:sz w:val="15"/>
                <w:lang w:val="fr-FR"/>
              </w:rPr>
              <w:t>Baillergeau</w:t>
            </w:r>
            <w:proofErr w:type="spellEnd"/>
            <w:r w:rsidRPr="0056463A">
              <w:rPr>
                <w:sz w:val="15"/>
                <w:lang w:val="fr-FR"/>
              </w:rPr>
              <w:t xml:space="preserve"> &amp; </w:t>
            </w:r>
            <w:proofErr w:type="spellStart"/>
            <w:r w:rsidRPr="0056463A">
              <w:rPr>
                <w:sz w:val="15"/>
                <w:lang w:val="fr-FR"/>
              </w:rPr>
              <w:t>Grymonprez</w:t>
            </w:r>
            <w:proofErr w:type="spellEnd"/>
            <w:r w:rsidRPr="0056463A">
              <w:rPr>
                <w:sz w:val="15"/>
                <w:lang w:val="fr-FR"/>
              </w:rPr>
              <w:t xml:space="preserve"> (2020). « Aller-vers » les situations de grande marginalité sociale, les effets sociaux d’un champ de pratiques sociales. </w:t>
            </w:r>
            <w:r>
              <w:rPr>
                <w:sz w:val="15"/>
              </w:rPr>
              <w:t xml:space="preserve">Revue </w:t>
            </w:r>
            <w:proofErr w:type="spellStart"/>
            <w:r>
              <w:rPr>
                <w:sz w:val="15"/>
              </w:rPr>
              <w:t>française</w:t>
            </w:r>
            <w:proofErr w:type="spellEnd"/>
            <w:r>
              <w:rPr>
                <w:sz w:val="15"/>
              </w:rPr>
              <w:t xml:space="preserve"> des affaires </w:t>
            </w:r>
            <w:proofErr w:type="spellStart"/>
            <w:r>
              <w:rPr>
                <w:sz w:val="15"/>
              </w:rPr>
              <w:t>sociales</w:t>
            </w:r>
            <w:proofErr w:type="spellEnd"/>
            <w:r>
              <w:rPr>
                <w:sz w:val="15"/>
              </w:rPr>
              <w:t>. doi:10.3917/rfas.202.0117.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Comparative examples from Flanders, Canada, and the Netherlands.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 xml:space="preserve">Outreach to people experiencing severe social </w:t>
            </w:r>
            <w:proofErr w:type="spellStart"/>
            <w:r>
              <w:rPr>
                <w:sz w:val="15"/>
              </w:rPr>
              <w:t>marginalisation</w:t>
            </w:r>
            <w:proofErr w:type="spellEnd"/>
            <w:r>
              <w:rPr>
                <w:sz w:val="15"/>
              </w:rPr>
              <w:t xml:space="preserve"> through proactive contact and relational work.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Conceptual comparative analysis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Supported outreach as a relational and context-dependent practice intended to reduce distance from institutions and reach people excluded from conventional services.</w:t>
            </w:r>
          </w:p>
        </w:tc>
      </w:tr>
      <w:tr w:rsidR="001D3FB4" w:rsidTr="00806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r w:rsidRPr="0056463A">
              <w:rPr>
                <w:sz w:val="15"/>
                <w:lang w:val="fr-FR"/>
              </w:rPr>
              <w:t>Chapelet (2018). « Aller vers</w:t>
            </w:r>
            <w:proofErr w:type="gramStart"/>
            <w:r w:rsidRPr="0056463A">
              <w:rPr>
                <w:sz w:val="15"/>
                <w:lang w:val="fr-FR"/>
              </w:rPr>
              <w:t xml:space="preserve"> »…</w:t>
            </w:r>
            <w:proofErr w:type="gramEnd"/>
            <w:r w:rsidRPr="0056463A">
              <w:rPr>
                <w:sz w:val="15"/>
                <w:lang w:val="fr-FR"/>
              </w:rPr>
              <w:t xml:space="preserve"> d’autres pratiques ? Valoriser et formaliser les engagements et pratiques des maraudes. </w:t>
            </w:r>
            <w:r>
              <w:rPr>
                <w:sz w:val="15"/>
              </w:rPr>
              <w:t>Rhizome. doi:10.3917/rhiz.068.0006.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France; street outreach and social support.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5"/>
              </w:rPr>
              <w:t>Maraudes</w:t>
            </w:r>
            <w:proofErr w:type="spellEnd"/>
            <w:r>
              <w:rPr>
                <w:sz w:val="15"/>
              </w:rPr>
              <w:t xml:space="preserve"> and </w:t>
            </w:r>
            <w:proofErr w:type="spellStart"/>
            <w:r>
              <w:rPr>
                <w:sz w:val="15"/>
              </w:rPr>
              <w:t>formalisation</w:t>
            </w:r>
            <w:proofErr w:type="spellEnd"/>
            <w:r>
              <w:rPr>
                <w:sz w:val="15"/>
              </w:rPr>
              <w:t xml:space="preserve"> of outreach practices, with attention to the preparation and training of professionals.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Practice reflection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Informed the role of staff preparation, professional posture, visibility, and proactive contact with people who do not attend institutional services.</w:t>
            </w:r>
          </w:p>
        </w:tc>
      </w:tr>
      <w:tr w:rsidR="001D3FB4" w:rsidTr="001D3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</w:pPr>
            <w:proofErr w:type="spellStart"/>
            <w:r w:rsidRPr="0056463A">
              <w:rPr>
                <w:sz w:val="15"/>
                <w:lang w:val="fr-FR"/>
              </w:rPr>
              <w:t>Marmilloud</w:t>
            </w:r>
            <w:proofErr w:type="spellEnd"/>
            <w:r w:rsidRPr="0056463A">
              <w:rPr>
                <w:sz w:val="15"/>
                <w:lang w:val="fr-FR"/>
              </w:rPr>
              <w:t xml:space="preserve"> (2018). « Aller vers » et revenir. Expérience d’une équipe mobile de soins palliatifs. </w:t>
            </w:r>
            <w:r>
              <w:rPr>
                <w:sz w:val="15"/>
              </w:rPr>
              <w:t>Rhizome. doi:10.3917/rhiz.068.0007.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1D3FB4" w:rsidRPr="0056463A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56463A">
              <w:rPr>
                <w:sz w:val="15"/>
                <w:lang w:val="fr-FR"/>
              </w:rPr>
              <w:t>France; mobile palliative-care support.</w:t>
            </w:r>
          </w:p>
        </w:tc>
        <w:tc>
          <w:tcPr>
            <w:tcW w:w="3180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sz w:val="15"/>
              </w:rPr>
              <w:t>Multiprofessional</w:t>
            </w:r>
            <w:proofErr w:type="spellEnd"/>
            <w:r>
              <w:rPr>
                <w:sz w:val="15"/>
              </w:rPr>
              <w:t xml:space="preserve"> mobile team involving medical or nursing, </w:t>
            </w:r>
            <w:proofErr w:type="gramStart"/>
            <w:r>
              <w:rPr>
                <w:sz w:val="15"/>
              </w:rPr>
              <w:t>social-work</w:t>
            </w:r>
            <w:proofErr w:type="gramEnd"/>
            <w:r>
              <w:rPr>
                <w:sz w:val="15"/>
              </w:rPr>
              <w:t>, and psychological expertise.</w:t>
            </w:r>
          </w:p>
        </w:tc>
        <w:tc>
          <w:tcPr>
            <w:tcW w:w="1782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Practice account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:rsidR="001D3FB4" w:rsidRDefault="001D3FB4" w:rsidP="001D3F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 xml:space="preserve">Supported </w:t>
            </w:r>
            <w:proofErr w:type="spellStart"/>
            <w:r>
              <w:rPr>
                <w:sz w:val="15"/>
              </w:rPr>
              <w:t>multiprofessional</w:t>
            </w:r>
            <w:proofErr w:type="spellEnd"/>
            <w:r>
              <w:rPr>
                <w:sz w:val="15"/>
              </w:rPr>
              <w:t xml:space="preserve"> delivery, continuity between outreach and existing services, and the importance of returning rather than treating contact as a one-off event.</w:t>
            </w:r>
          </w:p>
        </w:tc>
      </w:tr>
      <w:tr w:rsidR="001D3FB4" w:rsidTr="001D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nil"/>
              <w:bottom w:val="single" w:sz="4" w:space="0" w:color="auto"/>
            </w:tcBorders>
          </w:tcPr>
          <w:p w:rsidR="001D3FB4" w:rsidRDefault="001D3FB4" w:rsidP="001D3FB4">
            <w:pPr>
              <w:spacing w:after="0" w:line="240" w:lineRule="auto"/>
            </w:pPr>
            <w:proofErr w:type="spellStart"/>
            <w:r w:rsidRPr="0056463A">
              <w:rPr>
                <w:sz w:val="15"/>
                <w:lang w:val="fr-FR"/>
              </w:rPr>
              <w:t>Labeyrie</w:t>
            </w:r>
            <w:proofErr w:type="spellEnd"/>
            <w:r w:rsidRPr="0056463A">
              <w:rPr>
                <w:sz w:val="15"/>
                <w:lang w:val="fr-FR"/>
              </w:rPr>
              <w:t xml:space="preserve"> (2018). Une équipe mobile orientée rétablissement. </w:t>
            </w:r>
            <w:r>
              <w:rPr>
                <w:sz w:val="15"/>
              </w:rPr>
              <w:t>Rhizome. doi:10.3917/rhiz.068.0013.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France; homeless people with severe mental-health problems and exclusion from care.</w:t>
            </w:r>
          </w:p>
        </w:tc>
        <w:tc>
          <w:tcPr>
            <w:tcW w:w="3180" w:type="dxa"/>
            <w:tcBorders>
              <w:top w:val="nil"/>
              <w:bottom w:val="single" w:sz="4" w:space="0" w:color="auto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Street-based mobile psychiatric team offering low-threshold, recovery-oriented and continuous support towards health and social services.</w:t>
            </w:r>
          </w:p>
        </w:tc>
        <w:tc>
          <w:tcPr>
            <w:tcW w:w="1782" w:type="dxa"/>
            <w:tcBorders>
              <w:top w:val="nil"/>
              <w:bottom w:val="single" w:sz="4" w:space="0" w:color="auto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Practice account</w:t>
            </w:r>
          </w:p>
        </w:tc>
        <w:tc>
          <w:tcPr>
            <w:tcW w:w="4114" w:type="dxa"/>
            <w:tcBorders>
              <w:top w:val="nil"/>
              <w:bottom w:val="single" w:sz="4" w:space="0" w:color="auto"/>
            </w:tcBorders>
          </w:tcPr>
          <w:p w:rsidR="001D3FB4" w:rsidRDefault="001D3FB4" w:rsidP="001D3F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 xml:space="preserve">Supported low-threshold access, continuity, psychosocial </w:t>
            </w:r>
            <w:proofErr w:type="gramStart"/>
            <w:r>
              <w:rPr>
                <w:sz w:val="15"/>
              </w:rPr>
              <w:t>capacity-building</w:t>
            </w:r>
            <w:proofErr w:type="gramEnd"/>
            <w:r>
              <w:rPr>
                <w:sz w:val="15"/>
              </w:rPr>
              <w:t>, and navigation towards services for populations excluded from conventional care.</w:t>
            </w:r>
          </w:p>
        </w:tc>
      </w:tr>
    </w:tbl>
    <w:p w:rsidR="0076246C" w:rsidRDefault="0076246C"/>
    <w:sectPr w:rsidR="0076246C" w:rsidSect="0056463A">
      <w:pgSz w:w="15840" w:h="12240" w:orient="landscape"/>
      <w:pgMar w:top="567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55A2"/>
    <w:rsid w:val="0015074B"/>
    <w:rsid w:val="001D3FB4"/>
    <w:rsid w:val="00267667"/>
    <w:rsid w:val="0029639D"/>
    <w:rsid w:val="00326F90"/>
    <w:rsid w:val="003718D3"/>
    <w:rsid w:val="0056463A"/>
    <w:rsid w:val="0076246C"/>
    <w:rsid w:val="00AA1D8D"/>
    <w:rsid w:val="00B47730"/>
    <w:rsid w:val="00C67E6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D4D3A"/>
  <w14:defaultImageDpi w14:val="300"/>
  <w15:docId w15:val="{63F615A1-7A6F-4CD4-A61F-6E21E965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eastAsia="Calibri" w:hAnsi="Calibri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75F91"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75F91"/>
      <w:sz w:val="2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564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463A"/>
    <w:rPr>
      <w:rFonts w:ascii="Segoe UI" w:eastAsia="Calibri" w:hAnsi="Segoe UI" w:cs="Segoe UI"/>
      <w:sz w:val="18"/>
      <w:szCs w:val="18"/>
    </w:rPr>
  </w:style>
  <w:style w:type="table" w:styleId="Tableausimple2">
    <w:name w:val="Plain Table 2"/>
    <w:basedOn w:val="TableauNormal"/>
    <w:uiPriority w:val="99"/>
    <w:rsid w:val="005646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1D3FB4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1D3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2088EA-A533-4327-B7AC-19A680685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2234</Words>
  <Characters>12291</Characters>
  <Application>Microsoft Office Word</Application>
  <DocSecurity>0</DocSecurity>
  <Lines>102</Lines>
  <Paragraphs>28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THEVENET Vincent</cp:lastModifiedBy>
  <cp:revision>2</cp:revision>
  <dcterms:created xsi:type="dcterms:W3CDTF">2026-07-31T12:56:00Z</dcterms:created>
  <dcterms:modified xsi:type="dcterms:W3CDTF">2026-07-31T12:56:00Z</dcterms:modified>
  <cp:category/>
</cp:coreProperties>
</file>