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120" w:line="264" w:lineRule="auto"/>
        <w:jc w:val="center"/>
      </w:pPr>
      <w:r>
        <w:rPr>
          <w:rFonts w:ascii="Times New Roman" w:hAnsi="Times New Roman" w:eastAsia="Times New Roman"/>
          <w:b/>
          <w:i w:val="0"/>
          <w:sz w:val="30"/>
        </w:rPr>
        <w:t>Supplementary Materials</w:t>
      </w:r>
    </w:p>
    <w:p>
      <w:pPr>
        <w:spacing w:before="0" w:after="60" w:line="276" w:lineRule="auto"/>
        <w:jc w:val="center"/>
      </w:pPr>
      <w:r>
        <w:rPr>
          <w:rFonts w:ascii="Times New Roman" w:hAnsi="Times New Roman" w:eastAsia="Times New Roman"/>
          <w:b w:val="0"/>
          <w:i w:val="0"/>
          <w:sz w:val="21"/>
        </w:rPr>
        <w:t>A locked 468-gene detoxification panel in Alzheimer's disease brain, liver, and blood: 141 high-confidence cerebral associations including lower CYP46A1 transcript abundance, and a 12-sample hepatic CYP7A1 signal</w:t>
      </w:r>
    </w:p>
    <w:p>
      <w:pPr>
        <w:spacing w:before="0" w:after="60" w:line="276" w:lineRule="auto"/>
        <w:jc w:val="center"/>
      </w:pPr>
      <w:r>
        <w:rPr>
          <w:rFonts w:ascii="Times New Roman" w:hAnsi="Times New Roman" w:eastAsia="Times New Roman"/>
          <w:b w:val="0"/>
          <w:i w:val="0"/>
          <w:sz w:val="21"/>
        </w:rPr>
        <w:t>Mark E. McCaulley, M.D.  ·  Sirius Neuroscience, LLC, Steamboat Springs, Colorado 80487, USA</w:t>
      </w:r>
    </w:p>
    <w:p>
      <w:pPr>
        <w:spacing w:before="80" w:after="240" w:line="240" w:lineRule="auto"/>
      </w:pPr>
      <w:r>
        <w:rPr>
          <w:rFonts w:ascii="Times New Roman" w:hAnsi="Times New Roman" w:eastAsia="Times New Roman"/>
          <w:b w:val="0"/>
          <w:i/>
          <w:sz w:val="19"/>
        </w:rPr>
        <w:t>Supplementary methods detail, secondary microarray contrasts, and meta-analysis robustness checks. Reference numbering follows the main manuscript. Supplementary Notes S1–S4 and Tables S1–S3 are listed at the end of this file.</w:t>
      </w:r>
    </w:p>
    <w:p>
      <w:pPr>
        <w:spacing w:before="80" w:after="240" w:line="240" w:lineRule="auto"/>
      </w:pPr>
      <w:r>
        <w:rPr>
          <w:rFonts w:ascii="Times New Roman" w:hAnsi="Times New Roman" w:eastAsia="Times New Roman"/>
          <w:b w:val="0"/>
          <w:i/>
          <w:sz w:val="19"/>
        </w:rPr>
        <w:t>Methods detail, secondary microarray contrasts, and meta-analysis robustness checks for this preprint. References in this supplement are numbered as in the main text. The locked 468-gene panel and the per-gene meta-analysis results are provided as Tables S2 and S3 (supplementary workbooks) and at https://doi.org/10.5281/zenodo.22178094.</w:t>
      </w:r>
    </w:p>
    <w:p>
      <w:pPr>
        <w:spacing w:before="240" w:after="80" w:line="276" w:lineRule="auto"/>
      </w:pPr>
      <w:r>
        <w:rPr>
          <w:rFonts w:ascii="Times New Roman" w:hAnsi="Times New Roman" w:eastAsia="Times New Roman"/>
          <w:b/>
          <w:i/>
          <w:sz w:val="22"/>
        </w:rPr>
        <w:t>Gene panel curation and selection criteria</w:t>
      </w:r>
    </w:p>
    <w:p>
      <w:pPr>
        <w:spacing w:before="0" w:after="160" w:line="276" w:lineRule="auto"/>
        <w:jc w:val="both"/>
      </w:pPr>
      <w:r>
        <w:rPr>
          <w:rFonts w:ascii="Times New Roman" w:hAnsi="Times New Roman" w:eastAsia="Times New Roman"/>
          <w:b w:val="0"/>
          <w:i w:val="0"/>
          <w:sz w:val="22"/>
        </w:rPr>
        <w:t>The detoxification panel used in this analysis is a curated, pathway-anchored gene set defined a priori on mechanistic and pharmacogenomic grounds, not by data-driven feature selection within any single dataset. Its evolution proceeded through four documented steps:</w:t>
      </w:r>
    </w:p>
    <w:p>
      <w:pPr>
        <w:spacing w:before="0" w:after="160" w:line="276" w:lineRule="auto"/>
        <w:jc w:val="both"/>
      </w:pPr>
      <w:r>
        <w:rPr>
          <w:rFonts w:ascii="Times New Roman" w:hAnsi="Times New Roman" w:eastAsia="Times New Roman"/>
          <w:b w:val="0"/>
          <w:i w:val="0"/>
          <w:sz w:val="22"/>
        </w:rPr>
        <w:t>The detoxification panel (468-gene). Analyses use a 468-gene detoxification panel representing the cell’s xenobiotic-detoxification, antioxidant-defense, metal-homeostasis, and blood-brain-barrier machinery. The panel was assembled by complete functional-family enumeration (not by data-driven feature selection): all human cytochrome P450s, glutathione S-transferases, UDP-glucuronosyltransferases, sulfotransferases and related conjugation enzymes; the glutathione, thioredoxin, peroxiredoxin, superoxide-dismutase, catalase and glutathione-peroxidase antioxidant systems and the KEAP1–NFE2L2 (NRF2) response axis; metallothioneins and metal/iron-homeostasis genes; and the blood-brain-barrier tight-junction, adhesion and transporter module. It originates in the detoxification panel of the foundation study (4) and was reconciled with the XenoReg gene set of Santos et al. (64) (519 genes spanning detoxification and physiological-barrier classes) as conceptual basis.</w:t>
      </w:r>
    </w:p>
    <w:p>
      <w:pPr>
        <w:spacing w:before="0" w:after="160" w:line="276" w:lineRule="auto"/>
        <w:jc w:val="both"/>
      </w:pPr>
      <w:r>
        <w:rPr>
          <w:rFonts w:ascii="Times New Roman" w:hAnsi="Times New Roman" w:eastAsia="Times New Roman"/>
          <w:b w:val="0"/>
          <w:i w:val="0"/>
          <w:sz w:val="22"/>
        </w:rPr>
        <w:t>Pre-specified, outcome-blind filters. Pseudogenes and ambiguous symbols were removed, and within each dataset only genes passing a detection threshold (group-blind expression) were analyzed; results are reported over both the full panel and the measurable genes. Genes were never added or removed on the basis of case-versus-control association. The panel was defined by complete functional-family enumeration rather than grown additively.</w:t>
      </w:r>
    </w:p>
    <w:p>
      <w:pPr>
        <w:spacing w:before="0" w:after="160" w:line="276" w:lineRule="auto"/>
        <w:jc w:val="both"/>
      </w:pPr>
      <w:r>
        <w:rPr>
          <w:rFonts w:ascii="Times New Roman" w:hAnsi="Times New Roman" w:eastAsia="Times New Roman"/>
          <w:b w:val="0"/>
          <w:i w:val="0"/>
          <w:sz w:val="22"/>
        </w:rPr>
        <w:t>Additional layers. A 40-gene SENSITIVITY layer (proteostasis, mitochondrial-respiratory, and cGAS–STING innate-immune genes) is reported separately as a broader cellular-defense robustness analysis. A 12-gene placental/sex-steroid module is a member set of the locked panel that is not used for Alzheimer's disease inference and is not part of the AD CORE analysis.</w:t>
      </w:r>
    </w:p>
    <w:p>
      <w:pPr>
        <w:spacing w:before="0" w:after="160" w:line="276" w:lineRule="auto"/>
        <w:jc w:val="both"/>
      </w:pPr>
      <w:r>
        <w:rPr>
          <w:rFonts w:ascii="Times New Roman" w:hAnsi="Times New Roman" w:eastAsia="Times New Roman"/>
          <w:b w:val="0"/>
          <w:i w:val="0"/>
          <w:sz w:val="22"/>
        </w:rPr>
        <w:t>Tiered MAF/OR variant framework (for GVI): Tier 1 — common variants (MAF ≥ 1% in any major reference population); Tier 2 — rare but actionable variants (MAF &lt; 1% meeting an FDA/ACMG–ClinGen actionability standard or robust effect size: OR ≥ 2 or protective OR ≤ 0.7). This framework avoids Eurocentric ascertainment bias by capturing frequency in any major population.</w:t>
      </w:r>
    </w:p>
    <w:p>
      <w:pPr>
        <w:spacing w:before="240" w:after="80" w:line="276" w:lineRule="auto"/>
      </w:pPr>
      <w:r>
        <w:rPr>
          <w:rFonts w:ascii="Times New Roman" w:hAnsi="Times New Roman" w:eastAsia="Times New Roman"/>
          <w:b/>
          <w:i/>
          <w:sz w:val="22"/>
        </w:rPr>
        <w:t>Transcriptomic datasets and platform stratification</w:t>
      </w:r>
    </w:p>
    <w:p>
      <w:pPr>
        <w:spacing w:before="80" w:after="240" w:line="240" w:lineRule="auto"/>
      </w:pPr>
      <w:r>
        <w:rPr>
          <w:rFonts w:ascii="Times New Roman" w:hAnsi="Times New Roman" w:eastAsia="Times New Roman"/>
          <w:b w:val="0"/>
          <w:i/>
          <w:sz w:val="19"/>
        </w:rPr>
        <w:t>Scope note. The RNA-seq-primary tiering described in this subsection governs the descriptive per-dataset DDI and TDM values only. It does not govern the primary inference. In the locked six-cohort meta-analysis, four of the six cohorts are microarray and all six are primary; platform there is treated as a pre-specified source of between-cohort heterogeneity rather than as a tier.</w:t>
      </w:r>
    </w:p>
    <w:p>
      <w:pPr>
        <w:spacing w:before="0" w:after="160" w:line="276" w:lineRule="auto"/>
        <w:jc w:val="both"/>
      </w:pPr>
      <w:r>
        <w:rPr>
          <w:rFonts w:ascii="Times New Roman" w:hAnsi="Times New Roman" w:eastAsia="Times New Roman"/>
          <w:b w:val="0"/>
          <w:i w:val="0"/>
          <w:sz w:val="22"/>
        </w:rPr>
        <w:t>I assembled publicly available transcriptomic datasets from the Gene Expression Omnibus (GEO) and stratified them into two tiers defined a priori by measurement platform, independent of any expression result. Primary analyses were restricted to RNA-sequencing (RNA-seq) datasets; microarray datasets were analyzed separately and reported as convergent cross-platform validation. This stratification was specified before differential-expression testing and applied uniformly across all datasets.</w:t>
      </w:r>
    </w:p>
    <w:p>
      <w:pPr>
        <w:spacing w:before="0" w:after="160" w:line="276" w:lineRule="auto"/>
        <w:jc w:val="both"/>
      </w:pPr>
      <w:r>
        <w:rPr>
          <w:rFonts w:ascii="Times New Roman" w:hAnsi="Times New Roman" w:eastAsia="Times New Roman"/>
          <w:b w:val="0"/>
          <w:i w:val="0"/>
          <w:sz w:val="22"/>
        </w:rPr>
        <w:t>I adopted the RNA-seq–primary design for four reasons. First, RNA-seq provides a substantially wider dynamic range than hybridization-based arrays, avoiding signal saturation and background-floor compression. Second, RNA-seq offers transcriptome-wide coverage essential for a 468-gene detoxification panel: several panel members—notably MB21D1 (cGAS) and TMEM173 (STING)—lack reliable probes on older array designs. Third, restricting primary analyses to a single platform removes cross-platform normalization as a confound. Fourth, this design maintains consistency with my prior RNA-seq–primary evidentiary basis.</w:t>
      </w:r>
    </w:p>
    <w:p>
      <w:pPr>
        <w:spacing w:before="0" w:after="160" w:line="276" w:lineRule="auto"/>
        <w:jc w:val="both"/>
      </w:pPr>
      <w:r>
        <w:rPr>
          <w:rFonts w:ascii="Times New Roman" w:hAnsi="Times New Roman" w:eastAsia="Times New Roman"/>
          <w:b w:val="0"/>
          <w:i w:val="0"/>
          <w:sz w:val="22"/>
        </w:rPr>
        <w:t>RNA-seq datasets (primary tier, 13 comparisons): - PSEN1 mutation models (GSE211993): iPSC-derived neurons carrying L150P or A79V mutations vs. isogenic controls (11). Two comparisons. - Aβ-exposed microglia (GSE227221): Human microglia exposed to amyloid-beta at 4 h, 24 h, and 96 h (10). Three comparisons. - Trisomy 21 whole blood (GSE190125): Whole-blood RNA-seq, Trisomy 21 vs. euploid (12). One comparison. - Hippocampus (GSE173955): Combined AD vs. control, female AD vs. control, and male AD vs. control (14). Three comparisons. - Lateral temporal cortex (GSE159699): AD vs. young and AD vs. old (13). Two comparisons. Aging-specificity control (old vs. young) also analyzed. - Hippocampus (GSE153873): AD vs. young and AD vs. old (13). Two comparisons. Aging-specificity control (old vs. young) also analyzed.</w:t>
      </w:r>
    </w:p>
    <w:p>
      <w:pPr>
        <w:spacing w:before="0" w:after="160" w:line="276" w:lineRule="auto"/>
        <w:jc w:val="both"/>
      </w:pPr>
      <w:r>
        <w:rPr>
          <w:rFonts w:ascii="Times New Roman" w:hAnsi="Times New Roman" w:eastAsia="Times New Roman"/>
          <w:b w:val="0"/>
          <w:i w:val="0"/>
          <w:sz w:val="22"/>
        </w:rPr>
        <w:t>Microarray datasets (secondary/convergent validation tier): - GSE33000 (prefrontal cortex, n = 624) (16); GSE132903 (middle temporal gyrus) (17); GSE63060 (peripheral blood, n = 329; AddNeuroMed consortium) (32).</w:t>
      </w:r>
    </w:p>
    <w:p>
      <w:pPr>
        <w:spacing w:before="0" w:after="160" w:line="276" w:lineRule="auto"/>
        <w:jc w:val="both"/>
      </w:pPr>
      <w:r>
        <w:rPr>
          <w:rFonts w:ascii="Times New Roman" w:hAnsi="Times New Roman" w:eastAsia="Times New Roman"/>
          <w:b w:val="0"/>
          <w:i w:val="0"/>
          <w:sz w:val="22"/>
        </w:rPr>
        <w:t>All datasets were re-analyzed against the full 468-gene detoxification panel. Differential expression was computed using GEO2R (limma for microarray; GEO2R RNA-seq workflow for sequencing series) with Benjamini-Hochberg–adjusted p-values. A gene was counted as measurable when represented in the dataset annotation and dysregulated when panel-restricted Benjamini–Hochberg adjusted p &lt; 0.05 and |log₂ fold-change| ≥ 0.5. For each dataset I report: significant gene count, measurable denominator, DDI_panel (DEGs/468), DDI_measurable (DEGs/measurable), directional split (up/down), and TDM (Σ|log₂FC| across significant genes).</w:t>
      </w:r>
    </w:p>
    <w:p>
      <w:pPr>
        <w:spacing w:before="240" w:after="80" w:line="276" w:lineRule="auto"/>
      </w:pPr>
      <w:r>
        <w:rPr>
          <w:rFonts w:ascii="Times New Roman" w:hAnsi="Times New Roman" w:eastAsia="Times New Roman"/>
          <w:b/>
          <w:i/>
          <w:sz w:val="22"/>
        </w:rPr>
        <w:t>Convergent cross-platform validation</w:t>
      </w:r>
    </w:p>
    <w:p>
      <w:pPr>
        <w:spacing w:before="0" w:after="160" w:line="276" w:lineRule="auto"/>
        <w:jc w:val="both"/>
      </w:pPr>
      <w:r>
        <w:rPr>
          <w:rFonts w:ascii="Times New Roman" w:hAnsi="Times New Roman" w:eastAsia="Times New Roman"/>
          <w:b w:val="0"/>
          <w:i w:val="0"/>
          <w:sz w:val="22"/>
        </w:rPr>
        <w:t>Microarray datasets were analyzed identically to RNA-seq but are reported in a separate convergent-validation table rather than pooled with RNA-seq results. Combining platforms into any single index would confound biological signal with platform sensitivity. Reporting the tiers separately allows agreement across independent measurement technologies—each with distinct error structures—to serve as orthogonal confirmation of RNA-seq findings. One microarray series (GSE108000) was excluded because its GEO2R export lacked platform gene-symbol annotation and could not be mapped to the panel.</w:t>
      </w:r>
    </w:p>
    <w:p>
      <w:pPr>
        <w:spacing w:before="240" w:after="80" w:line="276" w:lineRule="auto"/>
      </w:pPr>
      <w:r>
        <w:rPr>
          <w:rFonts w:ascii="Times New Roman" w:hAnsi="Times New Roman" w:eastAsia="Times New Roman"/>
          <w:b/>
          <w:i/>
          <w:sz w:val="22"/>
        </w:rPr>
        <w:t>Detoxification Dysregulation Index</w:t>
      </w:r>
    </w:p>
    <w:p>
      <w:pPr>
        <w:spacing w:before="80" w:after="160" w:line="276" w:lineRule="auto"/>
        <w:jc w:val="center"/>
      </w:pPr>
      <w:r>
        <w:rPr>
          <w:rFonts w:ascii="Times New Roman" w:hAnsi="Times New Roman" w:eastAsia="Times New Roman"/>
          <w:b w:val="0"/>
          <w:i/>
          <w:sz w:val="22"/>
        </w:rPr>
        <w:t>DDI_panel = (number of differentially expressed panel genes / 468) × 100</w:t>
      </w:r>
    </w:p>
    <w:p>
      <w:pPr>
        <w:spacing w:before="0" w:after="160" w:line="276" w:lineRule="auto"/>
        <w:jc w:val="both"/>
      </w:pPr>
      <w:r>
        <w:rPr>
          <w:rFonts w:ascii="Times New Roman" w:hAnsi="Times New Roman" w:eastAsia="Times New Roman"/>
          <w:b w:val="0"/>
          <w:i w:val="0"/>
          <w:sz w:val="22"/>
        </w:rPr>
        <w:t>where DEGs were defined as genes meeting adjusted p &lt; 0.05 and |log₂ fold-change| ≥ 0.5. This direction-agnostic approach treats both upregulation and downregulation as evidence of pathway perturbation. DDI_measurable = DEGs/measurable genes × 100. Provisional classification thresholds (Minimal &lt; 7%, Moderate 7–15%, Substantial 15–30%, Severe &gt; 30%) are empirically derived and require prospective validation.</w:t>
      </w:r>
    </w:p>
    <w:p>
      <w:pPr>
        <w:spacing w:before="0" w:after="160" w:line="276" w:lineRule="auto"/>
        <w:jc w:val="both"/>
      </w:pPr>
      <w:r>
        <w:rPr>
          <w:rFonts w:ascii="Times New Roman" w:hAnsi="Times New Roman" w:eastAsia="Times New Roman"/>
          <w:b w:val="0"/>
          <w:i w:val="0"/>
          <w:sz w:val="22"/>
        </w:rPr>
        <w:t>Total Dysregulation Magnitude (TDM) was calculated as the sum of |log₂FC| across all significant DEGs to capture effect size independent of gene count.</w:t>
      </w:r>
    </w:p>
    <w:p>
      <w:pPr>
        <w:spacing w:before="240" w:after="80" w:line="276" w:lineRule="auto"/>
      </w:pPr>
      <w:r>
        <w:rPr>
          <w:rFonts w:ascii="Times New Roman" w:hAnsi="Times New Roman" w:eastAsia="Times New Roman"/>
          <w:b/>
          <w:i/>
          <w:sz w:val="22"/>
        </w:rPr>
        <w:t>Genetic Vulnerability Index and IDRS</w:t>
      </w:r>
    </w:p>
    <w:p>
      <w:pPr>
        <w:spacing w:before="0" w:after="160" w:line="276" w:lineRule="auto"/>
        <w:jc w:val="both"/>
      </w:pPr>
      <w:r>
        <w:rPr>
          <w:rFonts w:ascii="Times New Roman" w:hAnsi="Times New Roman" w:eastAsia="Times New Roman"/>
          <w:b w:val="0"/>
          <w:i w:val="0"/>
          <w:sz w:val="22"/>
        </w:rPr>
        <w:t>The GVI is computed as GVI = Σ ln(OR_i) for all deleterious variants carried, where OR_i is the published odds ratio. For protective alleles (OR &lt; 1), ln(OR_i) is negative. The cumulative odds ratio is e^GVI. Monte Carlo simulation (n = 10,000; European ancestry frequencies; Hardy-Weinberg equilibrium) used midpoint ORs as described in the Results. The IDRS is the raw additive combination IDRS = GVI + DDI/10 (k = 10). A z-score composite of GVI and DDI is a different construct and is not used in this preprint.</w:t>
      </w:r>
    </w:p>
    <w:p>
      <w:pPr>
        <w:spacing w:before="240" w:after="80" w:line="276" w:lineRule="auto"/>
      </w:pPr>
      <w:r>
        <w:rPr>
          <w:rFonts w:ascii="Times New Roman" w:hAnsi="Times New Roman" w:eastAsia="Times New Roman"/>
          <w:b/>
          <w:i/>
          <w:sz w:val="22"/>
        </w:rPr>
        <w:t>Statistical analysis</w:t>
      </w:r>
    </w:p>
    <w:p>
      <w:pPr>
        <w:spacing w:before="0" w:after="160" w:line="276" w:lineRule="auto"/>
        <w:jc w:val="both"/>
      </w:pPr>
      <w:r>
        <w:rPr>
          <w:rFonts w:ascii="Times New Roman" w:hAnsi="Times New Roman" w:eastAsia="Times New Roman"/>
          <w:b w:val="0"/>
          <w:i w:val="0"/>
          <w:sz w:val="22"/>
        </w:rPr>
        <w:t>Differential expression analysis was performed using GEO2R implementing limma with empirical Bayes moderation (65). Genes were considered differentially expressed at Benjamini-Hochberg adjusted p &lt; 0.05 (66). An effect-size floor of |log₂ fold-change| ≥ 0.5 was applied. Population simulation used Monte Carlo sampling (n = 10,000). Cross-dataset comparisons were performed within each dataset to mitigate batch effects.</w:t>
      </w:r>
    </w:p>
    <w:p>
      <w:pPr>
        <w:spacing w:before="240" w:after="80" w:line="276" w:lineRule="auto"/>
      </w:pPr>
      <w:r>
        <w:rPr>
          <w:rFonts w:ascii="Times New Roman" w:hAnsi="Times New Roman" w:eastAsia="Times New Roman"/>
          <w:b/>
          <w:i/>
          <w:sz w:val="22"/>
        </w:rPr>
        <w:t>Secondary microarray contrasts</w:t>
      </w:r>
    </w:p>
    <w:p>
      <w:pPr>
        <w:spacing w:before="0" w:after="160" w:line="276" w:lineRule="auto"/>
        <w:jc w:val="both"/>
      </w:pPr>
      <w:r>
        <w:rPr>
          <w:rFonts w:ascii="Times New Roman" w:hAnsi="Times New Roman" w:eastAsia="Times New Roman"/>
          <w:b w:val="0"/>
          <w:i w:val="0"/>
          <w:sz w:val="22"/>
        </w:rPr>
        <w:t>Three microarray datasets — the GSE33000 and GSE132903 brain arrays and the peripheral-blood array GSE63060 — were additionally analyzed per-dataset as secondary cross-platform contrasts (Table S1). These per-dataset contrasts are descriptive and are not additional primary cohorts; the locked primary set remains the six adult-brain accessions listed in Materials and Methods. Under the locked DDI definition the large prefrontal cortex dataset GSE33000 (n = 624) gave DDI_panel = 67.5% (316 of 468), reflecting the combination of high statistical power at n = 624 with hybridization-array signal characteristics; the middle temporal gyrus dataset GSE132903 gave 42.7% (200 of 468), and the peripheral blood dataset GSE63060 (AddNeuroMed, n = 329) gave 11.1% (52 of 468). TUFM was excluded from the GSE63060 analysis for a probe-mapping issue.</w:t>
      </w:r>
    </w:p>
    <w:p>
      <w:pPr>
        <w:spacing w:before="80" w:after="240" w:line="240" w:lineRule="auto"/>
      </w:pPr>
      <w:r>
        <w:rPr>
          <w:rFonts w:ascii="Times New Roman" w:hAnsi="Times New Roman" w:eastAsia="Times New Roman"/>
          <w:b w:val="0"/>
          <w:i/>
          <w:sz w:val="19"/>
        </w:rPr>
        <w:t>Denominator note. Earlier drafts reported these three contrasts as 81.2%, 51.4%, and 13.4%. Those figures use the same significant-gene counts (316, 200, 52) divided by 389 rather than by the locked panel size of 468, and are superseded. The locked DDI definition divides by 468 for DDI_panel and by the per-dataset measurable count for DDI_measurable; both are given in Table S1.</w:t>
      </w:r>
    </w:p>
    <w:tbl>
      <w:tblPr>
        <w:tblStyle w:val="TableGrid"/>
        <w:tblW w:type="auto" w:w="0"/>
        <w:jc w:val="center"/>
        <w:tblLayout w:type="autofit"/>
        <w:tblLook w:firstColumn="1" w:firstRow="1" w:lastColumn="0" w:lastRow="0" w:noHBand="0" w:noVBand="1" w:val="04A0"/>
      </w:tblPr>
      <w:tblGrid>
        <w:gridCol w:w="1560"/>
        <w:gridCol w:w="1560"/>
        <w:gridCol w:w="1560"/>
        <w:gridCol w:w="1560"/>
        <w:gridCol w:w="1560"/>
        <w:gridCol w:w="1560"/>
      </w:tblGrid>
      <w:tr>
        <w:trPr>
          <w:tblHeader/>
        </w:trPr>
        <w:tc>
          <w:tcPr>
            <w:tcW w:type="dxa" w:w="1560"/>
          </w:tcPr>
          <w:p>
            <w:pPr>
              <w:spacing w:before="20" w:after="20" w:line="240" w:lineRule="auto"/>
            </w:pPr>
            <w:r/>
            <w:r>
              <w:rPr>
                <w:rFonts w:ascii="Times New Roman" w:hAnsi="Times New Roman" w:eastAsia="Times New Roman"/>
                <w:b/>
                <w:i w:val="0"/>
                <w:sz w:val="17"/>
              </w:rPr>
              <w:t>Dataset</w:t>
            </w:r>
          </w:p>
        </w:tc>
        <w:tc>
          <w:tcPr>
            <w:tcW w:type="dxa" w:w="1560"/>
          </w:tcPr>
          <w:p>
            <w:pPr>
              <w:spacing w:before="20" w:after="20" w:line="240" w:lineRule="auto"/>
            </w:pPr>
            <w:r/>
            <w:r>
              <w:rPr>
                <w:rFonts w:ascii="Times New Roman" w:hAnsi="Times New Roman" w:eastAsia="Times New Roman"/>
                <w:b/>
                <w:i w:val="0"/>
                <w:sz w:val="17"/>
              </w:rPr>
              <w:t>Tissue/Comparison</w:t>
            </w:r>
          </w:p>
        </w:tc>
        <w:tc>
          <w:tcPr>
            <w:tcW w:type="dxa" w:w="1560"/>
          </w:tcPr>
          <w:p>
            <w:pPr>
              <w:spacing w:before="20" w:after="20" w:line="240" w:lineRule="auto"/>
            </w:pPr>
            <w:r/>
            <w:r>
              <w:rPr>
                <w:rFonts w:ascii="Times New Roman" w:hAnsi="Times New Roman" w:eastAsia="Times New Roman"/>
                <w:b/>
                <w:i w:val="0"/>
                <w:sz w:val="17"/>
              </w:rPr>
              <w:t>DEGs</w:t>
            </w:r>
          </w:p>
        </w:tc>
        <w:tc>
          <w:tcPr>
            <w:tcW w:type="dxa" w:w="1560"/>
          </w:tcPr>
          <w:p>
            <w:pPr>
              <w:spacing w:before="20" w:after="20" w:line="240" w:lineRule="auto"/>
            </w:pPr>
            <w:r/>
            <w:r>
              <w:rPr>
                <w:rFonts w:ascii="Times New Roman" w:hAnsi="Times New Roman" w:eastAsia="Times New Roman"/>
                <w:b/>
                <w:i w:val="0"/>
                <w:sz w:val="17"/>
              </w:rPr>
              <w:t>Meas.</w:t>
            </w:r>
          </w:p>
        </w:tc>
        <w:tc>
          <w:tcPr>
            <w:tcW w:type="dxa" w:w="1560"/>
          </w:tcPr>
          <w:p>
            <w:pPr>
              <w:spacing w:before="20" w:after="20" w:line="240" w:lineRule="auto"/>
            </w:pPr>
            <w:r/>
            <w:r>
              <w:rPr>
                <w:rFonts w:ascii="Times New Roman" w:hAnsi="Times New Roman" w:eastAsia="Times New Roman"/>
                <w:b/>
                <w:i w:val="0"/>
                <w:sz w:val="17"/>
              </w:rPr>
              <w:t>DDI_panel</w:t>
            </w:r>
          </w:p>
        </w:tc>
        <w:tc>
          <w:tcPr>
            <w:tcW w:type="dxa" w:w="1560"/>
          </w:tcPr>
          <w:p>
            <w:pPr>
              <w:spacing w:before="20" w:after="20" w:line="240" w:lineRule="auto"/>
            </w:pPr>
            <w:r/>
            <w:r>
              <w:rPr>
                <w:rFonts w:ascii="Times New Roman" w:hAnsi="Times New Roman" w:eastAsia="Times New Roman"/>
                <w:b/>
                <w:i w:val="0"/>
                <w:sz w:val="17"/>
              </w:rPr>
              <w:t>DDI_meas</w:t>
            </w:r>
          </w:p>
        </w:tc>
      </w:tr>
      <w:tr>
        <w:tc>
          <w:tcPr>
            <w:tcW w:type="dxa" w:w="1560"/>
          </w:tcPr>
          <w:p>
            <w:pPr>
              <w:spacing w:before="20" w:after="20" w:line="240" w:lineRule="auto"/>
            </w:pPr>
            <w:r/>
            <w:r>
              <w:rPr>
                <w:rFonts w:ascii="Times New Roman" w:hAnsi="Times New Roman" w:eastAsia="Times New Roman"/>
                <w:b w:val="0"/>
                <w:i w:val="0"/>
                <w:sz w:val="17"/>
              </w:rPr>
              <w:t>GSE33000</w:t>
            </w:r>
          </w:p>
        </w:tc>
        <w:tc>
          <w:tcPr>
            <w:tcW w:type="dxa" w:w="1560"/>
          </w:tcPr>
          <w:p>
            <w:pPr>
              <w:spacing w:before="20" w:after="20" w:line="240" w:lineRule="auto"/>
            </w:pPr>
            <w:r/>
            <w:r>
              <w:rPr>
                <w:rFonts w:ascii="Times New Roman" w:hAnsi="Times New Roman" w:eastAsia="Times New Roman"/>
                <w:b w:val="0"/>
                <w:i w:val="0"/>
                <w:sz w:val="17"/>
              </w:rPr>
              <w:t>Prefrontal cortex (n = 624)</w:t>
            </w:r>
          </w:p>
        </w:tc>
        <w:tc>
          <w:tcPr>
            <w:tcW w:type="dxa" w:w="1560"/>
          </w:tcPr>
          <w:p>
            <w:pPr>
              <w:spacing w:before="20" w:after="20" w:line="240" w:lineRule="auto"/>
            </w:pPr>
            <w:r/>
            <w:r>
              <w:rPr>
                <w:rFonts w:ascii="Times New Roman" w:hAnsi="Times New Roman" w:eastAsia="Times New Roman"/>
                <w:b w:val="0"/>
                <w:i w:val="0"/>
                <w:sz w:val="17"/>
              </w:rPr>
              <w:t>316</w:t>
            </w:r>
          </w:p>
        </w:tc>
        <w:tc>
          <w:tcPr>
            <w:tcW w:type="dxa" w:w="1560"/>
          </w:tcPr>
          <w:p>
            <w:pPr>
              <w:spacing w:before="20" w:after="20" w:line="240" w:lineRule="auto"/>
            </w:pPr>
            <w:r/>
            <w:r>
              <w:rPr>
                <w:rFonts w:ascii="Times New Roman" w:hAnsi="Times New Roman" w:eastAsia="Times New Roman"/>
                <w:b w:val="0"/>
                <w:i w:val="0"/>
                <w:sz w:val="17"/>
              </w:rPr>
              <w:t>365</w:t>
            </w:r>
          </w:p>
        </w:tc>
        <w:tc>
          <w:tcPr>
            <w:tcW w:type="dxa" w:w="1560"/>
          </w:tcPr>
          <w:p>
            <w:pPr>
              <w:spacing w:before="20" w:after="20" w:line="240" w:lineRule="auto"/>
            </w:pPr>
            <w:r/>
            <w:r>
              <w:rPr>
                <w:rFonts w:ascii="Times New Roman" w:hAnsi="Times New Roman" w:eastAsia="Times New Roman"/>
                <w:b w:val="0"/>
                <w:i w:val="0"/>
                <w:sz w:val="17"/>
              </w:rPr>
              <w:t>67.5%</w:t>
            </w:r>
          </w:p>
        </w:tc>
        <w:tc>
          <w:tcPr>
            <w:tcW w:type="dxa" w:w="1560"/>
          </w:tcPr>
          <w:p>
            <w:pPr>
              <w:spacing w:before="20" w:after="20" w:line="240" w:lineRule="auto"/>
            </w:pPr>
            <w:r/>
            <w:r>
              <w:rPr>
                <w:rFonts w:ascii="Times New Roman" w:hAnsi="Times New Roman" w:eastAsia="Times New Roman"/>
                <w:b w:val="0"/>
                <w:i w:val="0"/>
                <w:sz w:val="17"/>
              </w:rPr>
              <w:t>86.6%</w:t>
            </w:r>
          </w:p>
        </w:tc>
      </w:tr>
      <w:tr>
        <w:tc>
          <w:tcPr>
            <w:tcW w:type="dxa" w:w="1560"/>
          </w:tcPr>
          <w:p>
            <w:pPr>
              <w:spacing w:before="20" w:after="20" w:line="240" w:lineRule="auto"/>
            </w:pPr>
            <w:r/>
            <w:r>
              <w:rPr>
                <w:rFonts w:ascii="Times New Roman" w:hAnsi="Times New Roman" w:eastAsia="Times New Roman"/>
                <w:b w:val="0"/>
                <w:i w:val="0"/>
                <w:sz w:val="17"/>
              </w:rPr>
              <w:t>GSE132903</w:t>
            </w:r>
          </w:p>
        </w:tc>
        <w:tc>
          <w:tcPr>
            <w:tcW w:type="dxa" w:w="1560"/>
          </w:tcPr>
          <w:p>
            <w:pPr>
              <w:spacing w:before="20" w:after="20" w:line="240" w:lineRule="auto"/>
            </w:pPr>
            <w:r/>
            <w:r>
              <w:rPr>
                <w:rFonts w:ascii="Times New Roman" w:hAnsi="Times New Roman" w:eastAsia="Times New Roman"/>
                <w:b w:val="0"/>
                <w:i w:val="0"/>
                <w:sz w:val="17"/>
              </w:rPr>
              <w:t>Middle temporal gyrus</w:t>
            </w:r>
          </w:p>
        </w:tc>
        <w:tc>
          <w:tcPr>
            <w:tcW w:type="dxa" w:w="1560"/>
          </w:tcPr>
          <w:p>
            <w:pPr>
              <w:spacing w:before="20" w:after="20" w:line="240" w:lineRule="auto"/>
            </w:pPr>
            <w:r/>
            <w:r>
              <w:rPr>
                <w:rFonts w:ascii="Times New Roman" w:hAnsi="Times New Roman" w:eastAsia="Times New Roman"/>
                <w:b w:val="0"/>
                <w:i w:val="0"/>
                <w:sz w:val="17"/>
              </w:rPr>
              <w:t>200</w:t>
            </w:r>
          </w:p>
        </w:tc>
        <w:tc>
          <w:tcPr>
            <w:tcW w:type="dxa" w:w="1560"/>
          </w:tcPr>
          <w:p>
            <w:pPr>
              <w:spacing w:before="20" w:after="20" w:line="240" w:lineRule="auto"/>
            </w:pPr>
            <w:r/>
            <w:r>
              <w:rPr>
                <w:rFonts w:ascii="Times New Roman" w:hAnsi="Times New Roman" w:eastAsia="Times New Roman"/>
                <w:b w:val="0"/>
                <w:i w:val="0"/>
                <w:sz w:val="17"/>
              </w:rPr>
              <w:t>353</w:t>
            </w:r>
          </w:p>
        </w:tc>
        <w:tc>
          <w:tcPr>
            <w:tcW w:type="dxa" w:w="1560"/>
          </w:tcPr>
          <w:p>
            <w:pPr>
              <w:spacing w:before="20" w:after="20" w:line="240" w:lineRule="auto"/>
            </w:pPr>
            <w:r/>
            <w:r>
              <w:rPr>
                <w:rFonts w:ascii="Times New Roman" w:hAnsi="Times New Roman" w:eastAsia="Times New Roman"/>
                <w:b w:val="0"/>
                <w:i w:val="0"/>
                <w:sz w:val="17"/>
              </w:rPr>
              <w:t>42.7%</w:t>
            </w:r>
          </w:p>
        </w:tc>
        <w:tc>
          <w:tcPr>
            <w:tcW w:type="dxa" w:w="1560"/>
          </w:tcPr>
          <w:p>
            <w:pPr>
              <w:spacing w:before="20" w:after="20" w:line="240" w:lineRule="auto"/>
            </w:pPr>
            <w:r/>
            <w:r>
              <w:rPr>
                <w:rFonts w:ascii="Times New Roman" w:hAnsi="Times New Roman" w:eastAsia="Times New Roman"/>
                <w:b w:val="0"/>
                <w:i w:val="0"/>
                <w:sz w:val="17"/>
              </w:rPr>
              <w:t>56.7%</w:t>
            </w:r>
          </w:p>
        </w:tc>
      </w:tr>
      <w:tr>
        <w:tc>
          <w:tcPr>
            <w:tcW w:type="dxa" w:w="1560"/>
          </w:tcPr>
          <w:p>
            <w:pPr>
              <w:spacing w:before="20" w:after="20" w:line="240" w:lineRule="auto"/>
            </w:pPr>
            <w:r/>
            <w:r>
              <w:rPr>
                <w:rFonts w:ascii="Times New Roman" w:hAnsi="Times New Roman" w:eastAsia="Times New Roman"/>
                <w:b w:val="0"/>
                <w:i w:val="0"/>
                <w:sz w:val="17"/>
              </w:rPr>
              <w:t>GSE63060</w:t>
            </w:r>
          </w:p>
        </w:tc>
        <w:tc>
          <w:tcPr>
            <w:tcW w:type="dxa" w:w="1560"/>
          </w:tcPr>
          <w:p>
            <w:pPr>
              <w:spacing w:before="20" w:after="20" w:line="240" w:lineRule="auto"/>
            </w:pPr>
            <w:r/>
            <w:r>
              <w:rPr>
                <w:rFonts w:ascii="Times New Roman" w:hAnsi="Times New Roman" w:eastAsia="Times New Roman"/>
                <w:b w:val="0"/>
                <w:i w:val="0"/>
                <w:sz w:val="17"/>
              </w:rPr>
              <w:t>Peripheral blood (n = 329)†</w:t>
            </w:r>
          </w:p>
        </w:tc>
        <w:tc>
          <w:tcPr>
            <w:tcW w:type="dxa" w:w="1560"/>
          </w:tcPr>
          <w:p>
            <w:pPr>
              <w:spacing w:before="20" w:after="20" w:line="240" w:lineRule="auto"/>
            </w:pPr>
            <w:r/>
            <w:r>
              <w:rPr>
                <w:rFonts w:ascii="Times New Roman" w:hAnsi="Times New Roman" w:eastAsia="Times New Roman"/>
                <w:b w:val="0"/>
                <w:i w:val="0"/>
                <w:sz w:val="17"/>
              </w:rPr>
              <w:t>52</w:t>
            </w:r>
          </w:p>
        </w:tc>
        <w:tc>
          <w:tcPr>
            <w:tcW w:type="dxa" w:w="1560"/>
          </w:tcPr>
          <w:p>
            <w:pPr>
              <w:spacing w:before="20" w:after="20" w:line="240" w:lineRule="auto"/>
            </w:pPr>
            <w:r/>
            <w:r>
              <w:rPr>
                <w:rFonts w:ascii="Times New Roman" w:hAnsi="Times New Roman" w:eastAsia="Times New Roman"/>
                <w:b w:val="0"/>
                <w:i w:val="0"/>
                <w:sz w:val="17"/>
              </w:rPr>
              <w:t>336</w:t>
            </w:r>
          </w:p>
        </w:tc>
        <w:tc>
          <w:tcPr>
            <w:tcW w:type="dxa" w:w="1560"/>
          </w:tcPr>
          <w:p>
            <w:pPr>
              <w:spacing w:before="20" w:after="20" w:line="240" w:lineRule="auto"/>
            </w:pPr>
            <w:r/>
            <w:r>
              <w:rPr>
                <w:rFonts w:ascii="Times New Roman" w:hAnsi="Times New Roman" w:eastAsia="Times New Roman"/>
                <w:b w:val="0"/>
                <w:i w:val="0"/>
                <w:sz w:val="17"/>
              </w:rPr>
              <w:t>11.1%</w:t>
            </w:r>
          </w:p>
        </w:tc>
        <w:tc>
          <w:tcPr>
            <w:tcW w:type="dxa" w:w="1560"/>
          </w:tcPr>
          <w:p>
            <w:pPr>
              <w:spacing w:before="20" w:after="20" w:line="240" w:lineRule="auto"/>
            </w:pPr>
            <w:r/>
            <w:r>
              <w:rPr>
                <w:rFonts w:ascii="Times New Roman" w:hAnsi="Times New Roman" w:eastAsia="Times New Roman"/>
                <w:b w:val="0"/>
                <w:i w:val="0"/>
                <w:sz w:val="17"/>
              </w:rPr>
              <w:t>15.5%</w:t>
            </w:r>
          </w:p>
        </w:tc>
      </w:tr>
    </w:tbl>
    <w:p>
      <w:pPr>
        <w:spacing w:before="80" w:after="240" w:line="240" w:lineRule="auto"/>
      </w:pPr>
      <w:r>
        <w:rPr>
          <w:rFonts w:ascii="Times New Roman" w:hAnsi="Times New Roman" w:eastAsia="Times New Roman"/>
          <w:b w:val="0"/>
          <w:i/>
          <w:sz w:val="19"/>
        </w:rPr>
        <w:t>Table S1. Panel-restricted differential counts in the three secondary microarray contrasts, computed under the locked DDI definition. These are descriptive per-dataset values, not headline DDI figures, and not additional primary cohorts. †TUFM excluded from GSE63060 (probe-mapping issue).</w:t>
      </w:r>
    </w:p>
    <w:p>
      <w:pPr>
        <w:spacing w:before="0" w:after="160" w:line="276" w:lineRule="auto"/>
        <w:jc w:val="both"/>
      </w:pPr>
      <w:r>
        <w:rPr>
          <w:rFonts w:ascii="Times New Roman" w:hAnsi="Times New Roman" w:eastAsia="Times New Roman"/>
          <w:b w:val="0"/>
          <w:i w:val="0"/>
          <w:sz w:val="22"/>
        </w:rPr>
        <w:t>DDI values are computed on the 468-gene detoxification panel as the percentage of measurable panel genes significant at Benjamini–Hochberg adjusted P &lt; 0.05 (BH computed within the 468-gene panel) and |log₂ fold-change| ≥ 0.5; this single definition is applied uniformly to every dataset and disease. The random-effects cross-cohort meta-analysis (panel-restricted BH-FDR with direction-concordance and multi-cohort significance) is the primary inferential result; the per-dataset DDI is a descriptive index.</w:t>
      </w:r>
    </w:p>
    <w:p>
      <w:pPr>
        <w:spacing w:before="0" w:after="160" w:line="276" w:lineRule="auto"/>
        <w:jc w:val="both"/>
      </w:pPr>
      <w:r>
        <w:rPr>
          <w:rFonts w:ascii="Times New Roman" w:hAnsi="Times New Roman" w:eastAsia="Times New Roman"/>
          <w:b w:val="0"/>
          <w:i w:val="0"/>
          <w:sz w:val="22"/>
        </w:rPr>
        <w:t>the four microarray cohorts in the locked six-cohort set are primary. They contribute per-gene effect sizes to the 167 / 141 counts. They are not a second-tier analysis. Standalone microarray DDI percentages are not reported, because microarray fold-change compression renders them non-comparable to RNA-seq under the |log₂ fold-change| ≥ 0.5 effect-size threshold; microarray cohorts instead contribute cross-platform validation through the random-effects meta-analysis (by pooled effect size) in this manuscript. Array platforms also incompletely cover the panel’s most recently added members. †TUFM excluded from GSE63060 (probe-mapping issue). DDI_panel = DEGs/468.</w:t>
      </w:r>
    </w:p>
    <w:p>
      <w:pPr>
        <w:spacing w:before="0" w:after="160" w:line="276" w:lineRule="auto"/>
        <w:jc w:val="both"/>
      </w:pPr>
      <w:r>
        <w:rPr>
          <w:rFonts w:ascii="Times New Roman" w:hAnsi="Times New Roman" w:eastAsia="Times New Roman"/>
          <w:b w:val="0"/>
          <w:i w:val="0"/>
          <w:sz w:val="22"/>
        </w:rPr>
        <w:t>The convergent direction of dysregulation across both platforms—RNA-seq and microarray—independently corroborates that detoxification pathway perturbation is a reproducible feature of AD.</w:t>
      </w:r>
    </w:p>
    <w:p>
      <w:pPr>
        <w:spacing w:before="240" w:after="80" w:line="276" w:lineRule="auto"/>
      </w:pPr>
      <w:r>
        <w:rPr>
          <w:rFonts w:ascii="Times New Roman" w:hAnsi="Times New Roman" w:eastAsia="Times New Roman"/>
          <w:b/>
          <w:i/>
          <w:sz w:val="22"/>
        </w:rPr>
        <w:t>Cross-platform convergence meta-analysis in AD brain</w:t>
      </w:r>
    </w:p>
    <w:p>
      <w:pPr>
        <w:spacing w:before="0" w:after="160" w:line="276" w:lineRule="auto"/>
        <w:jc w:val="both"/>
      </w:pPr>
      <w:r>
        <w:rPr>
          <w:rFonts w:ascii="Times New Roman" w:hAnsi="Times New Roman" w:eastAsia="Times New Roman"/>
          <w:b w:val="0"/>
          <w:i w:val="0"/>
          <w:sz w:val="22"/>
        </w:rPr>
        <w:t>To convert the tier-stratified dysregulation counts into pooled effect estimates, I performed a cross-platform random-effects meta-analysis across the six independent human AD brain cohorts (GSE33000, prefrontal cortex (microarray); GSE132903, middle temporal gyrus (microarray); GSE5281, multiple cortical regions (microarray); GSE48350, hippocampus and cortex (microarray; Braak ≥ IV vs code-C controls, 61 vs 140); GSE173955, hippocampus (RNA-seq); GSE159699, lateral temporal cortex (RNA-seq)). Per-gene log₂ fold-changes were pooled by inverse-variance random-effects modeling (DerSimonian–Laird), with measurement platform treated as a pre-specified source of between-cohort heterogeneity; per-gene heterogeneity is reported as I². When a gene was represented by multiple probes within a cohort, the probe-level estimates were averaged (mean-probe collapse) before pooling; mean-probe is the primary method because it removes the most-significant-probe selection bias that would otherwise inflate the hit count. Because the two platforms are deliberately combined here, this analysis is the formal statistical expression of the convergent cross-platform validation described above—platform is treated as a heterogeneity source, not as a reason to drop a cohort from the primary six. Of 458 CORE-panel genes informative in ≥ 2 cohorts, 167 reached BH-FDR &lt; 0.05; of these, 141 are high-confidence—significant and direction-concordant across at least 70% of cohorts and independently significant in at least two cohorts (76 up, 65 down). Headline interpretation rests on this high-confidence set (main-text Table 1); the full 167-gene list is in Table S3.</w:t>
      </w:r>
    </w:p>
    <w:p>
      <w:pPr>
        <w:spacing w:before="0" w:after="160" w:line="276" w:lineRule="auto"/>
        <w:jc w:val="both"/>
      </w:pPr>
      <w:r>
        <w:rPr>
          <w:rFonts w:ascii="Times New Roman" w:hAnsi="Times New Roman" w:eastAsia="Times New Roman"/>
          <w:b w:val="0"/>
          <w:i w:val="0"/>
          <w:sz w:val="22"/>
        </w:rPr>
        <w:t>Direction-consistent high-confidence calls included higher abundance of selected antioxidant and iron-handling transcripts (main-text Table 1):—NXN (pooled log₂FC +0.25; I² = 83%) and the metallothioneins MT1H (+0.53; I² = 84%) and MT2A (+0.51; I² = 92%)—contrasted with down-regulation of NQO2 (−0.14; I² = 69%), SLC30A5 (−0.10; I² = 63%), and BLVRA (−0.16; I² = 79%). Several glutathione- and Na/K-ATPase genes were high-confidence but more heterogeneous across cohorts and platforms—GSS (−0.30; I² = 91%) and ATP1A1 (−0.51; I² = 93%)—and are therefore reported as directionally consistent but magnitude-variable. Overall, of 458 CORE-panel genes informative in ≥ 2 cohorts, 167 reached BH-FDR &lt; 0.05, of which 141 are high-confidence (76 up, 65 down). This is a random-effects meta-analysis of effect sizes across independent cohorts rather than a registered systematic review; heterogeneity is reported per gene and, given the small number of cohorts, no formal publication-bias test was performed.</w:t>
      </w:r>
    </w:p>
    <w:p>
      <w:pPr>
        <w:spacing w:before="80" w:after="240" w:line="240" w:lineRule="auto"/>
      </w:pPr>
      <w:r>
        <w:rPr>
          <w:rFonts w:ascii="Times New Roman" w:hAnsi="Times New Roman" w:eastAsia="Times New Roman"/>
          <w:b w:val="0"/>
          <w:i/>
          <w:sz w:val="19"/>
        </w:rPr>
        <w:t>The full high-confidence gene list is given as Table 1 of the main text; the complete 167-gene significant list is provided in Table S3. The 141 high-confidence genes of the 468-gene detoxification panel from the cross-cohort meta-analysis: significant at BH-FDR &lt; 0.05 AND direction-concordant across at least 70% of cohorts and independently significant in at least two cohorts (sign-stable and nominally significant when any single cohort is dropped). Random-effects pooling (DerSimonian–Laird) of mean-probe-collapsed per-gene log₂ fold-changes across six AD brain cohorts (GSE33000, GSE132903 (microarray); GSE173955, GSE159699 (RNA-seq); GSE5281, GSE48350 (microarray)); the full 167-gene significant list is provided as Table S3. 95% CI = pooled estimate ± 1.96×SE; I² indexes between-cohort heterogeneity. FDR is the Benjamini–Hochberg-adjusted p-value.</w:t>
      </w:r>
    </w:p>
    <w:p>
      <w:pPr>
        <w:spacing w:before="0" w:after="160" w:line="276" w:lineRule="auto"/>
        <w:jc w:val="both"/>
      </w:pPr>
      <w:r>
        <w:rPr>
          <w:rFonts w:ascii="Times New Roman" w:hAnsi="Times New Roman" w:eastAsia="Times New Roman"/>
          <w:b w:val="0"/>
          <w:i w:val="0"/>
          <w:sz w:val="22"/>
        </w:rPr>
        <w:t>Significance: panel-restricted Benjamini–Hochberg adjusted P &lt; 0.05 (the |log₂ fold-change| ≥ 0.5 floor applies to the per-dataset DDI index only, not to the meta-analysis); the random-effects meta-analysis is the primary inferential result; per-dataset values are descriptive.</w:t>
      </w:r>
    </w:p>
    <w:p>
      <w:pPr>
        <w:spacing w:before="240" w:after="80" w:line="276" w:lineRule="auto"/>
      </w:pPr>
      <w:r>
        <w:rPr>
          <w:rFonts w:ascii="Times New Roman" w:hAnsi="Times New Roman" w:eastAsia="Times New Roman"/>
          <w:b/>
          <w:i/>
          <w:sz w:val="22"/>
        </w:rPr>
        <w:t>Meta-analysis robustness</w:t>
      </w:r>
    </w:p>
    <w:p>
      <w:pPr>
        <w:spacing w:before="0" w:after="160" w:line="276" w:lineRule="auto"/>
        <w:jc w:val="both"/>
      </w:pPr>
      <w:r>
        <w:rPr>
          <w:rFonts w:ascii="Times New Roman" w:hAnsi="Times New Roman" w:eastAsia="Times New Roman"/>
          <w:b w:val="0"/>
          <w:i w:val="0"/>
          <w:sz w:val="22"/>
        </w:rPr>
        <w:t>Primary method (mean-probe collapse). The primary estimate is a random-effects (DerSimonian–Laird) inverse-variance pooling of per-gene log₂ fold-changes after mean-probe collapse—averaging probe-level estimates within each cohort before pooling. Mean-probe is neutral: it applies no significance-based probe selection and therefore removes the most-significant-probe inflation that would otherwise enlarge the apparent hit count. Across the six AD brain cohorts, 458 panel genes were informative in ≥ 2 cohorts and 167 reached BH-FDR &lt; 0.05.</w:t>
      </w:r>
    </w:p>
    <w:p>
      <w:pPr>
        <w:spacing w:before="0" w:after="160" w:line="276" w:lineRule="auto"/>
        <w:jc w:val="both"/>
      </w:pPr>
      <w:r>
        <w:rPr>
          <w:rFonts w:ascii="Times New Roman" w:hAnsi="Times New Roman" w:eastAsia="Times New Roman"/>
          <w:b w:val="0"/>
          <w:i w:val="0"/>
          <w:sz w:val="22"/>
        </w:rPr>
        <w:t>High-confidence definition and cross-cohort-reproducibility. A gene is designated high-confidence (HC) only if it is significant at BH-FDR &lt; 0.05 AND direction-concordant across at least 70% of cohorts and independently significant in at least two cohorts—remaining sign-stable and nominally significant when any single cohort is dropped from the pool. Of the 167 significant genes, 141 met this HC criterion (76 up, 65 down); these constitute the headline set, with the full 167-gene list provided as a supplementary data file. High-confidence genes are flagged in that data file.</w:t>
      </w:r>
    </w:p>
    <w:p>
      <w:pPr>
        <w:spacing w:before="0" w:after="160" w:line="276" w:lineRule="auto"/>
        <w:jc w:val="both"/>
      </w:pPr>
      <w:r>
        <w:rPr>
          <w:rFonts w:ascii="Times New Roman" w:hAnsi="Times New Roman" w:eastAsia="Times New Roman"/>
          <w:b w:val="0"/>
          <w:i w:val="0"/>
          <w:sz w:val="22"/>
        </w:rPr>
        <w:t>No polarity inversion. For every cohort, the sign of each significant gene’s effect matched the pooled direction in 81–100% of hits (GSE33000 106/106 = 100%, GSE132903 98/99 = 99%, GSE173955 96/103 = 93%, GSE159699 84/104 = 81%); no cohort showed a systematic polarity inversion, so the pooled estimates are not an artifact of any single discordant dataset.</w:t>
      </w:r>
    </w:p>
    <w:p>
      <w:pPr>
        <w:spacing w:before="0" w:after="160" w:line="276" w:lineRule="auto"/>
        <w:jc w:val="both"/>
      </w:pPr>
      <w:r>
        <w:rPr>
          <w:rFonts w:ascii="Times New Roman" w:hAnsi="Times New Roman" w:eastAsia="Times New Roman"/>
          <w:b w:val="0"/>
          <w:i w:val="0"/>
          <w:sz w:val="22"/>
        </w:rPr>
        <w:t>Scale-free (Stouffer) reproduction. As a cross-platform control, a scale-free Stouffer combination of per-cohort z-scores (which ignores fold-change magnitude and so cannot be distorted by mixing microarray and RNA-seq effect sizes) reproduced 98% of the log₂FC-pooled hits (108 of 110 overlapping). Results are therefore not an artifact of pooling fold-changes across heterogeneous measurement platforms.</w:t>
      </w:r>
    </w:p>
    <w:p>
      <w:pPr>
        <w:spacing w:before="0" w:after="160" w:line="276" w:lineRule="auto"/>
        <w:jc w:val="both"/>
      </w:pPr>
      <w:r>
        <w:rPr>
          <w:rFonts w:ascii="Times New Roman" w:hAnsi="Times New Roman" w:eastAsia="Times New Roman"/>
          <w:b w:val="0"/>
          <w:i w:val="0"/>
          <w:sz w:val="22"/>
        </w:rPr>
        <w:t>Reporting standard. Headline claims here are framed around the high-confidence set rather than the maximal significant count, and every robustness check (probe-selection, polarity, scale-free) is reported whether or not it strengthens the result.</w:t>
      </w:r>
    </w:p>
    <w:p>
      <w:pPr>
        <w:spacing w:before="0" w:after="160" w:line="276" w:lineRule="auto"/>
        <w:jc w:val="both"/>
      </w:pPr>
      <w:r>
        <w:rPr>
          <w:rFonts w:ascii="Times New Roman" w:hAnsi="Times New Roman" w:eastAsia="Times New Roman"/>
          <w:b w:val="0"/>
          <w:i w:val="0"/>
          <w:sz w:val="22"/>
        </w:rPr>
        <w:t>Technical-replicate sensitivity in GSE173955. That series reports 8 Alzheimer's and 10 non-Alzheimer's subjects with one library in each group run twice for additional depth; the source publication analyzes 18 profiles, one per subject. The check below is recorded as a contingency in case a repository record holds those repeat runs as separate samples, in which case treating them as independent observations would understate that cohort's standard errors and slightly over-weight it in the inverse-variance pool. The procedure for bounding that is confined to one cohort and does not require re-locking the panel or the cohort set: sum the counts for each duplicated subject, recompute the panel-restricted differential expression for GSE173955 alone, and compare the resulting per-gene log₂ fold-changes with the originals across the 468 panel genes. Concordance at or above 0.99 with no sign change among the high-confidence genes licenses retaining the locked pooled counts and reporting the check; anything less requires re-pooling. Two structural features limit the exposure in advance: GSE173955 is one of six cohorts and among the smaller of them, and the high-confidence rule requires independent nominal significance in at least two cohorts and direction-concordance in at least 70%, so no gene can reach the high-confidence set on the strength of this cohort alone.</w:t>
      </w:r>
    </w:p>
    <w:p>
      <w:pPr>
        <w:spacing w:before="0" w:after="160" w:line="276" w:lineRule="auto"/>
        <w:jc w:val="both"/>
      </w:pPr>
      <w:r>
        <w:rPr>
          <w:rFonts w:ascii="Times New Roman" w:hAnsi="Times New Roman" w:eastAsia="Times New Roman"/>
          <w:b/>
          <w:i w:val="0"/>
          <w:sz w:val="22"/>
        </w:rPr>
        <w:t>Supplementary Notes</w:t>
      </w:r>
    </w:p>
    <w:p>
      <w:pPr>
        <w:spacing w:before="0" w:after="160" w:line="276" w:lineRule="auto"/>
        <w:jc w:val="both"/>
      </w:pPr>
      <w:r>
        <w:rPr>
          <w:rFonts w:ascii="Times New Roman" w:hAnsi="Times New Roman" w:eastAsia="Times New Roman"/>
          <w:b w:val="0"/>
          <w:i w:val="0"/>
          <w:sz w:val="22"/>
        </w:rPr>
        <w:t>Panel, excluded-symbol list, accession roles, methods note, and analysis pipeline: https://doi.org/10.5281/zenodo.22178094 (9). These notes accompany the Alzheimer's disease analysis only.</w:t>
      </w:r>
    </w:p>
    <w:p>
      <w:pPr>
        <w:spacing w:before="0" w:after="160" w:line="276" w:lineRule="auto"/>
        <w:jc w:val="both"/>
      </w:pPr>
      <w:r>
        <w:rPr>
          <w:rFonts w:ascii="Times New Roman" w:hAnsi="Times New Roman" w:eastAsia="Times New Roman"/>
          <w:b/>
          <w:i w:val="0"/>
          <w:sz w:val="22"/>
        </w:rPr>
        <w:t>Note S1. Locked 468-gene panel</w:t>
      </w:r>
    </w:p>
    <w:p>
      <w:pPr>
        <w:spacing w:before="0" w:after="160" w:line="276" w:lineRule="auto"/>
        <w:jc w:val="both"/>
      </w:pPr>
      <w:r>
        <w:rPr>
          <w:rFonts w:ascii="Times New Roman" w:hAnsi="Times New Roman" w:eastAsia="Times New Roman"/>
          <w:b w:val="0"/>
          <w:i w:val="0"/>
          <w:sz w:val="22"/>
        </w:rPr>
        <w:t>The panel used in this preprint is the 468-gene list deposited at Zenodo (workbook sheet "468 Panel"; freeze date 2026-07-05, panel lock 2026-07-06). The full symbol-by-tier table is Table S2 (supplementary workbook). Genes were assembled by functional-family enumeration, not by data-driven feature selection, and were not added or removed on the basis of case-versus-control association.</w:t>
      </w:r>
    </w:p>
    <w:p>
      <w:pPr>
        <w:spacing w:before="0" w:after="160" w:line="276" w:lineRule="auto"/>
        <w:jc w:val="both"/>
      </w:pPr>
      <w:r>
        <w:rPr>
          <w:rFonts w:ascii="Times New Roman" w:hAnsi="Times New Roman" w:eastAsia="Times New Roman"/>
          <w:b w:val="0"/>
          <w:i w:val="0"/>
          <w:sz w:val="22"/>
        </w:rPr>
        <w:t>Tier arithmetic (locked): CORE redox / metal / xenobiotic / barrier, n = 394; CORE cGAS–STING, n = 12; CORE ferroptosis / iron / NRF2, n = 10; SENSITIVITY (broader cellular-defense layer), n = 40; placental / sex-steroid module (not an AD inference set), n = 12; total, n = 468.</w:t>
      </w:r>
    </w:p>
    <w:p>
      <w:pPr>
        <w:spacing w:before="0" w:after="160" w:line="276" w:lineRule="auto"/>
        <w:jc w:val="both"/>
      </w:pPr>
      <w:r>
        <w:rPr>
          <w:rFonts w:ascii="Times New Roman" w:hAnsi="Times New Roman" w:eastAsia="Times New Roman"/>
          <w:b w:val="0"/>
          <w:i w:val="0"/>
          <w:sz w:val="22"/>
        </w:rPr>
        <w:t>Symbols added in the v458 → v468 freeze (n = 10): AIFM2, CUL3, FXN, GCH1, GLO1, HAGH, MFSD2A, RBX1, TF, TFRC. Twenty-two a priori excluded symbols are listed on sheet S2b of Table S2 and are not panel members. No table or figure in this preprint uses a gene symbol that is absent from the panel sheet.</w:t>
      </w:r>
    </w:p>
    <w:p>
      <w:pPr>
        <w:spacing w:before="0" w:after="160" w:line="276" w:lineRule="auto"/>
        <w:jc w:val="both"/>
      </w:pPr>
      <w:r>
        <w:rPr>
          <w:rFonts w:ascii="Times New Roman" w:hAnsi="Times New Roman" w:eastAsia="Times New Roman"/>
          <w:b/>
          <w:i w:val="0"/>
          <w:sz w:val="22"/>
        </w:rPr>
        <w:t>Note S2. AD primary GEO accessions and meta counts</w:t>
      </w:r>
    </w:p>
    <w:p>
      <w:pPr>
        <w:spacing w:before="0" w:after="160" w:line="276" w:lineRule="auto"/>
        <w:jc w:val="both"/>
      </w:pPr>
      <w:r>
        <w:rPr>
          <w:rFonts w:ascii="Times New Roman" w:hAnsi="Times New Roman" w:eastAsia="Times New Roman"/>
          <w:b w:val="0"/>
          <w:i w:val="0"/>
          <w:sz w:val="22"/>
        </w:rPr>
        <w:t>Locked primary adult-brain meta-analysis (k = 6): GSE33000, GSE132903, GSE173955, GSE159699, GSE5281, GSE48350. Meta-analyzable panel genes 458; FDR-significant 167; high-confidence 141; median I² among high-confidence genes 79.3%. Supporting accessions used in the article but not entered in the primary pool: GSE211993, GSE227221, GSE190125, GSE63060, GSE153873. GSE190125 is whole blood from trisomy-21 donors and is neither brain nor Alzheimer's disease; it is listed only as a supporting contrast inherited from the earlier 203-gene study (4).</w:t>
      </w:r>
    </w:p>
    <w:p>
      <w:pPr>
        <w:spacing w:before="0" w:after="160" w:line="276" w:lineRule="auto"/>
        <w:jc w:val="both"/>
      </w:pPr>
      <w:r>
        <w:rPr>
          <w:rFonts w:ascii="Times New Roman" w:hAnsi="Times New Roman" w:eastAsia="Times New Roman"/>
          <w:b w:val="0"/>
          <w:i w:val="0"/>
          <w:sz w:val="22"/>
        </w:rPr>
        <w:t>RNA-seq cohorts were analyzed with PyDESeq2 and microarray cohorts with limma. P values were Benjamini–Hochberg FDR-adjusted within the measurable panel.</w:t>
      </w:r>
    </w:p>
    <w:p>
      <w:pPr>
        <w:spacing w:before="0" w:after="160" w:line="276" w:lineRule="auto"/>
        <w:jc w:val="both"/>
      </w:pPr>
      <w:r>
        <w:rPr>
          <w:rFonts w:ascii="Times New Roman" w:hAnsi="Times New Roman" w:eastAsia="Times New Roman"/>
          <w:b/>
          <w:i w:val="0"/>
          <w:sz w:val="22"/>
        </w:rPr>
        <w:t>Note S3. Locked high-confidence rule</w:t>
      </w:r>
    </w:p>
    <w:p>
      <w:pPr>
        <w:spacing w:before="0" w:after="160" w:line="276" w:lineRule="auto"/>
        <w:jc w:val="both"/>
      </w:pPr>
      <w:r>
        <w:rPr>
          <w:rFonts w:ascii="Times New Roman" w:hAnsi="Times New Roman" w:eastAsia="Times New Roman"/>
          <w:b w:val="0"/>
          <w:i w:val="0"/>
          <w:sz w:val="22"/>
        </w:rPr>
        <w:t>A gene is high-confidence in this Alzheimer's analysis if and only if all four conditions hold in the locked six-cohort primary meta-analysis: Benjamini–Hochberg FDR &lt; 0.05; measured in at least three primary cohorts (k ≥ 3); direction-concordant with the pooled effect in at least 70% of those cohorts; and independently nominally significant (p &lt; 0.05) in at least two cohorts.</w:t>
      </w:r>
    </w:p>
    <w:p>
      <w:pPr>
        <w:spacing w:before="0" w:after="160" w:line="276" w:lineRule="auto"/>
        <w:jc w:val="both"/>
      </w:pPr>
      <w:r>
        <w:rPr>
          <w:rFonts w:ascii="Times New Roman" w:hAnsi="Times New Roman" w:eastAsia="Times New Roman"/>
          <w:b w:val="0"/>
          <w:i w:val="0"/>
          <w:sz w:val="22"/>
        </w:rPr>
        <w:t>The rule has no fold-change floor and no I² cap. The |log₂FC| ≥ 0.5 floor belongs only to the per-dataset DDI (Note S4). List-level competitive inference used gene-label permutation of power-matched random 468-gene sets; that test did not show that the full panel out-enriched those random sets. No claim of panel-specific enrichment is made.</w:t>
      </w:r>
    </w:p>
    <w:p>
      <w:pPr>
        <w:spacing w:before="0" w:after="160" w:line="276" w:lineRule="auto"/>
        <w:jc w:val="both"/>
      </w:pPr>
      <w:r>
        <w:rPr>
          <w:rFonts w:ascii="Times New Roman" w:hAnsi="Times New Roman" w:eastAsia="Times New Roman"/>
          <w:b/>
          <w:i w:val="0"/>
          <w:sz w:val="22"/>
        </w:rPr>
        <w:t>Note S4. GVI, DDI, and IDRS</w:t>
      </w:r>
    </w:p>
    <w:p>
      <w:pPr>
        <w:spacing w:before="0" w:after="160" w:line="276" w:lineRule="auto"/>
        <w:jc w:val="both"/>
      </w:pPr>
      <w:r>
        <w:rPr>
          <w:rFonts w:ascii="Times New Roman" w:hAnsi="Times New Roman" w:eastAsia="Times New Roman"/>
          <w:b w:val="0"/>
          <w:i w:val="0"/>
          <w:sz w:val="22"/>
        </w:rPr>
        <w:t>The Genetic Vulnerability Index (GVI), Detoxification Dysregulation Index (DDI), and Integrated Detoxification Risk Score (IDRS) are research quantities used to organize genetic and expression-level evidence. They are not diagnostic scores, calibrated disease-risk estimates, prognostic instruments, treatment-selection tools, or measures of treatment response.</w:t>
      </w:r>
    </w:p>
    <w:p>
      <w:pPr>
        <w:spacing w:before="0" w:after="160" w:line="276" w:lineRule="auto"/>
        <w:jc w:val="both"/>
      </w:pPr>
      <w:r>
        <w:rPr>
          <w:rFonts w:ascii="Times New Roman" w:hAnsi="Times New Roman" w:eastAsia="Times New Roman"/>
          <w:b w:val="0"/>
          <w:i w:val="0"/>
          <w:sz w:val="22"/>
        </w:rPr>
        <w:t>GVI. For an individual carrying qualifying variants V, GVI = Σ ln(OR_v), where OR_v is the published disease-associated odds ratio assigned to variant v. This assumes additivity on the log-odds-ratio scale and does not model linkage disequilibrium, epistasis, ancestry-specific effects, exposure interactions, penetrance, age dependence, or clinical covariates. Odds ratios are taken from cited source studies and are not re-estimated here.</w:t>
      </w:r>
    </w:p>
    <w:p>
      <w:pPr>
        <w:spacing w:before="0" w:after="160" w:line="276" w:lineRule="auto"/>
        <w:jc w:val="both"/>
      </w:pPr>
      <w:r>
        <w:rPr>
          <w:rFonts w:ascii="Times New Roman" w:hAnsi="Times New Roman" w:eastAsia="Times New Roman"/>
          <w:b w:val="0"/>
          <w:i w:val="0"/>
          <w:sz w:val="22"/>
        </w:rPr>
        <w:t>DDI. For a given transcriptomic dataset, DDI = 100 × (N with BH-adjusted P &lt; 0.05 and |log₂FC| ≥ 0.5) / (N measurable panel genes in that dataset). The fold-change floor applies to this descriptive, per-dataset DDI only. DDI is a tissue- and dataset-level descriptor, not a patient-level measure unless independently validated.</w:t>
      </w:r>
    </w:p>
    <w:p>
      <w:pPr>
        <w:spacing w:before="0" w:after="160" w:line="276" w:lineRule="auto"/>
        <w:jc w:val="both"/>
      </w:pPr>
      <w:r>
        <w:rPr>
          <w:rFonts w:ascii="Times New Roman" w:hAnsi="Times New Roman" w:eastAsia="Times New Roman"/>
          <w:b w:val="0"/>
          <w:i w:val="0"/>
          <w:sz w:val="22"/>
        </w:rPr>
        <w:t>IDRS. IDRS = GVI + DDI/10. Division by 10 is a heuristic scaling convention. IDRS is not an estimated probability, odds ratio, absolute risk, or actionable threshold. Worked illustration only: if GVI = 1.66 and DDI = 20, then IDRS = 1.66 + 20/10 = 3.66. This arithmetic demonstrates the construction; it does not estimate an individual's disease risk or expected benefit from any intervention. Prospective validation against prespecified clinical outcomes is required before any translational use.</w:t>
      </w:r>
    </w:p>
    <w:p>
      <w:pPr>
        <w:spacing w:before="0" w:after="160" w:line="276" w:lineRule="auto"/>
        <w:jc w:val="both"/>
      </w:pPr>
      <w:r>
        <w:rPr>
          <w:rFonts w:ascii="Times New Roman" w:hAnsi="Times New Roman" w:eastAsia="Times New Roman"/>
          <w:b w:val="0"/>
          <w:i w:val="0"/>
          <w:sz w:val="22"/>
        </w:rPr>
        <w:t>Hepatic RNA-seq (7 AD, 5 control) is hypothesis-generating. The GEO accession will be added when issued; until then the count matrices remain available from the author on request.</w:t>
      </w:r>
    </w:p>
    <w:p>
      <w:pPr>
        <w:spacing w:before="0" w:after="160" w:line="276" w:lineRule="auto"/>
        <w:jc w:val="both"/>
      </w:pPr>
      <w:r>
        <w:rPr>
          <w:rFonts w:ascii="Times New Roman" w:hAnsi="Times New Roman" w:eastAsia="Times New Roman"/>
          <w:b/>
          <w:i w:val="0"/>
          <w:sz w:val="22"/>
        </w:rPr>
        <w:t>Supplementary tables provided as separate files</w:t>
      </w:r>
    </w:p>
    <w:p>
      <w:pPr>
        <w:spacing w:before="0" w:after="160" w:line="276" w:lineRule="auto"/>
        <w:jc w:val="both"/>
      </w:pPr>
      <w:r>
        <w:rPr>
          <w:rFonts w:ascii="Times New Roman" w:hAnsi="Times New Roman" w:eastAsia="Times New Roman"/>
          <w:b w:val="0"/>
          <w:i w:val="0"/>
          <w:sz w:val="22"/>
        </w:rPr>
        <w:t>Table S2 (ESM_2, workbook). Locked 468-gene panel: sheet "S2 locked 468-gene panel" (symbol, tier, module, v468 addition flag, provenance anchor); sheet "S2b excluded symbols" (22 a priori exclusions); sheet "S2c AD primary accessions".</w:t>
      </w:r>
    </w:p>
    <w:p>
      <w:pPr>
        <w:spacing w:before="0" w:after="160" w:line="276" w:lineRule="auto"/>
        <w:jc w:val="both"/>
      </w:pPr>
      <w:r>
        <w:rPr>
          <w:rFonts w:ascii="Times New Roman" w:hAnsi="Times New Roman" w:eastAsia="Times New Roman"/>
          <w:b w:val="0"/>
          <w:i w:val="0"/>
          <w:sz w:val="22"/>
        </w:rPr>
        <w:t>Table S3 (ESM_3, workbook). Per-gene results of the six-cohort random-effects meta-analysis for all 458 analyzable panel genes: pooled log₂ fold-change, direction, k, I², P, Benjamini–Hochberg FDR, number of nominally significant cohorts, direction concordance, FDR-significance flag and high-confidence flag; a second sheet lists the 167 FDR-significant genes. Values are reported verbatim from the deposited meta-analysis output (https://doi.org/10.5281/zenodo.22178094).</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line="276" w:lineRule="auto"/>
    </w:pPr>
    <w:rPr>
      <w:rFonts w:ascii="Times New Roman" w:hAnsi="Times New Roman" w:eastAsia="Times New Roman"/>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