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supplementary-information"/>
    <w:p>
      <w:pPr>
        <w:pStyle w:val="Heading1"/>
      </w:pPr>
      <w:r>
        <w:t xml:space="preserve">Supplementary Information</w:t>
      </w:r>
    </w:p>
    <w:p>
      <w:pPr>
        <w:pStyle w:val="FirstParagraph"/>
      </w:pPr>
      <w:r>
        <w:rPr>
          <w:b/>
          <w:bCs/>
        </w:rPr>
        <w:t xml:space="preserve">Corneal deposits are placed and arrested by a surface not by protein chemistry alone</w:t>
      </w:r>
    </w:p>
    <w:p>
      <w:pPr>
        <w:pStyle w:val="BodyText"/>
      </w:pPr>
      <w:r>
        <w:t xml:space="preserve">Sejun Kim</w:t>
      </w:r>
    </w:p>
    <w:p>
      <w:pPr>
        <w:pStyle w:val="BodyText"/>
      </w:pPr>
      <w:r>
        <w:t xml:space="preserve">Department of Integrative Biotechnology, Sungkyunkwan University, Suwon, Republic of Korea</w:t>
      </w:r>
    </w:p>
    <w:p>
      <w:r>
        <w:pict>
          <v:rect style="width:0;height:1.5pt" o:hralign="center" o:hrstd="t" o:hr="t"/>
        </w:pict>
      </w:r>
    </w:p>
    <w:bookmarkStart w:id="9" w:name="supplementary-table-1"/>
    <w:p>
      <w:pPr>
        <w:pStyle w:val="Heading2"/>
      </w:pPr>
      <w:r>
        <w:t xml:space="preserve">Supplementary Table 1</w:t>
      </w:r>
    </w:p>
    <w:p>
      <w:pPr>
        <w:pStyle w:val="FirstParagraph"/>
      </w:pPr>
      <w:r>
        <w:rPr>
          <w:b/>
          <w:bCs/>
        </w:rPr>
        <w:t xml:space="preserve">Constants and their provenance.</w:t>
      </w:r>
      <w:r>
        <w:t xml:space="preserve"> </w:t>
      </w:r>
      <w:r>
        <w:t xml:space="preserve">Provenance is one of four categories:</w:t>
      </w:r>
      <w:r>
        <w:t xml:space="preserve"> </w:t>
      </w:r>
      <w:r>
        <w:rPr>
          <w:b/>
          <w:bCs/>
        </w:rPr>
        <w:t xml:space="preserve">[M]</w:t>
      </w:r>
      <w:r>
        <w:t xml:space="preserve"> </w:t>
      </w:r>
      <w:r>
        <w:t xml:space="preserve">measured</w:t>
      </w:r>
      <w:r>
        <w:t xml:space="preserve"> </w:t>
      </w:r>
      <w:r>
        <w:t xml:space="preserve">independently of the series tested here,</w:t>
      </w:r>
      <w:r>
        <w:t xml:space="preserve"> </w:t>
      </w:r>
      <w:r>
        <w:rPr>
          <w:b/>
          <w:bCs/>
        </w:rPr>
        <w:t xml:space="preserve">[D]</w:t>
      </w:r>
      <w:r>
        <w:t xml:space="preserve"> </w:t>
      </w:r>
      <w:r>
        <w:t xml:space="preserve">derived from [M] quantities,</w:t>
      </w:r>
      <w:r>
        <w:t xml:space="preserve"> </w:t>
      </w:r>
      <w:r>
        <w:rPr>
          <w:b/>
          <w:bCs/>
        </w:rPr>
        <w:t xml:space="preserve">[C]</w:t>
      </w:r>
      <w:r>
        <w:t xml:space="preserve"> </w:t>
      </w:r>
      <w:r>
        <w:t xml:space="preserve">calibrated from</w:t>
      </w:r>
      <w:r>
        <w:t xml:space="preserve"> </w:t>
      </w:r>
      <w:r>
        <w:t xml:space="preserve">a clinical series that is also used as a test,</w:t>
      </w:r>
      <w:r>
        <w:t xml:space="preserve"> </w:t>
      </w:r>
      <w:r>
        <w:rPr>
          <w:b/>
          <w:bCs/>
        </w:rPr>
        <w:t xml:space="preserve">[F]</w:t>
      </w:r>
      <w:r>
        <w:t xml:space="preserve"> </w:t>
      </w:r>
      <w:r>
        <w:t xml:space="preserve">fitted here.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Symbol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What moves with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D</w:t>
            </w:r>
            <w:r>
              <w:rPr>
                <w:vertAlign w:val="subscript"/>
              </w:rPr>
              <w:t xml:space="preserve">stroma</w:t>
            </w:r>
          </w:p>
        </w:tc>
        <w:tc>
          <w:tcPr/>
          <w:p>
            <w:pPr>
              <w:pStyle w:val="Compact"/>
            </w:pPr>
            <w:r>
              <w:t xml:space="preserve">1.1 × 10</w:t>
            </w:r>
            <w:r>
              <w:rPr>
                <w:vertAlign w:val="superscript"/>
              </w:rPr>
              <w:t xml:space="preserve">−7</w:t>
            </w:r>
            <w:r>
              <w:t xml:space="preserve"> </w:t>
            </w:r>
            <w:r>
              <w:t xml:space="preserve">cm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t xml:space="preserve">s</w:t>
            </w:r>
            <w:r>
              <w:rPr>
                <w:vertAlign w:val="superscript"/>
              </w:rPr>
              <w:t xml:space="preserve">−1</w:t>
            </w:r>
          </w:p>
        </w:tc>
        <w:tc>
          <w:tcPr/>
          <w:p>
            <w:pPr>
              <w:pStyle w:val="Compact"/>
            </w:pPr>
            <w:r>
              <w:t xml:space="preserve">[M] ref. 1, in plane</w:t>
            </w:r>
          </w:p>
        </w:tc>
        <w:tc>
          <w:tcPr/>
          <w:p>
            <w:pPr>
              <w:pStyle w:val="Compact"/>
            </w:pPr>
            <w:r>
              <w:t xml:space="preserve">λ, Da</w:t>
            </w:r>
            <w:r>
              <w:rPr>
                <w:vertAlign w:val="subscript"/>
              </w:rPr>
              <w:t xml:space="preserve">p</w:t>
            </w:r>
            <w:r>
              <w:t xml:space="preserve">,</w:t>
            </w:r>
            <w:r>
              <w:t xml:space="preserve"> </w:t>
            </w:r>
            <w:r>
              <w:rPr>
                <w:i/>
                <w:iCs/>
              </w:rPr>
              <w:t xml:space="preserve">D</w:t>
            </w:r>
            <w:r>
              <w:t xml:space="preserve">/β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D</w:t>
            </w:r>
            <w:r>
              <w:rPr>
                <w:vertAlign w:val="subscript"/>
              </w:rPr>
              <w:t xml:space="preserve">epi</w:t>
            </w:r>
          </w:p>
        </w:tc>
        <w:tc>
          <w:tcPr/>
          <w:p>
            <w:pPr>
              <w:pStyle w:val="Compact"/>
            </w:pPr>
            <w:r>
              <w:t xml:space="preserve">3.82 × 10</w:t>
            </w:r>
            <w:r>
              <w:rPr>
                <w:vertAlign w:val="superscript"/>
              </w:rPr>
              <w:t xml:space="preserve">−9</w:t>
            </w:r>
            <w:r>
              <w:t xml:space="preserve"> </w:t>
            </w:r>
            <w:r>
              <w:t xml:space="preserve">cm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t xml:space="preserve">s</w:t>
            </w:r>
            <w:r>
              <w:rPr>
                <w:vertAlign w:val="superscript"/>
              </w:rPr>
              <w:t xml:space="preserve">−1</w:t>
            </w:r>
          </w:p>
        </w:tc>
        <w:tc>
          <w:tcPr/>
          <w:p>
            <w:pPr>
              <w:pStyle w:val="Compact"/>
            </w:pPr>
            <w:r>
              <w:t xml:space="preserve">[D] series decomposition of whole-cornea permeability</w:t>
            </w:r>
          </w:p>
        </w:tc>
        <w:tc>
          <w:tcPr/>
          <w:p>
            <w:pPr>
              <w:pStyle w:val="Compact"/>
            </w:pPr>
            <w:r>
              <w:t xml:space="preserve">epithelial barrier only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D</w:t>
            </w:r>
            <w:r>
              <w:rPr>
                <w:vertAlign w:val="subscript"/>
              </w:rPr>
              <w:t xml:space="preserve">s</w:t>
            </w:r>
            <w:r>
              <w:t xml:space="preserve">/</w:t>
            </w:r>
            <w:r>
              <w:rPr>
                <w:i/>
                <w:iCs/>
              </w:rPr>
              <w:t xml:space="preserve">D</w:t>
            </w:r>
            <w:r>
              <w:rPr>
                <w:vertAlign w:val="subscript"/>
              </w:rPr>
              <w:t xml:space="preserve">z</w:t>
            </w:r>
          </w:p>
        </w:tc>
        <w:tc>
          <w:tcPr/>
          <w:p>
            <w:pPr>
              <w:pStyle w:val="Compact"/>
            </w:pPr>
            <w:r>
              <w:t xml:space="preserve">1.9</w:t>
            </w:r>
          </w:p>
        </w:tc>
        <w:tc>
          <w:tcPr/>
          <w:p>
            <w:pPr>
              <w:pStyle w:val="Compact"/>
            </w:pPr>
            <w:r>
              <w:t xml:space="preserve">[M] ref. 2; contested by two sources</w:t>
            </w:r>
          </w:p>
        </w:tc>
        <w:tc>
          <w:tcPr/>
          <w:p>
            <w:pPr>
              <w:pStyle w:val="Compact"/>
            </w:pPr>
            <w:r>
              <w:t xml:space="preserve">the isotropic aspect-ratio check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k</w:t>
            </w:r>
            <w:r>
              <w:rPr>
                <w:vertAlign w:val="subscript"/>
              </w:rPr>
              <w:t xml:space="preserve">free</w:t>
            </w:r>
          </w:p>
        </w:tc>
        <w:tc>
          <w:tcPr/>
          <w:p>
            <w:pPr>
              <w:pStyle w:val="Compact"/>
            </w:pPr>
            <w:r>
              <w:t xml:space="preserve">1445 yr</w:t>
            </w:r>
            <w:r>
              <w:rPr>
                <w:vertAlign w:val="superscript"/>
              </w:rPr>
              <w:t xml:space="preserve">−1</w:t>
            </w:r>
          </w:p>
        </w:tc>
        <w:tc>
          <w:tcPr/>
          <w:p>
            <w:pPr>
              <w:pStyle w:val="Compact"/>
            </w:pPr>
            <w:r>
              <w:t xml:space="preserve">[F] back-solved from an assumed in-plane decay length of 490 µm, for which no source is available</w:t>
            </w:r>
          </w:p>
        </w:tc>
        <w:tc>
          <w:tcPr/>
          <w:p>
            <w:pPr>
              <w:pStyle w:val="Compact"/>
            </w:pPr>
            <w:r>
              <w:t xml:space="preserve">λ = 355 µm, depth profile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Site density</w:t>
            </w:r>
          </w:p>
        </w:tc>
        <w:tc>
          <w:tcPr/>
          <w:p>
            <w:pPr>
              <w:pStyle w:val="Compact"/>
            </w:pPr>
            <w:r>
              <w:t xml:space="preserve">2.60 mm</w:t>
            </w:r>
            <w:r>
              <w:rPr>
                <w:vertAlign w:val="superscript"/>
              </w:rPr>
              <w:t xml:space="preserve">−2</w:t>
            </w:r>
            <w:r>
              <w:t xml:space="preserve"> </w:t>
            </w:r>
            <w:r>
              <w:t xml:space="preserve">over the central 10 mm, about 270 over the optical zone</w:t>
            </w:r>
          </w:p>
        </w:tc>
        <w:tc>
          <w:tcPr/>
          <w:p>
            <w:pPr>
              <w:pStyle w:val="Compact"/>
            </w:pPr>
            <w:r>
              <w:t xml:space="preserve">[M] ref. 3, 204 ± 58.5 (s.d.) over the central 10 mm in sixteen donor corneas, range 156 to 269; uncertain by about a factor of two</w:t>
            </w:r>
          </w:p>
        </w:tc>
        <w:tc>
          <w:tcPr/>
          <w:p>
            <w:pPr>
              <w:pStyle w:val="Compact"/>
            </w:pPr>
            <w:r>
              <w:t xml:space="preserve">count ceiling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Epithelium to keratocyte share</w:t>
            </w:r>
          </w:p>
        </w:tc>
        <w:tc>
          <w:tcPr/>
          <w:p>
            <w:pPr>
              <w:pStyle w:val="Compact"/>
            </w:pPr>
            <w:r>
              <w:t xml:space="preserve">58 to 42, range 45 to 67%</w:t>
            </w:r>
          </w:p>
        </w:tc>
        <w:tc>
          <w:tcPr/>
          <w:p>
            <w:pPr>
              <w:pStyle w:val="Compact"/>
            </w:pPr>
            <w:r>
              <w:t xml:space="preserve">[C] re-analysis of one single-nucleus dataset,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t xml:space="preserve">= 37,485 (ref. 4); per-cell expression is measured, the cell-number weighting is not a published number</w:t>
            </w:r>
          </w:p>
        </w:tc>
        <w:tc>
          <w:tcPr/>
          <w:p>
            <w:pPr>
              <w:pStyle w:val="Compact"/>
            </w:pPr>
            <w:r>
              <w:t xml:space="preserve">epithelial fraction, every dosing figure in the companion work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S</w:t>
            </w:r>
            <w:r>
              <w:rPr>
                <w:vertAlign w:val="subscript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1.49</w:t>
            </w:r>
          </w:p>
        </w:tc>
        <w:tc>
          <w:tcPr/>
          <w:p>
            <w:pPr>
              <w:pStyle w:val="Compact"/>
            </w:pPr>
            <w:r>
              <w:t xml:space="preserve">[C] genotype recurrence-time ratio of 4.04 (ref. 5) inverted through Λ</w:t>
            </w:r>
          </w:p>
        </w:tc>
        <w:tc>
          <w:tcPr/>
          <w:p>
            <w:pPr>
              <w:pStyle w:val="Compact"/>
            </w:pPr>
            <w:r>
              <w:t xml:space="preserve">everything downstream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κ</w:t>
            </w:r>
          </w:p>
        </w:tc>
        <w:tc>
          <w:tcPr/>
          <w:p>
            <w:pPr>
              <w:pStyle w:val="Compact"/>
            </w:pPr>
            <w:r>
              <w:t xml:space="preserve">4.6</w:t>
            </w:r>
          </w:p>
        </w:tc>
        <w:tc>
          <w:tcPr/>
          <w:p>
            <w:pPr>
              <w:pStyle w:val="Compact"/>
            </w:pPr>
            <w:r>
              <w:t xml:space="preserve">[C] √(</w:t>
            </w:r>
            <w:r>
              <w:rPr>
                <w:i/>
                <w:iCs/>
              </w:rPr>
              <w:t xml:space="preserve">A</w:t>
            </w:r>
            <w:r>
              <w:t xml:space="preserve">/(</w:t>
            </w:r>
            <w:r>
              <w:rPr>
                <w:i/>
                <w:iCs/>
              </w:rPr>
              <w:t xml:space="preserve">Nπ</w:t>
            </w:r>
            <w:r>
              <w:t xml:space="preserve">)) divided by half the measured thickness, from the same series it is compared against; an identity, not a measurement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a</w:t>
            </w:r>
            <w:r>
              <w:rPr>
                <w:vertAlign w:val="subscript"/>
              </w:rPr>
              <w:t xml:space="preserve">max</w:t>
            </w:r>
            <w:r>
              <w:t xml:space="preserve">, the projected cap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z</w:t>
            </w:r>
            <w:r>
              <w:rPr>
                <w:vertAlign w:val="subscript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45.7 µm</w:t>
            </w:r>
          </w:p>
        </w:tc>
        <w:tc>
          <w:tcPr/>
          <w:p>
            <w:pPr>
              <w:pStyle w:val="Compact"/>
            </w:pPr>
            <w:r>
              <w:t xml:space="preserve">[C] half the granular deposit thickness (ref. 6); the halving assumes the reported upper-surface distance of zero is a measurement rather than a convention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a</w:t>
            </w:r>
            <w:r>
              <w:rPr>
                <w:vertAlign w:val="subscript"/>
              </w:rPr>
              <w:t xml:space="preserve">max</w:t>
            </w:r>
            <w:r>
              <w:t xml:space="preserve">, arrest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CV of</w:t>
            </w:r>
            <w:r>
              <w:t xml:space="preserve"> </w:t>
            </w:r>
            <w:r>
              <w:rPr>
                <w:i/>
                <w:iCs/>
              </w:rPr>
              <w:t xml:space="preserve">z</w:t>
            </w:r>
            <w:r>
              <w:rPr>
                <w:vertAlign w:val="subscript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0.43</w:t>
            </w:r>
          </w:p>
        </w:tc>
        <w:tc>
          <w:tcPr/>
          <w:p>
            <w:pPr>
              <w:pStyle w:val="Compact"/>
            </w:pPr>
            <w:r>
              <w:t xml:space="preserve">[C] measured thickness spread, on deposits chosen as representative of each eye rather than a census</w:t>
            </w:r>
          </w:p>
        </w:tc>
        <w:tc>
          <w:tcPr/>
          <w:p>
            <w:pPr>
              <w:pStyle w:val="Compact"/>
            </w:pPr>
            <w:r>
              <w:t xml:space="preserve">the radius against depth prediction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Attachment frequency</w:t>
            </w:r>
          </w:p>
        </w:tc>
        <w:tc>
          <w:tcPr/>
          <w:p>
            <w:pPr>
              <w:pStyle w:val="Compact"/>
            </w:pPr>
            <w:r>
              <w:t xml:space="preserve">3.1 × 10</w:t>
            </w:r>
            <w:r>
              <w:rPr>
                <w:vertAlign w:val="superscript"/>
              </w:rPr>
              <w:t xml:space="preserve">3</w:t>
            </w:r>
            <w:r>
              <w:t xml:space="preserve"> </w:t>
            </w:r>
            <w:r>
              <w:t xml:space="preserve">yr</w:t>
            </w:r>
            <w:r>
              <w:rPr>
                <w:vertAlign w:val="superscript"/>
              </w:rPr>
              <w:t xml:space="preserve">−1</w:t>
            </w:r>
          </w:p>
        </w:tc>
        <w:tc>
          <w:tcPr/>
          <w:p>
            <w:pPr>
              <w:pStyle w:val="Compact"/>
            </w:pPr>
            <w:r>
              <w:t xml:space="preserve">[C] chosen, not derived; used only to define the barrier and to exclude the exponential law</w:t>
            </w:r>
          </w:p>
        </w:tc>
        <w:tc>
          <w:tcPr/>
          <w:p>
            <w:pPr>
              <w:pStyle w:val="Compact"/>
            </w:pPr>
            <w:r>
              <w:t xml:space="preserve">the four nucleation quantities below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γ, Δ</w:t>
            </w:r>
            <w:r>
              <w:rPr>
                <w:i/>
                <w:iCs/>
              </w:rPr>
              <w:t xml:space="preserve">G</w:t>
            </w:r>
            <w:r>
              <w:t xml:space="preserve">*,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*,</w:t>
            </w:r>
            <w:r>
              <w:t xml:space="preserve"> </w:t>
            </w:r>
            <w:r>
              <w:rPr>
                <w:i/>
                <w:iCs/>
              </w:rPr>
              <w:t xml:space="preserve">a</w:t>
            </w:r>
            <w: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0.114 mJ m</w:t>
            </w:r>
            <w:r>
              <w:rPr>
                <w:vertAlign w:val="superscript"/>
              </w:rPr>
              <w:t xml:space="preserve">−2</w:t>
            </w:r>
            <w:r>
              <w:t xml:space="preserve">, 13.9</w:t>
            </w:r>
            <w:r>
              <w:t xml:space="preserve"> </w:t>
            </w:r>
            <w:r>
              <w:rPr>
                <w:i/>
                <w:iCs/>
              </w:rPr>
              <w:t xml:space="preserve">k</w:t>
            </w:r>
            <w:r>
              <w:rPr>
                <w:vertAlign w:val="subscript"/>
              </w:rPr>
              <w:t xml:space="preserve">B</w:t>
            </w:r>
            <w:r>
              <w:rPr>
                <w:i/>
                <w:iCs/>
              </w:rPr>
              <w:t xml:space="preserve">T</w:t>
            </w:r>
            <w:r>
              <w:t xml:space="preserve">, 70, 11 nm</w:t>
            </w:r>
          </w:p>
        </w:tc>
        <w:tc>
          <w:tcPr/>
          <w:p>
            <w:pPr>
              <w:pStyle w:val="Compact"/>
            </w:pPr>
            <w:r>
              <w:t xml:space="preserve">[C] all back-solved from the attachment frequency; none independently determined</w:t>
            </w:r>
          </w:p>
        </w:tc>
        <w:tc>
          <w:tcPr/>
          <w:p>
            <w:pPr>
              <w:pStyle w:val="Compact"/>
            </w:pPr>
            <w:r>
              <w:t xml:space="preserve">each other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Detection threshold</w:t>
            </w:r>
          </w:p>
        </w:tc>
        <w:tc>
          <w:tcPr/>
          <w:p>
            <w:pPr>
              <w:pStyle w:val="Compact"/>
            </w:pPr>
            <w:r>
              <w:t xml:space="preserve">10 deposits</w:t>
            </w:r>
          </w:p>
        </w:tc>
        <w:tc>
          <w:tcPr/>
          <w:p>
            <w:pPr>
              <w:pStyle w:val="Compact"/>
            </w:pPr>
            <w:r>
              <w:t xml:space="preserve">[F] chosen</w:t>
            </w:r>
          </w:p>
        </w:tc>
        <w:tc>
          <w:tcPr/>
          <w:p>
            <w:pPr>
              <w:pStyle w:val="Compact"/>
            </w:pPr>
            <w:r>
              <w:t xml:space="preserve">absolute onset ages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ω</w:t>
            </w:r>
            <w:r>
              <w:rPr>
                <w:vertAlign w:val="subscript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0.0030 yr</w:t>
            </w:r>
            <w:r>
              <w:rPr>
                <w:vertAlign w:val="superscript"/>
              </w:rPr>
              <w:t xml:space="preserve">−1</w:t>
            </w:r>
          </w:p>
        </w:tc>
        <w:tc>
          <w:tcPr/>
          <w:p>
            <w:pPr>
              <w:pStyle w:val="Compact"/>
            </w:pPr>
            <w:r>
              <w:t xml:space="preserve">[F]</w:t>
            </w:r>
          </w:p>
        </w:tc>
        <w:tc>
          <w:tcPr/>
          <w:p>
            <w:pPr>
              <w:pStyle w:val="Compact"/>
            </w:pPr>
            <w:r>
              <w:t xml:space="preserve">counts, onset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  <w:r>
              <w:rPr>
                <w:i/>
                <w:iCs/>
              </w:rPr>
              <w:t xml:space="preserve">a</w:t>
            </w:r>
            <w:r>
              <w:t xml:space="preserve">/d</w:t>
            </w:r>
            <w:r>
              <w:rPr>
                <w:i/>
                <w:iCs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40 µm yr</w:t>
            </w:r>
            <w:r>
              <w:rPr>
                <w:vertAlign w:val="superscript"/>
              </w:rPr>
              <w:t xml:space="preserve">−1</w:t>
            </w:r>
            <w:r>
              <w:t xml:space="preserve">, 60 preferred (Supplementary Note 3)</w:t>
            </w:r>
          </w:p>
        </w:tc>
        <w:tc>
          <w:tcPr/>
          <w:p>
            <w:pPr>
              <w:pStyle w:val="Compact"/>
            </w:pPr>
            <w:r>
              <w:t xml:space="preserve">[F] set by the coverage exponent</w:t>
            </w:r>
          </w:p>
        </w:tc>
        <w:tc>
          <w:tcPr/>
          <w:p>
            <w:pPr>
              <w:pStyle w:val="Compact"/>
            </w:pPr>
            <w:r>
              <w:t xml:space="preserve">coverage, Da</w:t>
            </w:r>
            <w:r>
              <w:rPr>
                <w:vertAlign w:val="subscript"/>
              </w:rPr>
              <w:t xml:space="preserve">p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Erosion rate</w:t>
            </w:r>
          </w:p>
        </w:tc>
        <w:tc>
          <w:tcPr/>
          <w:p>
            <w:pPr>
              <w:pStyle w:val="Compact"/>
            </w:pPr>
            <w:r>
              <w:t xml:space="preserve">0.0040 yr</w:t>
            </w:r>
            <w:r>
              <w:rPr>
                <w:vertAlign w:val="superscript"/>
              </w:rPr>
              <w:t xml:space="preserve">−1</w:t>
            </w:r>
          </w:p>
        </w:tc>
        <w:tc>
          <w:tcPr/>
          <w:p>
            <w:pPr>
              <w:pStyle w:val="Compact"/>
            </w:pPr>
            <w:r>
              <w:t xml:space="preserve">[F]</w:t>
            </w:r>
          </w:p>
        </w:tc>
        <w:tc>
          <w:tcPr/>
          <w:p>
            <w:pPr>
              <w:pStyle w:val="Compact"/>
            </w:pPr>
            <w:r>
              <w:t xml:space="preserve">annular counts</w:t>
            </w:r>
          </w:p>
        </w:tc>
      </w:tr>
    </w:tbl>
    <w:p>
      <w:pPr>
        <w:pStyle w:val="BodyText"/>
      </w:pPr>
      <w:r>
        <w:t xml:space="preserve">Four constants are fitted, one threshold is chosen, and seven calibrations are drawn from the series</w:t>
      </w:r>
      <w:r>
        <w:t xml:space="preserve"> </w:t>
      </w:r>
      <w:r>
        <w:t xml:space="preserve">the model is tested against. Three of the four fitted constants are material properties with a</w:t>
      </w:r>
      <w:r>
        <w:t xml:space="preserve"> </w:t>
      </w:r>
      <w:r>
        <w:t xml:space="preserve">defined experiment; the erosion rate can in practice only be measured in human corneas, that is, from</w:t>
      </w:r>
      <w:r>
        <w:t xml:space="preserve"> </w:t>
      </w:r>
      <w:r>
        <w:t xml:space="preserve">the same series. None of the four load-bearing results in the main text uses any entry in this table.</w:t>
      </w:r>
    </w:p>
    <w:p>
      <w:r>
        <w:pict>
          <v:rect style="width:0;height:1.5pt" o:hralign="center" o:hrstd="t" o:hr="t"/>
        </w:pict>
      </w:r>
    </w:p>
    <w:bookmarkEnd w:id="9"/>
    <w:bookmarkStart w:id="10" w:name="supplementary-note-1"/>
    <w:p>
      <w:pPr>
        <w:pStyle w:val="Heading2"/>
      </w:pPr>
      <w:r>
        <w:t xml:space="preserve">Supplementary Note 1</w:t>
      </w:r>
    </w:p>
    <w:p>
      <w:pPr>
        <w:pStyle w:val="FirstParagraph"/>
      </w:pPr>
      <w:r>
        <w:rPr>
          <w:b/>
          <w:bCs/>
        </w:rPr>
        <w:t xml:space="preserve">The arrest comparison without power laws.</w:t>
      </w:r>
      <w:r>
        <w:t xml:space="preserve"> </w:t>
      </w:r>
      <w:r>
        <w:t xml:space="preserve">The invariance result in the main text holds for</w:t>
      </w:r>
      <w:r>
        <w:t xml:space="preserve"> </w:t>
      </w:r>
      <w:r>
        <w:t xml:space="preserve">power-law nucleation. This note removes even that restriction, and the removal costs nothing because</w:t>
      </w:r>
      <w:r>
        <w:t xml:space="preserve"> </w:t>
      </w:r>
      <w:r>
        <w:t xml:space="preserve">the count series is itself the nucleation history. As long as deposits are not removed, and the</w:t>
      </w:r>
      <w:r>
        <w:t xml:space="preserve"> </w:t>
      </w:r>
      <w:r>
        <w:t xml:space="preserve">annular fraction granted in full as the erosion budget is the source’s own estimate of what removal</w:t>
      </w:r>
      <w:r>
        <w:t xml:space="preserve"> </w:t>
      </w:r>
      <w:r>
        <w:t xml:space="preserve">there is,</w:t>
      </w:r>
      <w:r>
        <w:t xml:space="preserve"> </w:t>
      </w:r>
      <w:r>
        <w:rPr>
          <w:i/>
          <w:iCs/>
        </w:rPr>
        <w:t xml:space="preserve">N</w:t>
      </w:r>
      <w:r>
        <w:t xml:space="preserve">(</w:t>
      </w:r>
      <w:r>
        <w:rPr>
          <w:i/>
          <w:iCs/>
        </w:rPr>
        <w:t xml:space="preserve">t</w:t>
      </w:r>
      <w:r>
        <w:t xml:space="preserve">) is the cumulative number born by age</w:t>
      </w:r>
      <w:r>
        <w:t xml:space="preserve"> </w:t>
      </w:r>
      <w:r>
        <w:rPr>
          <w:i/>
          <w:iCs/>
        </w:rPr>
        <w:t xml:space="preserve">t</w:t>
      </w:r>
      <w:r>
        <w:t xml:space="preserve">, so the six published counts fix the</w:t>
      </w:r>
      <w:r>
        <w:t xml:space="preserve"> </w:t>
      </w:r>
      <w:r>
        <w:t xml:space="preserve">cumulative curve at six points.</w:t>
      </w:r>
    </w:p>
    <w:p>
      <w:pPr>
        <w:pStyle w:val="BodyText"/>
      </w:pPr>
      <w:r>
        <w:t xml:space="preserve">The only freedom left is where inside each interval the deposits of that interval were born, and that</w:t>
      </w:r>
      <w:r>
        <w:t xml:space="preserve"> </w:t>
      </w:r>
      <w:r>
        <w:t xml:space="preserve">freedom is bounded by the interval. Writing τ</w:t>
      </w:r>
      <w:r>
        <w:rPr>
          <w:i/>
          <w:iCs/>
          <w:vertAlign w:val="subscript"/>
        </w:rPr>
        <w:t xml:space="preserve">i</w:t>
      </w:r>
      <w:r>
        <w:t xml:space="preserve"> </w:t>
      </w:r>
      <w:r>
        <w:t xml:space="preserve">=</w:t>
      </w:r>
      <w:r>
        <w:t xml:space="preserve"> </w:t>
      </w:r>
      <w:r>
        <w:rPr>
          <w:i/>
          <w:iCs/>
        </w:rPr>
        <w:t xml:space="preserve">t</w:t>
      </w:r>
      <w:r>
        <w:rPr>
          <w:i/>
          <w:iCs/>
          <w:vertAlign w:val="subscript"/>
        </w:rPr>
        <w:t xml:space="preserve">i</w:t>
      </w:r>
      <w:r>
        <w:t xml:space="preserve"> </w:t>
      </w:r>
      <w:r>
        <w:t xml:space="preserve">+</w:t>
      </w:r>
      <w:r>
        <w:t xml:space="preserve"> </w:t>
      </w:r>
      <w:r>
        <w:rPr>
          <w:i/>
          <w:iCs/>
        </w:rPr>
        <w:t xml:space="preserve">f</w:t>
      </w:r>
      <w:r>
        <w:rPr>
          <w:i/>
          <w:iCs/>
          <w:vertAlign w:val="subscript"/>
        </w:rPr>
        <w:t xml:space="preserve">i</w:t>
      </w:r>
      <w:r>
        <w:t xml:space="preserve">(</w:t>
      </w:r>
      <w:r>
        <w:rPr>
          <w:i/>
          <w:iCs/>
        </w:rPr>
        <w:t xml:space="preserve">t</w:t>
      </w:r>
      <w:r>
        <w:rPr>
          <w:i/>
          <w:iCs/>
          <w:vertAlign w:val="subscript"/>
        </w:rPr>
        <w:t xml:space="preserve">i</w:t>
      </w:r>
      <w:r>
        <w:rPr>
          <w:vertAlign w:val="subscript"/>
        </w:rPr>
        <w:t xml:space="preserve">+1</w:t>
      </w:r>
      <w:r>
        <w:t xml:space="preserve"> </w:t>
      </w:r>
      <w:r>
        <w:t xml:space="preserve">−</w:t>
      </w:r>
      <w:r>
        <w:t xml:space="preserve"> </w:t>
      </w:r>
      <w:r>
        <w:rPr>
          <w:i/>
          <w:iCs/>
        </w:rPr>
        <w:t xml:space="preserve">t</w:t>
      </w:r>
      <w:r>
        <w:rPr>
          <w:i/>
          <w:iCs/>
          <w:vertAlign w:val="subscript"/>
        </w:rPr>
        <w:t xml:space="preserve">i</w:t>
      </w:r>
      <w:r>
        <w:t xml:space="preserve">) with</w:t>
      </w:r>
      <w:r>
        <w:t xml:space="preserve"> </w:t>
      </w:r>
      <w:r>
        <w:t xml:space="preserve">0 ≤</w:t>
      </w:r>
      <w:r>
        <w:t xml:space="preserve"> </w:t>
      </w:r>
      <w:r>
        <w:rPr>
          <w:i/>
          <w:iCs/>
        </w:rPr>
        <w:t xml:space="preserve">f</w:t>
      </w:r>
      <w:r>
        <w:rPr>
          <w:i/>
          <w:iCs/>
          <w:vertAlign w:val="subscript"/>
        </w:rPr>
        <w:t xml:space="preserve">i</w:t>
      </w:r>
      <w:r>
        <w:t xml:space="preserve"> </w:t>
      </w:r>
      <w:r>
        <w:t xml:space="preserve">&lt; 1 and placing the Δ</w:t>
      </w:r>
      <w:r>
        <w:rPr>
          <w:i/>
          <w:iCs/>
        </w:rPr>
        <w:t xml:space="preserve">N</w:t>
      </w:r>
      <w:r>
        <w:rPr>
          <w:i/>
          <w:iCs/>
          <w:vertAlign w:val="subscript"/>
        </w:rPr>
        <w:t xml:space="preserve">i</w:t>
      </w:r>
      <w:r>
        <w:t xml:space="preserve"> </w:t>
      </w:r>
      <w:r>
        <w:t xml:space="preserve">deposits of interval</w:t>
      </w:r>
      <w:r>
        <w:t xml:space="preserve"> </w:t>
      </w:r>
      <w:r>
        <w:rPr>
          <w:i/>
          <w:iCs/>
        </w:rPr>
        <w:t xml:space="preserve">i</w:t>
      </w:r>
      <w:r>
        <w:t xml:space="preserve"> </w:t>
      </w:r>
      <w:r>
        <w:t xml:space="preserve">at τ</w:t>
      </w:r>
      <w:r>
        <w:rPr>
          <w:i/>
          <w:iCs/>
          <w:vertAlign w:val="subscript"/>
        </w:rPr>
        <w:t xml:space="preserve">i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 </m:t>
          </m:r>
          <m:r>
            <m:rPr>
              <m:sty m:val="p"/>
            </m:rPr>
            <m:t>∝</m:t>
          </m:r>
          <m:r>
            <m:t> 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sSub>
                <m:e>
                  <m:r>
                    <m:t>τ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t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Δ</m:t>
              </m:r>
            </m:e>
          </m:nary>
          <m:sSub>
            <m:e>
              <m:r>
                <m:t>N</m:t>
              </m:r>
            </m:e>
            <m:sub>
              <m:r>
                <m:t>i</m:t>
              </m:r>
            </m:sub>
          </m:sSub>
          <m:r>
            <m:t> 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−</m:t>
          </m:r>
          <m:sSub>
            <m:e>
              <m:r>
                <m:t>τ</m:t>
              </m:r>
            </m:e>
            <m:sub>
              <m:r>
                <m:t>i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  <m:r>
                <m:t>n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one overall scale. For each fixed exponent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we minimise the log-space misfit to all six</w:t>
      </w:r>
      <w:r>
        <w:t xml:space="preserve"> </w:t>
      </w:r>
      <w:r>
        <w:t xml:space="preserve">coverage values over the six</w:t>
      </w:r>
      <w:r>
        <w:t xml:space="preserve"> </w:t>
      </w:r>
      <w:r>
        <w:rPr>
          <w:i/>
          <w:iCs/>
        </w:rPr>
        <w:t xml:space="preserve">f</w:t>
      </w:r>
      <w:r>
        <w:rPr>
          <w:i/>
          <w:iCs/>
          <w:vertAlign w:val="subscript"/>
        </w:rPr>
        <w:t xml:space="preserve">i</w:t>
      </w:r>
      <w:r>
        <w:t xml:space="preserve"> </w:t>
      </w:r>
      <w:r>
        <w:t xml:space="preserve">and that scale, which gives the most favourable history that</w:t>
      </w:r>
      <w:r>
        <w:t xml:space="preserve"> </w:t>
      </w:r>
      <w:r>
        <w:t xml:space="preserve">exponent admits. The comparison is then a profile likelihood in the single parameter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with the</w:t>
      </w:r>
      <w:r>
        <w:t xml:space="preserve"> </w:t>
      </w:r>
      <w:r>
        <w:t xml:space="preserve">history profiled out, and we report the contrast between exponents rather than an absolute goodness</w:t>
      </w:r>
      <w:r>
        <w:t xml:space="preserve"> </w:t>
      </w:r>
      <w:r>
        <w:t xml:space="preserve">of fit.</w:t>
      </w:r>
    </w:p>
    <w:p>
      <w:pPr>
        <w:pStyle w:val="BodyText"/>
      </w:pPr>
      <w:r>
        <w:t xml:space="preserve">The profile minimum sits at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= 0.09. Under a bootstrap with 10% observation error the admissible</w:t>
      </w:r>
      <w:r>
        <w:t xml:space="preserve"> </w:t>
      </w:r>
      <w:r>
        <w:t xml:space="preserve">interval is 0.03 to 0.18; the diffusion-limited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= 1/2 is excluded until the assumed error reaches</w:t>
      </w:r>
      <w:r>
        <w:t xml:space="preserve"> </w:t>
      </w:r>
      <w:r>
        <w:t xml:space="preserve">about 34%, and constant velocity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= 1 until it reaches 60%. At the optimum five or six of the six</w:t>
      </w:r>
      <w:r>
        <w:t xml:space="preserve"> </w:t>
      </w:r>
      <w:r>
        <w:rPr>
          <w:i/>
          <w:iCs/>
        </w:rPr>
        <w:t xml:space="preserve">f</w:t>
      </w:r>
      <w:r>
        <w:rPr>
          <w:i/>
          <w:iCs/>
          <w:vertAlign w:val="subscript"/>
        </w:rPr>
        <w:t xml:space="preserve">i</w:t>
      </w:r>
      <w:r>
        <w:t xml:space="preserve"> </w:t>
      </w:r>
      <w:r>
        <w:t xml:space="preserve">sit at their interval bounds, so the residual exists because the box constrains it and the</w:t>
      </w:r>
      <w:r>
        <w:t xml:space="preserve"> </w:t>
      </w:r>
      <w:r>
        <w:t xml:space="preserve">conditions for an asymptotic likelihood-ratio interval do not hold; the interval quoted above is a</w:t>
      </w:r>
      <w:r>
        <w:t xml:space="preserve"> </w:t>
      </w:r>
      <w:r>
        <w:t xml:space="preserve">bootstrap one. This is why the main text leads with the analytic invariance and cites this note as</w:t>
      </w:r>
      <w:r>
        <w:t xml:space="preserve"> </w:t>
      </w:r>
      <w:r>
        <w:t xml:space="preserve">the check rather than as the argument.</w:t>
      </w:r>
    </w:p>
    <w:p>
      <w:r>
        <w:pict>
          <v:rect style="width:0;height:1.5pt" o:hralign="center" o:hrstd="t" o:hr="t"/>
        </w:pict>
      </w:r>
    </w:p>
    <w:bookmarkEnd w:id="10"/>
    <w:bookmarkStart w:id="11" w:name="supplementary-note-2"/>
    <w:p>
      <w:pPr>
        <w:pStyle w:val="Heading2"/>
      </w:pPr>
      <w:r>
        <w:t xml:space="preserve">Supplementary Note 2</w:t>
      </w:r>
    </w:p>
    <w:p>
      <w:pPr>
        <w:pStyle w:val="FirstParagraph"/>
      </w:pPr>
      <w:r>
        <w:rPr>
          <w:b/>
          <w:bCs/>
        </w:rPr>
        <w:t xml:space="preserve">One constant per allele.</w:t>
      </w:r>
      <w:r>
        <w:t xml:space="preserve"> </w:t>
      </w:r>
      <w:r>
        <w:t xml:space="preserve">Writing ψ for an allele’s solubility factor relative to R124H,</w:t>
      </w:r>
      <w:r>
        <w:t xml:space="preserve"> </w:t>
      </w:r>
      <w:r>
        <w:rPr>
          <w:i/>
          <w:iCs/>
        </w:rPr>
        <w:t xml:space="preserve">S</w:t>
      </w:r>
      <w:r>
        <w:rPr>
          <w:vertAlign w:val="subscript"/>
        </w:rPr>
        <w:t xml:space="preserve">X</w:t>
      </w:r>
      <w:r>
        <w:t xml:space="preserve"> </w:t>
      </w:r>
      <w:r>
        <w:t xml:space="preserve">=</w:t>
      </w:r>
      <w:r>
        <w:t xml:space="preserve"> </w:t>
      </w:r>
      <w:r>
        <w:rPr>
          <w:i/>
          <w:iCs/>
        </w:rPr>
        <w:t xml:space="preserve">S</w:t>
      </w:r>
      <w:r>
        <w:rPr>
          <w:vertAlign w:val="subscript"/>
        </w:rPr>
        <w:t xml:space="preserve">0</w:t>
      </w:r>
      <w:r>
        <w:t xml:space="preserve">ψ, and three observables are locked together with no further constant.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Expression</w:t>
            </w:r>
          </w:p>
        </w:tc>
        <w:tc>
          <w:tcPr/>
          <w:p>
            <w:pPr>
              <w:pStyle w:val="Compact"/>
            </w:pPr>
            <w:r>
              <w:t xml:space="preserve">ψ = 0.8</w:t>
            </w:r>
          </w:p>
        </w:tc>
        <w:tc>
          <w:tcPr/>
          <w:p>
            <w:pPr>
              <w:pStyle w:val="Compact"/>
            </w:pPr>
            <w:r>
              <w:t xml:space="preserve">ψ = 1.0 (R124H)</w:t>
            </w:r>
          </w:p>
        </w:tc>
        <w:tc>
          <w:tcPr/>
          <w:p>
            <w:pPr>
              <w:pStyle w:val="Compact"/>
            </w:pPr>
            <w:r>
              <w:t xml:space="preserve">ψ = 1.3</w:t>
            </w:r>
          </w:p>
        </w:tc>
        <w:tc>
          <w:tcPr/>
          <w:p>
            <w:pPr>
              <w:pStyle w:val="Compact"/>
            </w:pPr>
            <w:r>
              <w:t xml:space="preserve">ψ = 2.0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Onset age relative to R124H</w:t>
            </w:r>
          </w:p>
        </w:tc>
        <w:tc>
          <w:tcPr/>
          <w:p>
            <w:pPr>
              <w:pStyle w:val="Compact"/>
            </w:pPr>
            <w:r>
              <w:t xml:space="preserve">(</w:t>
            </w:r>
            <w:r>
              <w:rPr>
                <w:i/>
                <w:iCs/>
              </w:rPr>
              <w:t xml:space="preserve">S</w:t>
            </w:r>
            <w:r>
              <w:rPr>
                <w:vertAlign w:val="subscript"/>
              </w:rPr>
              <w:t xml:space="preserve">0</w:t>
            </w:r>
            <w:r>
              <w:t xml:space="preserve"> </w:t>
            </w:r>
            <w:r>
              <w:t xml:space="preserve">− 1)/(</w:t>
            </w:r>
            <w:r>
              <w:rPr>
                <w:i/>
                <w:iCs/>
              </w:rPr>
              <w:t xml:space="preserve">S</w:t>
            </w:r>
            <w:r>
              <w:rPr>
                <w:vertAlign w:val="subscript"/>
              </w:rPr>
              <w:t xml:space="preserve">X</w:t>
            </w:r>
            <w:r>
              <w:t xml:space="preserve"> </w:t>
            </w:r>
            <w:r>
              <w:t xml:space="preserve">− 1)</w:t>
            </w:r>
          </w:p>
        </w:tc>
        <w:tc>
          <w:tcPr/>
          <w:p>
            <w:pPr>
              <w:pStyle w:val="Compact"/>
            </w:pPr>
            <w:r>
              <w:t xml:space="preserve">2.55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  <w:tc>
          <w:tcPr/>
          <w:p>
            <w:pPr>
              <w:pStyle w:val="Compact"/>
            </w:pPr>
            <w:r>
              <w:t xml:space="preserve">0.52</w:t>
            </w:r>
          </w:p>
        </w:tc>
        <w:tc>
          <w:tcPr/>
          <w:p>
            <w:pPr>
              <w:pStyle w:val="Compact"/>
            </w:pPr>
            <w:r>
              <w:t xml:space="preserve">0.25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Homozygote to heterozygote timescale</w:t>
            </w:r>
          </w:p>
        </w:tc>
        <w:tc>
          <w:tcPr/>
          <w:p>
            <w:pPr>
              <w:pStyle w:val="Compact"/>
            </w:pPr>
            <w:r>
              <w:t xml:space="preserve">(2</w:t>
            </w:r>
            <w:r>
              <w:rPr>
                <w:i/>
                <w:iCs/>
              </w:rPr>
              <w:t xml:space="preserve">S</w:t>
            </w:r>
            <w:r>
              <w:rPr>
                <w:vertAlign w:val="subscript"/>
              </w:rPr>
              <w:t xml:space="preserve">X</w:t>
            </w:r>
            <w:r>
              <w:t xml:space="preserve"> </w:t>
            </w:r>
            <w:r>
              <w:t xml:space="preserve">− 1)/(</w:t>
            </w:r>
            <w:r>
              <w:rPr>
                <w:i/>
                <w:iCs/>
              </w:rPr>
              <w:t xml:space="preserve">S</w:t>
            </w:r>
            <w:r>
              <w:rPr>
                <w:vertAlign w:val="subscript"/>
              </w:rPr>
              <w:t xml:space="preserve">X</w:t>
            </w:r>
            <w:r>
              <w:t xml:space="preserve"> </w:t>
            </w:r>
            <w:r>
              <w:t xml:space="preserve">− 1)</w:t>
            </w:r>
          </w:p>
        </w:tc>
        <w:tc>
          <w:tcPr/>
          <w:p>
            <w:pPr>
              <w:pStyle w:val="Compact"/>
            </w:pPr>
            <w:r>
              <w:t xml:space="preserve">7.21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4.04</w:t>
            </w:r>
          </w:p>
        </w:tc>
        <w:tc>
          <w:tcPr/>
          <w:p>
            <w:pPr>
              <w:pStyle w:val="Compact"/>
            </w:pPr>
            <w:r>
              <w:t xml:space="preserve">3.07</w:t>
            </w:r>
          </w:p>
        </w:tc>
        <w:tc>
          <w:tcPr/>
          <w:p>
            <w:pPr>
              <w:pStyle w:val="Compact"/>
            </w:pPr>
            <w:r>
              <w:t xml:space="preserve">2.51</w:t>
            </w:r>
          </w:p>
        </w:tc>
      </w:tr>
    </w:tbl>
    <w:p>
      <w:pPr>
        <w:pStyle w:val="BodyText"/>
      </w:pPr>
      <w:r>
        <w:t xml:space="preserve">The bold entry is the calibration point. The second row is the counter-intuitive one: since the</w:t>
      </w:r>
      <w:r>
        <w:t xml:space="preserve"> </w:t>
      </w:r>
      <w:r>
        <w:t xml:space="preserve">expression diverges as</w:t>
      </w:r>
      <w:r>
        <w:t xml:space="preserve"> </w:t>
      </w:r>
      <w:r>
        <w:rPr>
          <w:i/>
          <w:iCs/>
        </w:rPr>
        <w:t xml:space="preserve">S</w:t>
      </w:r>
      <w:r>
        <w:t xml:space="preserve"> </w:t>
      </w:r>
      <w:r>
        <w:t xml:space="preserve">→ 1</w:t>
      </w:r>
      <w:r>
        <w:rPr>
          <w:vertAlign w:val="superscript"/>
        </w:rPr>
        <w:t xml:space="preserve">+</w:t>
      </w:r>
      <w:r>
        <w:t xml:space="preserve"> </w:t>
      </w:r>
      <w:r>
        <w:t xml:space="preserve">and tends to 2 at large</w:t>
      </w:r>
      <w:r>
        <w:t xml:space="preserve"> </w:t>
      </w:r>
      <w:r>
        <w:rPr>
          <w:i/>
          <w:iCs/>
        </w:rPr>
        <w:t xml:space="preserve">S</w:t>
      </w:r>
      <w:r>
        <w:t xml:space="preserve">, the milder the allele the more sharply</w:t>
      </w:r>
      <w:r>
        <w:t xml:space="preserve"> </w:t>
      </w:r>
      <w:r>
        <w:t xml:space="preserve">homozygotes should differ from heterozygotes. Measuring either row for a given allele fixes the</w:t>
      </w:r>
      <w:r>
        <w:t xml:space="preserve"> </w:t>
      </w:r>
      <w:r>
        <w:t xml:space="preserve">other.</w:t>
      </w:r>
    </w:p>
    <w:p>
      <w:pPr>
        <w:pStyle w:val="BodyText"/>
      </w:pPr>
      <w:r>
        <w:t xml:space="preserve">Two limits belong with it. Confirmed human homozygotes exist for R124H and, in one consanguineous</w:t>
      </w:r>
      <w:r>
        <w:t xml:space="preserve"> </w:t>
      </w:r>
      <w:r>
        <w:t xml:space="preserve">pedigree, for R555W, so the second row has one testable pair at present. And onset ages for different</w:t>
      </w:r>
      <w:r>
        <w:t xml:space="preserve"> </w:t>
      </w:r>
      <w:r>
        <w:t xml:space="preserve">alleles come from different cohorts with different ascertainment; the one single-cohort comparison</w:t>
      </w:r>
      <w:r>
        <w:t xml:space="preserve"> </w:t>
      </w:r>
      <w:r>
        <w:t xml:space="preserve">available reports two timescales for the Reis-Bücklers and Thiel-Behnke pair that rank it the same</w:t>
      </w:r>
      <w:r>
        <w:t xml:space="preserve"> </w:t>
      </w:r>
      <w:r>
        <w:t xml:space="preserve">way but differ from each other, 1.56 against 2.51, which is an ordering rather than a test.</w:t>
      </w:r>
    </w:p>
    <w:p>
      <w:r>
        <w:pict>
          <v:rect style="width:0;height:1.5pt" o:hralign="center" o:hrstd="t" o:hr="t"/>
        </w:pict>
      </w:r>
    </w:p>
    <w:bookmarkEnd w:id="11"/>
    <w:bookmarkStart w:id="12" w:name="supplementary-note-3"/>
    <w:p>
      <w:pPr>
        <w:pStyle w:val="Heading2"/>
      </w:pPr>
      <w:r>
        <w:t xml:space="preserve">Supplementary Note 3</w:t>
      </w:r>
    </w:p>
    <w:p>
      <w:pPr>
        <w:pStyle w:val="FirstParagraph"/>
      </w:pPr>
      <w:r>
        <w:rPr>
          <w:b/>
          <w:bCs/>
        </w:rPr>
        <w:t xml:space="preserve">The simulation and the two external constraints on the growth rate.</w:t>
      </w:r>
      <w:r>
        <w:t xml:space="preserve"> </w:t>
      </w:r>
      <w:r>
        <w:t xml:space="preserve">The simulation occupies sites</w:t>
      </w:r>
      <w:r>
        <w:t xml:space="preserve"> </w:t>
      </w:r>
      <w:r>
        <w:t xml:space="preserve">at ω = ω</w:t>
      </w:r>
      <w:r>
        <w:rPr>
          <w:vertAlign w:val="subscript"/>
        </w:rPr>
        <w:t xml:space="preserve">0</w:t>
      </w:r>
      <w:r>
        <w:t xml:space="preserve">(</w:t>
      </w:r>
      <w:r>
        <w:rPr>
          <w:i/>
          <w:iCs/>
        </w:rPr>
        <w:t xml:space="preserve">S</w:t>
      </w:r>
      <w:r>
        <w:t xml:space="preserve"> </w:t>
      </w:r>
      <w:r>
        <w:t xml:space="preserve">− 1)/(</w:t>
      </w:r>
      <w:r>
        <w:rPr>
          <w:i/>
          <w:iCs/>
        </w:rPr>
        <w:t xml:space="preserve">S</w:t>
      </w:r>
      <w:r>
        <w:rPr>
          <w:vertAlign w:val="subscript"/>
        </w:rPr>
        <w:t xml:space="preserve">0</w:t>
      </w:r>
      <w:r>
        <w:t xml:space="preserve"> </w:t>
      </w:r>
      <w:r>
        <w:t xml:space="preserve">− 1) on a fixed inventory</w:t>
      </w:r>
      <w:r>
        <w:t xml:space="preserve"> </w:t>
      </w:r>
      <w:r>
        <w:rPr>
          <w:i/>
          <w:iCs/>
        </w:rPr>
        <w:t xml:space="preserve">M</w:t>
      </w:r>
      <w:r>
        <w:t xml:space="preserve">; each occupied site grows at constant</w:t>
      </w:r>
      <w:r>
        <w:t xml:space="preserve"> </w:t>
      </w:r>
      <w:r>
        <w:t xml:space="preserve">d</w:t>
      </w:r>
      <w:r>
        <w:rPr>
          <w:i/>
          <w:iCs/>
        </w:rPr>
        <w:t xml:space="preserve">a</w:t>
      </w:r>
      <w:r>
        <w:t xml:space="preserve">/d</w:t>
      </w:r>
      <w:r>
        <w:rPr>
          <w:i/>
          <w:iCs/>
        </w:rPr>
        <w:t xml:space="preserve">t</w:t>
      </w:r>
      <w:r>
        <w:t xml:space="preserve"> </w:t>
      </w:r>
      <w:r>
        <w:t xml:space="preserve">to</w:t>
      </w:r>
      <w:r>
        <w:t xml:space="preserve"> </w:t>
      </w:r>
      <w:r>
        <w:rPr>
          <w:i/>
          <w:iCs/>
        </w:rPr>
        <w:t xml:space="preserve">a</w:t>
      </w:r>
      <w:r>
        <w:rPr>
          <w:vertAlign w:val="subscript"/>
        </w:rPr>
        <w:t xml:space="preserve">max</w:t>
      </w:r>
      <w:r>
        <w:t xml:space="preserve"> </w:t>
      </w:r>
      <w:r>
        <w:t xml:space="preserve">= κ</w:t>
      </w:r>
      <w:r>
        <w:rPr>
          <w:i/>
          <w:iCs/>
        </w:rPr>
        <w:t xml:space="preserve">z</w:t>
      </w:r>
      <w:r>
        <w:rPr>
          <w:vertAlign w:val="subscript"/>
        </w:rPr>
        <w:t xml:space="preserve">0</w:t>
      </w:r>
      <w:r>
        <w:t xml:space="preserve"> </w:t>
      </w:r>
      <w:r>
        <w:t xml:space="preserve">and then stops; deposits are removed at a constant erosion rate; and</w:t>
      </w:r>
      <w:r>
        <w:t xml:space="preserve"> </w:t>
      </w:r>
      <w:r>
        <w:t xml:space="preserve">the nucleation depth is drawn with a coefficient of variation of 0.43. Twelve seeds were run.</w:t>
      </w:r>
    </w:p>
    <w:p>
      <w:pPr>
        <w:pStyle w:val="BodyText"/>
      </w:pPr>
      <w:r>
        <w:rPr>
          <w:b/>
          <w:bCs/>
        </w:rPr>
        <w:t xml:space="preserve">The count comparison is a consistency condition.</w:t>
      </w:r>
      <w:r>
        <w:t xml:space="preserve"> </w:t>
      </w:r>
      <w:r>
        <w:t xml:space="preserve">Let</w:t>
      </w:r>
      <w:r>
        <w:t xml:space="preserve"> </w:t>
      </w:r>
      <w:r>
        <w:rPr>
          <w:i/>
          <w:iCs/>
        </w:rPr>
        <w:t xml:space="preserve">g</w:t>
      </w:r>
      <w:r>
        <w:t xml:space="preserve"> </w:t>
      </w:r>
      <w:r>
        <w:t xml:space="preserve">be the ratio of between-patient to</w:t>
      </w:r>
      <w:r>
        <w:t xml:space="preserve"> </w:t>
      </w:r>
      <w:r>
        <w:t xml:space="preserve">between-eye standard deviation at fixed age, and take each observation as the mean of two eyes.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0.0</w:t>
            </w:r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  <w:r>
              <w:t xml:space="preserve">1.5</w:t>
            </w:r>
          </w:p>
        </w:tc>
        <w:tc>
          <w:tcPr/>
          <w:p>
            <w:pPr>
              <w:pStyle w:val="Compact"/>
            </w:pPr>
            <w:r>
              <w:t xml:space="preserve">2.0</w:t>
            </w:r>
          </w:p>
        </w:tc>
        <w:tc>
          <w:tcPr/>
          <w:p>
            <w:pPr>
              <w:pStyle w:val="Compact"/>
            </w:pPr>
            <w:r>
              <w:t xml:space="preserve">2.5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Effective CV</w:t>
            </w:r>
          </w:p>
        </w:tc>
        <w:tc>
          <w:tcPr/>
          <w:p>
            <w:pPr>
              <w:pStyle w:val="Compact"/>
            </w:pPr>
            <w:r>
              <w:t xml:space="preserve">0.23</w:t>
            </w:r>
          </w:p>
        </w:tc>
        <w:tc>
          <w:tcPr/>
          <w:p>
            <w:pPr>
              <w:pStyle w:val="Compact"/>
            </w:pPr>
            <w:r>
              <w:t xml:space="preserve">0.28</w:t>
            </w:r>
          </w:p>
        </w:tc>
        <w:tc>
          <w:tcPr/>
          <w:p>
            <w:pPr>
              <w:pStyle w:val="Compact"/>
            </w:pPr>
            <w:r>
              <w:t xml:space="preserve">0.40</w:t>
            </w:r>
          </w:p>
        </w:tc>
        <w:tc>
          <w:tcPr/>
          <w:p>
            <w:pPr>
              <w:pStyle w:val="Compact"/>
            </w:pPr>
            <w:r>
              <w:t xml:space="preserve">0.54</w:t>
            </w:r>
          </w:p>
        </w:tc>
        <w:tc>
          <w:tcPr/>
          <w:p>
            <w:pPr>
              <w:pStyle w:val="Compact"/>
            </w:pPr>
            <w:r>
              <w:t xml:space="preserve">0.69</w:t>
            </w:r>
          </w:p>
        </w:tc>
        <w:tc>
          <w:tcPr/>
          <w:p>
            <w:pPr>
              <w:pStyle w:val="Compact"/>
            </w:pPr>
            <w:r>
              <w:t xml:space="preserve">0.84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Discoid χ</w:t>
            </w:r>
            <w:r>
              <w:rPr>
                <w:vertAlign w:val="superscript"/>
              </w:rPr>
              <w:t xml:space="preserve">2</w:t>
            </w:r>
            <w:r>
              <w:t xml:space="preserve">, 6 points, 5 d.f.</w:t>
            </w:r>
          </w:p>
        </w:tc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68.5</w:t>
            </w:r>
          </w:p>
        </w:tc>
        <w:tc>
          <w:tcPr/>
          <w:p>
            <w:pPr>
              <w:pStyle w:val="Compact"/>
            </w:pPr>
            <w:r>
              <w:t xml:space="preserve">34.2</w:t>
            </w:r>
          </w:p>
        </w:tc>
        <w:tc>
          <w:tcPr/>
          <w:p>
            <w:pPr>
              <w:pStyle w:val="Compact"/>
            </w:pPr>
            <w:r>
              <w:t xml:space="preserve">18.7</w:t>
            </w:r>
          </w:p>
        </w:tc>
        <w:tc>
          <w:tcPr/>
          <w:p>
            <w:pPr>
              <w:pStyle w:val="Compact"/>
            </w:pPr>
            <w:r>
              <w:t xml:space="preserve">11.4</w:t>
            </w:r>
          </w:p>
        </w:tc>
        <w:tc>
          <w:tcPr/>
          <w:p>
            <w:pPr>
              <w:pStyle w:val="Compact"/>
            </w:pPr>
            <w:r>
              <w:t xml:space="preserve">7.6</w:t>
            </w:r>
          </w:p>
        </w:tc>
        <w:tc>
          <w:tcPr/>
          <w:p>
            <w:pPr>
              <w:pStyle w:val="Compact"/>
            </w:pPr>
            <w:r>
              <w:t xml:space="preserve">5.4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  <w:r>
              <w:rPr>
                <w:vertAlign w:val="superscript"/>
              </w:rPr>
              <w:t xml:space="preserve">−20</w:t>
            </w:r>
          </w:p>
        </w:tc>
        <w:tc>
          <w:tcPr/>
          <w:p>
            <w:pPr>
              <w:pStyle w:val="Compact"/>
            </w:pPr>
            <w:r>
              <w:t xml:space="preserve">2 × 10</w:t>
            </w:r>
            <w:r>
              <w:rPr>
                <w:vertAlign w:val="superscript"/>
              </w:rPr>
              <w:t xml:space="preserve">−13</w:t>
            </w:r>
          </w:p>
        </w:tc>
        <w:tc>
          <w:tcPr/>
          <w:p>
            <w:pPr>
              <w:pStyle w:val="Compact"/>
            </w:pPr>
            <w:r>
              <w:t xml:space="preserve">2 × 10</w:t>
            </w:r>
            <w:r>
              <w:rPr>
                <w:vertAlign w:val="superscript"/>
              </w:rPr>
              <w:t xml:space="preserve">−6</w:t>
            </w:r>
          </w:p>
        </w:tc>
        <w:tc>
          <w:tcPr/>
          <w:p>
            <w:pPr>
              <w:pStyle w:val="Compact"/>
            </w:pPr>
            <w:r>
              <w:t xml:space="preserve">0.002</w:t>
            </w:r>
          </w:p>
        </w:tc>
        <w:tc>
          <w:tcPr/>
          <w:p>
            <w:pPr>
              <w:pStyle w:val="Compact"/>
            </w:pPr>
            <w:r>
              <w:t xml:space="preserve">0.044</w:t>
            </w:r>
          </w:p>
        </w:tc>
        <w:tc>
          <w:tcPr/>
          <w:p>
            <w:pPr>
              <w:pStyle w:val="Compact"/>
            </w:pPr>
            <w:r>
              <w:t xml:space="preserve">0.179</w:t>
            </w:r>
          </w:p>
        </w:tc>
        <w:tc>
          <w:tcPr/>
          <w:p>
            <w:pPr>
              <w:pStyle w:val="Compact"/>
            </w:pPr>
            <w:r>
              <w:t xml:space="preserve">0.368</w:t>
            </w:r>
          </w:p>
        </w:tc>
      </w:tr>
    </w:tbl>
    <w:p>
      <w:pPr>
        <w:pStyle w:val="BodyText"/>
      </w:pPr>
      <w:r>
        <w:t xml:space="preserve">The model is consistent with the discoid counts precisely when the between-patient spread at fixed</w:t>
      </w:r>
      <w:r>
        <w:t xml:space="preserve"> </w:t>
      </w:r>
      <w:r>
        <w:t xml:space="preserve">age exceeds about twice the between-eye spread. That is a single unmeasured condition and it is the</w:t>
      </w:r>
      <w:r>
        <w:t xml:space="preserve"> </w:t>
      </w:r>
      <w:r>
        <w:t xml:space="preserve">whole content of this comparison, which is why the main text does not offer it as evidence. It is not</w:t>
      </w:r>
      <w:r>
        <w:t xml:space="preserve"> </w:t>
      </w:r>
      <w:r>
        <w:t xml:space="preserve">implausible: the same group’s phenotype study of 906 genotyped heterozygotes</w:t>
      </w:r>
      <w:r>
        <w:rPr>
          <w:vertAlign w:val="superscript"/>
        </w:rPr>
        <w:t xml:space="preserve">7</w:t>
      </w:r>
      <w:r>
        <w:t xml:space="preserve"> </w:t>
      </w:r>
      <w:r>
        <w:t xml:space="preserve">is titled for the</w:t>
      </w:r>
      <w:r>
        <w:t xml:space="preserve"> </w:t>
      </w:r>
      <w:r>
        <w:t xml:space="preserve">variation it found, and reports carriers in their twenties ranging from no detectable deposit to</w:t>
      </w:r>
      <w:r>
        <w:t xml:space="preserve"> </w:t>
      </w:r>
      <w:r>
        <w:t xml:space="preserve">confluent opacity. What the counts establish regardless of</w:t>
      </w:r>
      <w:r>
        <w:t xml:space="preserve"> </w:t>
      </w:r>
      <w:r>
        <w:rPr>
          <w:i/>
          <w:iCs/>
        </w:rPr>
        <w:t xml:space="preserve">g</w:t>
      </w:r>
      <w:r>
        <w:t xml:space="preserve"> </w:t>
      </w:r>
      <w:r>
        <w:t xml:space="preserve">is that a constant count is rejected</w:t>
      </w:r>
      <w:r>
        <w:t xml:space="preserve"> </w:t>
      </w:r>
      <w:r>
        <w:t xml:space="preserve">at every value considered.</w:t>
      </w:r>
    </w:p>
    <w:p>
      <w:pPr>
        <w:pStyle w:val="BodyText"/>
      </w:pPr>
      <w:r>
        <w:rPr>
          <w:b/>
          <w:bCs/>
        </w:rPr>
        <w:t xml:space="preserve">The growth rate.</w:t>
      </w:r>
      <w:r>
        <w:t xml:space="preserve"> </w:t>
      </w:r>
      <w:r>
        <w:t xml:space="preserve">Natural granular deposits are arrested, so their size carries no kinetic</w:t>
      </w:r>
      <w:r>
        <w:t xml:space="preserve"> </w:t>
      </w:r>
      <w:r>
        <w:t xml:space="preserve">information and the growth rate profiles flat across a factor of 2.7. Two observations constrain it</w:t>
      </w:r>
      <w:r>
        <w:t xml:space="preserve"> </w:t>
      </w:r>
      <w:r>
        <w:t xml:space="preserve">from outside the fit, and they pull in opposite directions. The upper-surface zeros pull it up: the</w:t>
      </w:r>
      <w:r>
        <w:t xml:space="preserve"> </w:t>
      </w:r>
      <w:r>
        <w:t xml:space="preserve">model leaves a fraction of deposits still growing at any age, and a growing deposit has its upper</w:t>
      </w:r>
      <w:r>
        <w:t xml:space="preserve"> </w:t>
      </w:r>
      <w:r>
        <w:t xml:space="preserve">surface below the layer. The post-operative thicknesses pull it down: deposits at a flap interface</w:t>
      </w:r>
      <w:r>
        <w:t xml:space="preserve"> </w:t>
      </w:r>
      <w:r>
        <w:t xml:space="preserve">are not arrested, and the model predicts a thickness of 2(d</w:t>
      </w:r>
      <w:r>
        <w:rPr>
          <w:i/>
          <w:iCs/>
        </w:rPr>
        <w:t xml:space="preserve">a</w:t>
      </w:r>
      <w:r>
        <w:t xml:space="preserve">/d</w:t>
      </w:r>
      <w:r>
        <w:rPr>
          <w:i/>
          <w:iCs/>
        </w:rPr>
        <w:t xml:space="preserve">t</w:t>
      </w:r>
      <w:r>
        <w:t xml:space="preserve">)/κ over the post-operative</w:t>
      </w:r>
      <w:r>
        <w:t xml:space="preserve"> </w:t>
      </w:r>
      <w:r>
        <w:t xml:space="preserve">interval against a reported 70.5 ± 36.9 µm (s.d.) at eight years</w:t>
      </w:r>
      <w:r>
        <w:rPr>
          <w:vertAlign w:val="superscript"/>
        </w:rPr>
        <w:t xml:space="preserve">6</w:t>
      </w:r>
      <w:r>
        <w:t xml:space="preserve">. Evaluated at the reporting</w:t>
      </w:r>
      <w:r>
        <w:t xml:space="preserve"> </w:t>
      </w:r>
      <w:r>
        <w:t xml:space="preserve">cohort’s own age distribution, 58 ± 12 years with a range of 33 to 81 rather than at a single age of</w:t>
      </w:r>
      <w:r>
        <w:t xml:space="preserve"> </w:t>
      </w:r>
      <w:r>
        <w:t xml:space="preserve">25: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</w:t>
            </w:r>
            <w:r>
              <w:rPr>
                <w:i/>
                <w:iCs/>
              </w:rPr>
              <w:t xml:space="preserve">a</w:t>
            </w:r>
            <w:r>
              <w:t xml:space="preserve">/d</w:t>
            </w:r>
            <w:r>
              <w:rPr>
                <w:i/>
                <w:iCs/>
              </w:rPr>
              <w:t xml:space="preserve">t</w:t>
            </w:r>
            <w:r>
              <w:t xml:space="preserve"> </w:t>
            </w:r>
            <w:r>
              <w:t xml:space="preserve">(µm yr</w:t>
            </w:r>
            <w:r>
              <w:rPr>
                <w:vertAlign w:val="superscript"/>
              </w:rPr>
              <w:t xml:space="preserve">−1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80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P</w:t>
            </w:r>
            <w:r>
              <w:t xml:space="preserve">(all 59 upper surfaces zero)</w:t>
            </w:r>
          </w:p>
        </w:tc>
        <w:tc>
          <w:tcPr/>
          <w:p>
            <w:pPr>
              <w:pStyle w:val="Compact"/>
            </w:pPr>
            <w:r>
              <w:t xml:space="preserve">0.0007</w:t>
            </w:r>
          </w:p>
        </w:tc>
        <w:tc>
          <w:tcPr/>
          <w:p>
            <w:pPr>
              <w:pStyle w:val="Compact"/>
            </w:pPr>
            <w:r>
              <w:t xml:space="preserve">0.0046</w:t>
            </w:r>
          </w:p>
        </w:tc>
        <w:tc>
          <w:tcPr/>
          <w:p>
            <w:pPr>
              <w:pStyle w:val="Compact"/>
            </w:pPr>
            <w:r>
              <w:t xml:space="preserve">0.0141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0.0294</w:t>
            </w:r>
          </w:p>
        </w:tc>
        <w:tc>
          <w:tcPr/>
          <w:p>
            <w:pPr>
              <w:pStyle w:val="Compact"/>
            </w:pPr>
            <w:r>
              <w:t xml:space="preserve">0.0494</w:t>
            </w:r>
          </w:p>
        </w:tc>
        <w:tc>
          <w:tcPr/>
          <w:p>
            <w:pPr>
              <w:pStyle w:val="Compact"/>
            </w:pPr>
            <w:r>
              <w:t xml:space="preserve">0.0727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Post-operative thickness, s.d. units</w:t>
            </w:r>
          </w:p>
        </w:tc>
        <w:tc>
          <w:tcPr/>
          <w:p>
            <w:pPr>
              <w:pStyle w:val="Compact"/>
            </w:pPr>
            <w:r>
              <w:t xml:space="preserve">+0.22</w:t>
            </w:r>
          </w:p>
        </w:tc>
        <w:tc>
          <w:tcPr/>
          <w:p>
            <w:pPr>
              <w:pStyle w:val="Compact"/>
            </w:pPr>
            <w:r>
              <w:t xml:space="preserve">+0.93</w:t>
            </w:r>
          </w:p>
        </w:tc>
        <w:tc>
          <w:tcPr/>
          <w:p>
            <w:pPr>
              <w:pStyle w:val="Compact"/>
            </w:pPr>
            <w:r>
              <w:t xml:space="preserve">+1.65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+2.36</w:t>
            </w:r>
          </w:p>
        </w:tc>
        <w:tc>
          <w:tcPr/>
          <w:p>
            <w:pPr>
              <w:pStyle w:val="Compact"/>
            </w:pPr>
            <w:r>
              <w:t xml:space="preserve">+3.07</w:t>
            </w:r>
          </w:p>
        </w:tc>
        <w:tc>
          <w:tcPr/>
          <w:p>
            <w:pPr>
              <w:pStyle w:val="Compact"/>
            </w:pPr>
            <w:r>
              <w:t xml:space="preserve">+3.78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Coverage residual, all ages, r.m.s.</w:t>
            </w:r>
          </w:p>
        </w:tc>
        <w:tc>
          <w:tcPr/>
          <w:p>
            <w:pPr>
              <w:pStyle w:val="Compact"/>
            </w:pPr>
            <w:r>
              <w:t xml:space="preserve">23.1%</w:t>
            </w:r>
          </w:p>
        </w:tc>
        <w:tc>
          <w:tcPr/>
          <w:p>
            <w:pPr>
              <w:pStyle w:val="Compact"/>
            </w:pPr>
            <w:r>
              <w:t xml:space="preserve">19.8%</w:t>
            </w:r>
          </w:p>
        </w:tc>
        <w:tc>
          <w:tcPr/>
          <w:p>
            <w:pPr>
              <w:pStyle w:val="Compact"/>
            </w:pPr>
            <w:r>
              <w:t xml:space="preserve">18.0%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17.0%</w:t>
            </w:r>
          </w:p>
        </w:tc>
        <w:tc>
          <w:tcPr/>
          <w:p>
            <w:pPr>
              <w:pStyle w:val="Compact"/>
            </w:pPr>
            <w:r>
              <w:t xml:space="preserve">16.3%</w:t>
            </w:r>
          </w:p>
        </w:tc>
        <w:tc>
          <w:tcPr/>
          <w:p>
            <w:pPr>
              <w:pStyle w:val="Compact"/>
            </w:pPr>
            <w:r>
              <w:t xml:space="preserve">15.9%</w:t>
            </w:r>
          </w:p>
        </w:tc>
      </w:tr>
    </w:tbl>
    <w:p>
      <w:pPr>
        <w:pStyle w:val="BodyText"/>
      </w:pPr>
      <w:r>
        <w:t xml:space="preserve">Two of the three columns improve monotonically with the growth rate and one worsens. The constraints</w:t>
      </w:r>
      <w:r>
        <w:t xml:space="preserve"> </w:t>
      </w:r>
      <w:r>
        <w:t xml:space="preserve">require at least about 70 and at most about 50 respectively, a gap of 1.4, and 60 µm yr</w:t>
      </w:r>
      <w:r>
        <w:rPr>
          <w:vertAlign w:val="superscript"/>
        </w:rPr>
        <w:t xml:space="preserve">−1</w:t>
      </w:r>
      <w:r>
        <w:t xml:space="preserve"> </w:t>
      </w:r>
      <w:r>
        <w:t xml:space="preserve">sits</w:t>
      </w:r>
      <w:r>
        <w:t xml:space="preserve"> </w:t>
      </w:r>
      <w:r>
        <w:t xml:space="preserve">between them while lowering the all-age coverage residual from 19.8% to 17.0%. The calculation is</w:t>
      </w:r>
      <w:r>
        <w:t xml:space="preserve"> </w:t>
      </w:r>
      <w:r>
        <w:t xml:space="preserve">deposited as</w:t>
      </w:r>
      <w:r>
        <w:t xml:space="preserve"> </w:t>
      </w:r>
      <w:r>
        <w:rPr>
          <w:rStyle w:val="VerbatimChar"/>
        </w:rPr>
        <w:t xml:space="preserve">src/_usbl_age_refit.py</w:t>
      </w:r>
      <w:r>
        <w:t xml:space="preserve"> </w:t>
      </w:r>
      <w:r>
        <w:t xml:space="preserve">with its pre-registered predictions and their outcomes. At the</w:t>
      </w:r>
      <w:r>
        <w:t xml:space="preserve"> </w:t>
      </w:r>
      <w:r>
        <w:t xml:space="preserve">fitted rate the model runs 26% below the observed coverage at age 45.5; the residual sign is shared</w:t>
      </w:r>
      <w:r>
        <w:t xml:space="preserve"> </w:t>
      </w:r>
      <w:r>
        <w:t xml:space="preserve">with the animal comparison, and both point to the same refinement, that arrest and site filling occur</w:t>
      </w:r>
      <w:r>
        <w:t xml:space="preserve"> </w:t>
      </w:r>
      <w:r>
        <w:t xml:space="preserve">earlier than the initial constants place them.</w:t>
      </w:r>
    </w:p>
    <w:p>
      <w:r>
        <w:pict>
          <v:rect style="width:0;height:1.5pt" o:hralign="center" o:hrstd="t" o:hr="t"/>
        </w:pict>
      </w:r>
    </w:p>
    <w:bookmarkEnd w:id="12"/>
    <w:bookmarkStart w:id="13" w:name="supplementary-note-4"/>
    <w:p>
      <w:pPr>
        <w:pStyle w:val="Heading2"/>
      </w:pPr>
      <w:r>
        <w:t xml:space="preserve">Supplementary Note 4</w:t>
      </w:r>
    </w:p>
    <w:p>
      <w:pPr>
        <w:pStyle w:val="FirstParagraph"/>
      </w:pPr>
      <w:r>
        <w:rPr>
          <w:b/>
          <w:bCs/>
        </w:rPr>
        <w:t xml:space="preserve">The bound pool.</w:t>
      </w:r>
      <w:r>
        <w:t xml:space="preserve"> </w:t>
      </w:r>
      <w:r>
        <w:t xml:space="preserve">About 60% of corneal TGFBIp is covalently linked through a reducible disulfide to</w:t>
      </w:r>
      <w:r>
        <w:t xml:space="preserve"> </w:t>
      </w:r>
      <w:r>
        <w:t xml:space="preserve">the NC3 domain of type XII collagen at 2:1 stoichiometry</w:t>
      </w:r>
      <w:r>
        <w:rPr>
          <w:vertAlign w:val="superscript"/>
        </w:rPr>
        <w:t xml:space="preserve">8</w:t>
      </w:r>
      <w:r>
        <w:t xml:space="preserve">. Three things follow. A uniform bound</w:t>
      </w:r>
      <w:r>
        <w:t xml:space="preserve"> </w:t>
      </w:r>
      <w:r>
        <w:t xml:space="preserve">fraction is invisible in this model, because</w:t>
      </w:r>
      <w:r>
        <w:t xml:space="preserve"> </w:t>
      </w:r>
      <w:r>
        <w:rPr>
          <w:i/>
          <w:iCs/>
        </w:rPr>
        <w:t xml:space="preserve">S</w:t>
      </w:r>
      <w:r>
        <w:t xml:space="preserve"> </w:t>
      </w:r>
      <w:r>
        <w:t xml:space="preserve">is a ratio calibrated from recurrence intervals</w:t>
      </w:r>
      <w:r>
        <w:t xml:space="preserve"> </w:t>
      </w:r>
      <w:r>
        <w:t xml:space="preserve">rather than from an absolute concentration. A fixed stoichiometric partner makes the bound pool</w:t>
      </w:r>
      <w:r>
        <w:t xml:space="preserve"> </w:t>
      </w:r>
      <w:r>
        <w:t xml:space="preserve">capacity-limited, which sharpens the threshold rather than removing it: once the sites are occupied,</w:t>
      </w:r>
      <w:r>
        <w:t xml:space="preserve"> </w:t>
      </w:r>
      <w:r>
        <w:t xml:space="preserve">further protein must stay free. And if the binding capacity varies with depth, the free profile is</w:t>
      </w:r>
      <w:r>
        <w:t xml:space="preserve"> </w:t>
      </w:r>
      <w:r>
        <w:t xml:space="preserve">not the one computed in the Methods. Type XII collagen has not been mapped against corneal depth, and</w:t>
      </w:r>
      <w:r>
        <w:t xml:space="preserve"> </w:t>
      </w:r>
      <w:r>
        <w:t xml:space="preserve">this is recorded as an untested assumption of the transport model.</w:t>
      </w:r>
    </w:p>
    <w:p>
      <w:r>
        <w:pict>
          <v:rect style="width:0;height:1.5pt" o:hralign="center" o:hrstd="t" o:hr="t"/>
        </w:pict>
      </w:r>
    </w:p>
    <w:bookmarkEnd w:id="13"/>
    <w:bookmarkStart w:id="14" w:name="supplementary-note-5"/>
    <w:p>
      <w:pPr>
        <w:pStyle w:val="Heading2"/>
      </w:pPr>
      <w:r>
        <w:t xml:space="preserve">Supplementary Note 5</w:t>
      </w:r>
    </w:p>
    <w:p>
      <w:pPr>
        <w:pStyle w:val="FirstParagraph"/>
      </w:pPr>
      <w:r>
        <w:rPr>
          <w:b/>
          <w:bCs/>
        </w:rPr>
        <w:t xml:space="preserve">The experimental programme this model defines.</w:t>
      </w:r>
      <w:r>
        <w:t xml:space="preserve"> </w:t>
      </w:r>
      <w:r>
        <w:t xml:space="preserve">Five measurements follow, in the order of what</w:t>
      </w:r>
      <w:r>
        <w:t xml:space="preserve"> </w:t>
      </w:r>
      <w:r>
        <w:t xml:space="preserve">they decide.</w:t>
      </w:r>
    </w:p>
    <w:p>
      <w:pPr>
        <w:pStyle w:val="BodyText"/>
      </w:pPr>
      <w:r>
        <w:rPr>
          <w:b/>
          <w:bCs/>
        </w:rPr>
        <w:t xml:space="preserve">The solubility.</w:t>
      </w:r>
      <w:r>
        <w:t xml:space="preserve"> </w:t>
      </w:r>
      <w:r>
        <w:t xml:space="preserve">The absolute solubility of TGFBIp, wild type and mutant, has never been measured</w:t>
      </w:r>
      <w:r>
        <w:t xml:space="preserve"> </w:t>
      </w:r>
      <w:r>
        <w:t xml:space="preserve">for any variant. One precipitation assay fixes the saturation concentration and converts the</w:t>
      </w:r>
      <w:r>
        <w:t xml:space="preserve"> </w:t>
      </w:r>
      <w:r>
        <w:t xml:space="preserve">Damköhler estimate, the growth regime and the therapeutic threshold from conditional to established.</w:t>
      </w:r>
    </w:p>
    <w:p>
      <w:pPr>
        <w:pStyle w:val="BodyText"/>
      </w:pPr>
      <w:r>
        <w:rPr>
          <w:b/>
          <w:bCs/>
        </w:rPr>
        <w:t xml:space="preserve">The size distribution.</w:t>
      </w:r>
      <w:r>
        <w:t xml:space="preserve"> </w:t>
      </w:r>
      <w:r>
        <w:t xml:space="preserve">An arrested population has a bounded distribution of diameters with a</w:t>
      </w:r>
      <w:r>
        <w:t xml:space="preserve"> </w:t>
      </w:r>
      <w:r>
        <w:t xml:space="preserve">pile-up near κ</w:t>
      </w:r>
      <w:r>
        <w:rPr>
          <w:i/>
          <w:iCs/>
        </w:rPr>
        <w:t xml:space="preserve">z</w:t>
      </w:r>
      <w:r>
        <w:rPr>
          <w:vertAlign w:val="subscript"/>
        </w:rPr>
        <w:t xml:space="preserve">0</w:t>
      </w:r>
      <w:r>
        <w:t xml:space="preserve"> </w:t>
      </w:r>
      <w:r>
        <w:t xml:space="preserve">broadened by the spread in</w:t>
      </w:r>
      <w:r>
        <w:t xml:space="preserve"> </w:t>
      </w:r>
      <w:r>
        <w:rPr>
          <w:i/>
          <w:iCs/>
        </w:rPr>
        <w:t xml:space="preserve">z</w:t>
      </w:r>
      <w:r>
        <w:rPr>
          <w:vertAlign w:val="subscript"/>
        </w:rPr>
        <w:t xml:space="preserve">0</w:t>
      </w:r>
      <w:r>
        <w:t xml:space="preserve">; an unarrested one has a broad right tail. One</w:t>
      </w:r>
      <w:r>
        <w:t xml:space="preserve"> </w:t>
      </w:r>
      <w:r>
        <w:t xml:space="preserve">histogram decides arrest without the two-series quotient and without any error convention, from</w:t>
      </w:r>
      <w:r>
        <w:t xml:space="preserve"> </w:t>
      </w:r>
      <w:r>
        <w:t xml:space="preserve">images that already exist.</w:t>
      </w:r>
    </w:p>
    <w:p>
      <w:pPr>
        <w:pStyle w:val="BodyText"/>
      </w:pPr>
      <w:r>
        <w:rPr>
          <w:b/>
          <w:bCs/>
        </w:rPr>
        <w:t xml:space="preserve">Position against penetration.</w:t>
      </w:r>
      <w:r>
        <w:t xml:space="preserve"> </w:t>
      </w:r>
      <w:r>
        <w:t xml:space="preserve">Deposit coordinates should fall on nerve penetration coordinates</w:t>
      </w:r>
      <w:r>
        <w:t xml:space="preserve"> </w:t>
      </w:r>
      <w:r>
        <w:t xml:space="preserve">more often than chance, most tightly for the smallest deposits. The test must be scored with the</w:t>
      </w:r>
      <w:r>
        <w:t xml:space="preserve"> </w:t>
      </w:r>
      <w:r>
        <w:t xml:space="preserve">other channel masked, because a penetration site is itself a small hyper-reflective object on</w:t>
      </w:r>
      <w:r>
        <w:t xml:space="preserve"> </w:t>
      </w:r>
      <w:r>
        <w:t xml:space="preserve">confocal microscopy and has been mistaken for pathology</w:t>
      </w:r>
      <w:r>
        <w:rPr>
          <w:vertAlign w:val="superscript"/>
        </w:rPr>
        <w:t xml:space="preserve">9,10</w:t>
      </w:r>
      <w:r>
        <w:t xml:space="preserve">; and the null must be generated by</w:t>
      </w:r>
      <w:r>
        <w:t xml:space="preserve"> </w:t>
      </w:r>
      <w:r>
        <w:t xml:space="preserve">randomising penetration points inside the same corneal mask, because their density is not uniform,</w:t>
      </w:r>
      <w:r>
        <w:t xml:space="preserve"> </w:t>
      </w:r>
      <w:r>
        <w:t xml:space="preserve">running at 3.18 mm</w:t>
      </w:r>
      <w:r>
        <w:rPr>
          <w:vertAlign w:val="superscript"/>
        </w:rPr>
        <w:t xml:space="preserve">−2</w:t>
      </w:r>
      <w:r>
        <w:t xml:space="preserve"> </w:t>
      </w:r>
      <w:r>
        <w:t xml:space="preserve">pericentrally against 1.55 mm</w:t>
      </w:r>
      <w:r>
        <w:rPr>
          <w:vertAlign w:val="superscript"/>
        </w:rPr>
        <w:t xml:space="preserve">−2</w:t>
      </w:r>
      <w:r>
        <w:t xml:space="preserve"> </w:t>
      </w:r>
      <w:r>
        <w:t xml:space="preserve">centrally</w:t>
      </w:r>
      <w:r>
        <w:rPr>
          <w:vertAlign w:val="superscript"/>
        </w:rPr>
        <w:t xml:space="preserve">3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Both eyes of one patient.</w:t>
      </w:r>
      <w:r>
        <w:t xml:space="preserve"> </w:t>
      </w:r>
      <w:r>
        <w:t xml:space="preserve">If the sites are congenital anatomical features, the two eyes of a</w:t>
      </w:r>
      <w:r>
        <w:t xml:space="preserve"> </w:t>
      </w:r>
      <w:r>
        <w:t xml:space="preserve">carrier should carry mirror-symmetric deposit maps; if acquired breaks dominate, the maps should</w:t>
      </w:r>
      <w:r>
        <w:t xml:space="preserve"> </w:t>
      </w:r>
      <w:r>
        <w:t xml:space="preserve">share the interpalpebral band but not the fine positions. The count series already images both eyes</w:t>
      </w:r>
      <w:r>
        <w:t xml:space="preserve"> </w:t>
      </w:r>
      <w:r>
        <w:t xml:space="preserve">of the same patients and has never been read positionally.</w:t>
      </w:r>
    </w:p>
    <w:p>
      <w:pPr>
        <w:pStyle w:val="BodyText"/>
      </w:pPr>
      <w:r>
        <w:rPr>
          <w:b/>
          <w:bCs/>
        </w:rPr>
        <w:t xml:space="preserve">Radius against depth.</w:t>
      </w:r>
      <w:r>
        <w:t xml:space="preserve"> </w:t>
      </w:r>
      <w:r>
        <w:t xml:space="preserve">The arrest rule says every arrested deposit has a radius equal to κ times</w:t>
      </w:r>
      <w:r>
        <w:t xml:space="preserve"> </w:t>
      </w:r>
      <w:r>
        <w:t xml:space="preserve">its own nucleation depth. For a deposit spanning upper distance</w:t>
      </w:r>
      <w:r>
        <w:t xml:space="preserve"> </w:t>
      </w:r>
      <w:r>
        <w:rPr>
          <w:i/>
          <w:iCs/>
        </w:rPr>
        <w:t xml:space="preserve">u</w:t>
      </w:r>
      <w:r>
        <w:t xml:space="preserve"> </w:t>
      </w:r>
      <w:r>
        <w:t xml:space="preserve">to lower distance ℓ, the</w:t>
      </w:r>
      <w:r>
        <w:t xml:space="preserve"> </w:t>
      </w:r>
      <w:r>
        <w:t xml:space="preserve">half-height is (ℓ −</w:t>
      </w:r>
      <w:r>
        <w:t xml:space="preserve"> </w:t>
      </w:r>
      <w:r>
        <w:rPr>
          <w:i/>
          <w:iCs/>
        </w:rPr>
        <w:t xml:space="preserve">u</w:t>
      </w:r>
      <w:r>
        <w:t xml:space="preserve">)/2 and the nucleation depth is (ℓ +</w:t>
      </w:r>
      <w:r>
        <w:t xml:space="preserve"> </w:t>
      </w:r>
      <w:r>
        <w:rPr>
          <w:i/>
          <w:iCs/>
        </w:rPr>
        <w:t xml:space="preserve">u</w:t>
      </w:r>
      <w:r>
        <w:t xml:space="preserve">)/2, so the radius equals κ(ℓ −</w:t>
      </w:r>
      <w:r>
        <w:t xml:space="preserve"> </w:t>
      </w:r>
      <w:r>
        <w:rPr>
          <w:i/>
          <w:iCs/>
        </w:rPr>
        <w:t xml:space="preserve">u</w:t>
      </w:r>
      <w:r>
        <w:t xml:space="preserve">)/2</w:t>
      </w:r>
      <w:r>
        <w:t xml:space="preserve"> </w:t>
      </w:r>
      <w:r>
        <w:t xml:space="preserve">by self-similarity whether or not the deposit has arrested, while it equals κ(ℓ +</w:t>
      </w:r>
      <w:r>
        <w:t xml:space="preserve"> </w:t>
      </w:r>
      <w:r>
        <w:rPr>
          <w:i/>
          <w:iCs/>
        </w:rPr>
        <w:t xml:space="preserve">u</w:t>
      </w:r>
      <w:r>
        <w:t xml:space="preserve">)/2 only when it</w:t>
      </w:r>
      <w:r>
        <w:t xml:space="preserve"> </w:t>
      </w:r>
      <w:r>
        <w:t xml:space="preserve">has. The two coincide when</w:t>
      </w:r>
      <w:r>
        <w:t xml:space="preserve"> </w:t>
      </w:r>
      <w:r>
        <w:rPr>
          <w:i/>
          <w:iCs/>
        </w:rPr>
        <w:t xml:space="preserve">u</w:t>
      </w:r>
      <w:r>
        <w:t xml:space="preserve"> </w:t>
      </w:r>
      <w:r>
        <w:t xml:space="preserve">= 0. Since the published table reports</w:t>
      </w:r>
      <w:r>
        <w:t xml:space="preserve"> </w:t>
      </w:r>
      <w:r>
        <w:rPr>
          <w:i/>
          <w:iCs/>
        </w:rPr>
        <w:t xml:space="preserve">u</w:t>
      </w:r>
      <w:r>
        <w:t xml:space="preserve"> </w:t>
      </w:r>
      <w:r>
        <w:t xml:space="preserve">= 0 for all 59 deposits,</w:t>
      </w:r>
      <w:r>
        <w:t xml:space="preserve"> </w:t>
      </w:r>
      <w:r>
        <w:t xml:space="preserve">the correlation as usually stated would restate the assumed aspect ratio. What discriminates is a</w:t>
      </w:r>
      <w:r>
        <w:t xml:space="preserve"> </w:t>
      </w:r>
      <w:r>
        <w:t xml:space="preserve">series containing deposits with</w:t>
      </w:r>
      <w:r>
        <w:t xml:space="preserve"> </w:t>
      </w:r>
      <w:r>
        <w:rPr>
          <w:i/>
          <w:iCs/>
        </w:rPr>
        <w:t xml:space="preserve">u</w:t>
      </w:r>
      <w:r>
        <w:t xml:space="preserve"> </w:t>
      </w:r>
      <w:r>
        <w:t xml:space="preserve">&gt; 0, a younger cohort or the per-deposit table behind the</w:t>
      </w:r>
      <w:r>
        <w:t xml:space="preserve"> </w:t>
      </w:r>
      <w:r>
        <w:t xml:space="preserve">published means, at which point arrested and growing deposits separate along two lines of slope κ</w:t>
      </w:r>
      <w:r>
        <w:t xml:space="preserve"> </w:t>
      </w:r>
      <w:r>
        <w:t xml:space="preserve">through different intercepts.</w:t>
      </w:r>
    </w:p>
    <w:p>
      <w:r>
        <w:pict>
          <v:rect style="width:0;height:1.5pt" o:hralign="center" o:hrstd="t" o:hr="t"/>
        </w:pict>
      </w:r>
    </w:p>
    <w:bookmarkEnd w:id="14"/>
    <w:bookmarkStart w:id="15" w:name="supplementary-methods"/>
    <w:p>
      <w:pPr>
        <w:pStyle w:val="Heading2"/>
      </w:pPr>
      <w:r>
        <w:t xml:space="preserve">Supplementary Methods</w:t>
      </w:r>
    </w:p>
    <w:p>
      <w:pPr>
        <w:pStyle w:val="FirstParagraph"/>
      </w:pPr>
      <w:r>
        <w:rPr>
          <w:b/>
          <w:bCs/>
        </w:rPr>
        <w:t xml:space="preserve">Deposited code.</w:t>
      </w:r>
      <w:r>
        <w:t xml:space="preserve"> </w:t>
      </w:r>
      <w:r>
        <w:t xml:space="preserve">All scripts are deposited at Zenodo under the MIT licence,</w:t>
      </w:r>
      <w:r>
        <w:t xml:space="preserve"> </w:t>
      </w:r>
      <w:r>
        <w:t xml:space="preserve">https://doi.org/10.5281/zenodo.22651740, with the digitised source values and the seeds used.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Script</w:t>
            </w:r>
          </w:p>
        </w:tc>
        <w:tc>
          <w:tcPr/>
          <w:p>
            <w:pPr>
              <w:pStyle w:val="Compact"/>
            </w:pPr>
            <w:r>
              <w:t xml:space="preserve">What it computes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src/_depth_integral.py</w:t>
            </w:r>
          </w:p>
        </w:tc>
        <w:tc>
          <w:tcPr/>
          <w:p>
            <w:pPr>
              <w:pStyle w:val="Compact"/>
            </w:pPr>
            <w:r>
              <w:t xml:space="preserve">the depth profile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src/_arrest_exponent.py</w:t>
            </w:r>
          </w:p>
        </w:tc>
        <w:tc>
          <w:tcPr/>
          <w:p>
            <w:pPr>
              <w:pStyle w:val="Compact"/>
            </w:pPr>
            <w:r>
              <w:t xml:space="preserve">the fifteen-pair admissible exponents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src/_arrest_history.py</w:t>
            </w:r>
          </w:p>
        </w:tc>
        <w:tc>
          <w:tcPr/>
          <w:p>
            <w:pPr>
              <w:pStyle w:val="Compact"/>
            </w:pPr>
            <w:r>
              <w:t xml:space="preserve">the non-parametric nucleation-history profile of Supplementary Note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src/_surgical_series.py</w:t>
            </w:r>
          </w:p>
        </w:tc>
        <w:tc>
          <w:tcPr/>
          <w:p>
            <w:pPr>
              <w:pStyle w:val="Compact"/>
            </w:pPr>
            <w:r>
              <w:t xml:space="preserve">the risk ratios and the flap-to-bed site ratio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src/_mouse_incidence.py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src/_rho_profile.py</w:t>
            </w:r>
          </w:p>
        </w:tc>
        <w:tc>
          <w:tcPr/>
          <w:p>
            <w:pPr>
              <w:pStyle w:val="Compact"/>
            </w:pPr>
            <w:r>
              <w:t xml:space="preserve">the genotype identity applied to the animal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src/kappa_mech.py</w:t>
            </w:r>
          </w:p>
        </w:tc>
        <w:tc>
          <w:tcPr/>
          <w:p>
            <w:pPr>
              <w:pStyle w:val="Compact"/>
            </w:pPr>
            <w:r>
              <w:t xml:space="preserve">the Wulff construction and the convexity check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src/_usbl_age_refit.py</w:t>
            </w:r>
          </w:p>
        </w:tc>
        <w:tc>
          <w:tcPr/>
          <w:p>
            <w:pPr>
              <w:pStyle w:val="Compact"/>
            </w:pPr>
            <w:r>
              <w:t xml:space="preserve">the growth-rate constraints of Supplementary Note 3, with pre-registration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5"/>
    <w:bookmarkStart w:id="16" w:name="supplementary-references"/>
    <w:p>
      <w:pPr>
        <w:pStyle w:val="Heading2"/>
      </w:pPr>
      <w:r>
        <w:t xml:space="preserve">Supplementary References</w:t>
      </w:r>
    </w:p>
    <w:p>
      <w:pPr>
        <w:pStyle w:val="Compact"/>
        <w:numPr>
          <w:ilvl w:val="0"/>
          <w:numId w:val="1001"/>
        </w:numPr>
      </w:pPr>
      <w:r>
        <w:t xml:space="preserve">Maurice, D. M. &amp; Watson, P. G. The distribution and movement of serum albumin in the cornea.</w:t>
      </w:r>
      <w:r>
        <w:t xml:space="preserve"> </w:t>
      </w:r>
      <w:r>
        <w:rPr>
          <w:i/>
          <w:iCs/>
        </w:rPr>
        <w:t xml:space="preserve">Exp. Eye Res.</w:t>
      </w:r>
      <w:r>
        <w:t xml:space="preserve"> </w:t>
      </w:r>
      <w:r>
        <w:rPr>
          <w:b/>
          <w:bCs/>
        </w:rPr>
        <w:t xml:space="preserve">4</w:t>
      </w:r>
      <w:r>
        <w:t xml:space="preserve">, 355–363 (1965).</w:t>
      </w:r>
    </w:p>
    <w:p>
      <w:pPr>
        <w:pStyle w:val="Compact"/>
        <w:numPr>
          <w:ilvl w:val="0"/>
          <w:numId w:val="1001"/>
        </w:numPr>
      </w:pPr>
      <w:r>
        <w:t xml:space="preserve">Araie, M. &amp; Maurice, D. M. The rate of diffusion of fluorophores through the corneal epithelium and stroma.</w:t>
      </w:r>
      <w:r>
        <w:t xml:space="preserve"> </w:t>
      </w:r>
      <w:r>
        <w:rPr>
          <w:i/>
          <w:iCs/>
        </w:rPr>
        <w:t xml:space="preserve">Exp. Eye Res.</w:t>
      </w:r>
      <w:r>
        <w:t xml:space="preserve"> </w:t>
      </w:r>
      <w:r>
        <w:rPr>
          <w:b/>
          <w:bCs/>
        </w:rPr>
        <w:t xml:space="preserve">44</w:t>
      </w:r>
      <w:r>
        <w:t xml:space="preserve">, 73–87 (1987).</w:t>
      </w:r>
    </w:p>
    <w:p>
      <w:pPr>
        <w:pStyle w:val="Compact"/>
        <w:numPr>
          <w:ilvl w:val="0"/>
          <w:numId w:val="1001"/>
        </w:numPr>
      </w:pPr>
      <w:r>
        <w:t xml:space="preserve">Marfurt, C. F., Cox, J., Deek, S. &amp; Dvorscak, L. Anatomy of the human corneal innervation.</w:t>
      </w:r>
      <w:r>
        <w:t xml:space="preserve"> </w:t>
      </w:r>
      <w:r>
        <w:rPr>
          <w:i/>
          <w:iCs/>
        </w:rPr>
        <w:t xml:space="preserve">Exp. Eye Res.</w:t>
      </w:r>
      <w:r>
        <w:t xml:space="preserve"> </w:t>
      </w:r>
      <w:r>
        <w:rPr>
          <w:b/>
          <w:bCs/>
        </w:rPr>
        <w:t xml:space="preserve">90</w:t>
      </w:r>
      <w:r>
        <w:t xml:space="preserve">, 478–492 (2010).</w:t>
      </w:r>
    </w:p>
    <w:p>
      <w:pPr>
        <w:pStyle w:val="Compact"/>
        <w:numPr>
          <w:ilvl w:val="0"/>
          <w:numId w:val="1001"/>
        </w:numPr>
      </w:pPr>
      <w:r>
        <w:t xml:space="preserve">van Zyl, T. et al. Cell atlas of the human ocular anterior segment: tissue-specific and shared cell types.</w:t>
      </w:r>
      <w:r>
        <w:t xml:space="preserve"> </w:t>
      </w:r>
      <w:r>
        <w:rPr>
          <w:i/>
          <w:iCs/>
        </w:rPr>
        <w:t xml:space="preserve">Proc. Natl Acad. Sci. USA</w:t>
      </w:r>
      <w:r>
        <w:t xml:space="preserve"> </w:t>
      </w:r>
      <w:r>
        <w:rPr>
          <w:b/>
          <w:bCs/>
        </w:rPr>
        <w:t xml:space="preserve">119</w:t>
      </w:r>
      <w:r>
        <w:t xml:space="preserve">, e2200914119 (2022).</w:t>
      </w:r>
    </w:p>
    <w:p>
      <w:pPr>
        <w:pStyle w:val="Compact"/>
        <w:numPr>
          <w:ilvl w:val="0"/>
          <w:numId w:val="1001"/>
        </w:numPr>
      </w:pPr>
      <w:r>
        <w:t xml:space="preserve">Inoue, T. et al. Recurrence of corneal dystrophy resulting from an R124H</w:t>
      </w:r>
      <w:r>
        <w:t xml:space="preserve"> </w:t>
      </w:r>
      <w:r>
        <w:rPr>
          <w:i/>
          <w:iCs/>
        </w:rPr>
        <w:t xml:space="preserve">BIGH3</w:t>
      </w:r>
      <w:r>
        <w:t xml:space="preserve"> </w:t>
      </w:r>
      <w:r>
        <w:t xml:space="preserve">mutation after phototherapeutic keratectomy.</w:t>
      </w:r>
      <w:r>
        <w:t xml:space="preserve"> </w:t>
      </w:r>
      <w:r>
        <w:rPr>
          <w:i/>
          <w:iCs/>
        </w:rPr>
        <w:t xml:space="preserve">Cornea</w:t>
      </w:r>
      <w:r>
        <w:t xml:space="preserve"> </w:t>
      </w:r>
      <w:r>
        <w:rPr>
          <w:b/>
          <w:bCs/>
        </w:rPr>
        <w:t xml:space="preserve">21</w:t>
      </w:r>
      <w:r>
        <w:t xml:space="preserve">, 570–573 (2002).</w:t>
      </w:r>
    </w:p>
    <w:p>
      <w:pPr>
        <w:pStyle w:val="Compact"/>
        <w:numPr>
          <w:ilvl w:val="0"/>
          <w:numId w:val="1001"/>
        </w:numPr>
      </w:pPr>
      <w:r>
        <w:t xml:space="preserve">Hong, J. P. et al. Analysis of deposit depth and morphology in granular corneal dystrophy type 2 using Fourier domain optical coherence tomography.</w:t>
      </w:r>
      <w:r>
        <w:t xml:space="preserve"> </w:t>
      </w:r>
      <w:r>
        <w:rPr>
          <w:i/>
          <w:iCs/>
        </w:rPr>
        <w:t xml:space="preserve">Cornea</w:t>
      </w:r>
      <w:r>
        <w:t xml:space="preserve"> </w:t>
      </w:r>
      <w:r>
        <w:rPr>
          <w:b/>
          <w:bCs/>
        </w:rPr>
        <w:t xml:space="preserve">30</w:t>
      </w:r>
      <w:r>
        <w:t xml:space="preserve">, 729–738 (2011).</w:t>
      </w:r>
    </w:p>
    <w:p>
      <w:pPr>
        <w:pStyle w:val="Compact"/>
        <w:numPr>
          <w:ilvl w:val="0"/>
          <w:numId w:val="1001"/>
        </w:numPr>
      </w:pPr>
      <w:r>
        <w:t xml:space="preserve">Han, K. E. et al. Extremely varied phenotypes in granular corneal dystrophy type 2 heterozygotes.</w:t>
      </w:r>
      <w:r>
        <w:t xml:space="preserve"> </w:t>
      </w:r>
      <w:r>
        <w:rPr>
          <w:i/>
          <w:iCs/>
        </w:rPr>
        <w:t xml:space="preserve">Mol. Vis.</w:t>
      </w:r>
      <w:r>
        <w:t xml:space="preserve"> </w:t>
      </w:r>
      <w:r>
        <w:rPr>
          <w:b/>
          <w:bCs/>
        </w:rPr>
        <w:t xml:space="preserve">18</w:t>
      </w:r>
      <w:r>
        <w:t xml:space="preserve">, 1755–1762 (2012).</w:t>
      </w:r>
    </w:p>
    <w:p>
      <w:pPr>
        <w:pStyle w:val="Compact"/>
        <w:numPr>
          <w:ilvl w:val="0"/>
          <w:numId w:val="1001"/>
        </w:numPr>
      </w:pPr>
      <w:r>
        <w:t xml:space="preserve">Runager, K., Klintworth, G. K., Karring, H. &amp; Enghild, J. J. The insoluble TGFBIp fraction of the cornea is covalently linked via a disulfide bond to type XII collagen.</w:t>
      </w:r>
      <w:r>
        <w:t xml:space="preserve"> </w:t>
      </w:r>
      <w:r>
        <w:rPr>
          <w:i/>
          <w:iCs/>
        </w:rPr>
        <w:t xml:space="preserve">Biochemistry</w:t>
      </w:r>
      <w:r>
        <w:t xml:space="preserve"> </w:t>
      </w:r>
      <w:r>
        <w:rPr>
          <w:b/>
          <w:bCs/>
        </w:rPr>
        <w:t xml:space="preserve">52</w:t>
      </w:r>
      <w:r>
        <w:t xml:space="preserve">, 2821–2827 (2013).</w:t>
      </w:r>
    </w:p>
    <w:p>
      <w:pPr>
        <w:pStyle w:val="Compact"/>
        <w:numPr>
          <w:ilvl w:val="0"/>
          <w:numId w:val="1001"/>
        </w:numPr>
      </w:pPr>
      <w:r>
        <w:t xml:space="preserve">Stepp, M. A. et al. Corneal epithelial</w:t>
      </w:r>
      <w:r>
        <w:t xml:space="preserve"> </w:t>
      </w:r>
      <w:r>
        <w:t xml:space="preserve">“neuromas”</w:t>
      </w:r>
      <w:r>
        <w:t xml:space="preserve">: a case of mistaken identity?</w:t>
      </w:r>
      <w:r>
        <w:t xml:space="preserve"> </w:t>
      </w:r>
      <w:r>
        <w:rPr>
          <w:i/>
          <w:iCs/>
        </w:rPr>
        <w:t xml:space="preserve">Cornea</w:t>
      </w:r>
      <w:r>
        <w:t xml:space="preserve"> </w:t>
      </w:r>
      <w:r>
        <w:rPr>
          <w:b/>
          <w:bCs/>
        </w:rPr>
        <w:t xml:space="preserve">39</w:t>
      </w:r>
      <w:r>
        <w:t xml:space="preserve">, 930–934 (2020).</w:t>
      </w:r>
    </w:p>
    <w:p>
      <w:pPr>
        <w:pStyle w:val="Compact"/>
        <w:numPr>
          <w:ilvl w:val="0"/>
          <w:numId w:val="1001"/>
        </w:numPr>
      </w:pPr>
      <w:r>
        <w:t xml:space="preserve">Chinnery, H. R. et al. Identification of presumed corneal neuromas and microneuromas using laser-scanning in vivo confocal microscopy: a systematic review.</w:t>
      </w:r>
      <w:r>
        <w:t xml:space="preserve"> </w:t>
      </w:r>
      <w:r>
        <w:rPr>
          <w:i/>
          <w:iCs/>
        </w:rPr>
        <w:t xml:space="preserve">Br. J. Ophthalmol.</w:t>
      </w:r>
      <w:r>
        <w:t xml:space="preserve"> </w:t>
      </w:r>
      <w:r>
        <w:rPr>
          <w:b/>
          <w:bCs/>
        </w:rPr>
        <w:t xml:space="preserve">106</w:t>
      </w:r>
      <w:r>
        <w:t xml:space="preserve">, 765–771 (2022).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2026-09-10T12:54:12Z</dcterms:created>
  <dcterms:modified xsi:type="dcterms:W3CDTF">2026-09-10T12:54:12Z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