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9F99" w14:textId="77777777" w:rsidR="000126C6" w:rsidRPr="00015D81" w:rsidRDefault="000126C6" w:rsidP="000126C6">
      <w:pPr>
        <w:spacing w:line="360" w:lineRule="auto"/>
        <w:rPr>
          <w:rFonts w:cs="Times New Roman"/>
          <w:b/>
          <w:bCs/>
          <w:sz w:val="24"/>
          <w:szCs w:val="32"/>
        </w:rPr>
      </w:pPr>
      <w:r w:rsidRPr="00015D81">
        <w:rPr>
          <w:rFonts w:cs="Times New Roman"/>
          <w:b/>
          <w:bCs/>
          <w:sz w:val="24"/>
          <w:szCs w:val="32"/>
        </w:rPr>
        <w:t>Appendix A. Supporting information</w:t>
      </w:r>
    </w:p>
    <w:p w14:paraId="6B3774D7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The following are the supplementary data to this article:</w:t>
      </w:r>
    </w:p>
    <w:p w14:paraId="498A4827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S1 equations for calibration curves and linear ranges for the determination of the RIN and IRN in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rhynchophylla.</w:t>
      </w:r>
    </w:p>
    <w:p w14:paraId="58FED74F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S2. G10H, SLS, STR, </w:t>
      </w:r>
      <w:r w:rsidRPr="006A33EC">
        <w:rPr>
          <w:rFonts w:cs="Times New Roman"/>
          <w:i/>
          <w:iCs/>
          <w:kern w:val="2"/>
          <w:sz w:val="24"/>
          <w:szCs w:val="28"/>
        </w:rPr>
        <w:t>ABCB</w:t>
      </w:r>
      <w:r w:rsidRPr="00015D81">
        <w:rPr>
          <w:rFonts w:cs="Times New Roman"/>
          <w:kern w:val="2"/>
          <w:sz w:val="24"/>
          <w:szCs w:val="28"/>
        </w:rPr>
        <w:t xml:space="preserve">-type </w:t>
      </w:r>
      <w:r w:rsidRPr="006A33EC">
        <w:rPr>
          <w:rFonts w:cs="Times New Roman"/>
          <w:i/>
          <w:iCs/>
          <w:kern w:val="2"/>
          <w:sz w:val="24"/>
          <w:szCs w:val="28"/>
        </w:rPr>
        <w:t>ABC</w:t>
      </w:r>
      <w:r w:rsidRPr="00015D81">
        <w:rPr>
          <w:rFonts w:cs="Times New Roman"/>
          <w:kern w:val="2"/>
          <w:sz w:val="24"/>
          <w:szCs w:val="28"/>
        </w:rPr>
        <w:t xml:space="preserve"> transporters, </w:t>
      </w:r>
      <w:r w:rsidRPr="00941D58">
        <w:rPr>
          <w:rFonts w:cs="Times New Roman"/>
          <w:i/>
          <w:iCs/>
          <w:kern w:val="2"/>
          <w:sz w:val="24"/>
          <w:szCs w:val="28"/>
        </w:rPr>
        <w:t>MATE</w:t>
      </w:r>
      <w:r w:rsidRPr="00015D81">
        <w:rPr>
          <w:rFonts w:cs="Times New Roman"/>
          <w:kern w:val="2"/>
          <w:sz w:val="24"/>
          <w:szCs w:val="28"/>
        </w:rPr>
        <w:t xml:space="preserve"> transporters and </w:t>
      </w:r>
      <w:r w:rsidRPr="00624649">
        <w:rPr>
          <w:rFonts w:cs="Times New Roman"/>
          <w:i/>
          <w:iCs/>
          <w:kern w:val="2"/>
          <w:sz w:val="24"/>
          <w:szCs w:val="28"/>
        </w:rPr>
        <w:t>PDR</w:t>
      </w:r>
      <w:r w:rsidRPr="00015D81">
        <w:rPr>
          <w:rFonts w:cs="Times New Roman"/>
          <w:kern w:val="2"/>
          <w:sz w:val="24"/>
          <w:szCs w:val="28"/>
        </w:rPr>
        <w:t xml:space="preserve"> transporters from other plant species used for phylogenetic analysis.</w:t>
      </w:r>
    </w:p>
    <w:p w14:paraId="4396D50E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Table S3 Primers used for quantitative qRT-PCR</w:t>
      </w:r>
    </w:p>
    <w:p w14:paraId="0C784E62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Table S4 Contents of RIN and IRN (μg/g, DW) in different tissues from</w:t>
      </w:r>
      <w:r w:rsidRPr="00015D81">
        <w:rPr>
          <w:rFonts w:cs="Times New Roman"/>
          <w:i/>
          <w:iCs/>
          <w:kern w:val="2"/>
          <w:sz w:val="24"/>
          <w:szCs w:val="28"/>
        </w:rPr>
        <w:t xml:space="preserve"> U. rhynchophylla.</w:t>
      </w:r>
    </w:p>
    <w:p w14:paraId="7E63C656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S5 Summary of transcriptome SMRT-Seq for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</w:t>
      </w:r>
      <w:r w:rsidRPr="00015D81">
        <w:rPr>
          <w:rFonts w:cs="Times New Roman"/>
          <w:kern w:val="2"/>
          <w:sz w:val="24"/>
          <w:szCs w:val="28"/>
        </w:rPr>
        <w:t>.</w:t>
      </w:r>
    </w:p>
    <w:p w14:paraId="54BCCF0C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S6 Functional annotation of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</w:t>
      </w:r>
      <w:r w:rsidRPr="00015D81">
        <w:rPr>
          <w:rFonts w:cs="Times New Roman"/>
          <w:kern w:val="2"/>
          <w:sz w:val="24"/>
          <w:szCs w:val="28"/>
        </w:rPr>
        <w:t xml:space="preserve"> unigenes against the public databases.</w:t>
      </w:r>
    </w:p>
    <w:p w14:paraId="6A5FD84C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S7 GO annotation of the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</w:t>
      </w:r>
      <w:r w:rsidRPr="00015D81">
        <w:rPr>
          <w:rFonts w:cs="Times New Roman"/>
          <w:kern w:val="2"/>
          <w:sz w:val="24"/>
          <w:szCs w:val="28"/>
        </w:rPr>
        <w:t xml:space="preserve"> full-length transcripts.</w:t>
      </w:r>
    </w:p>
    <w:p w14:paraId="79F9CCBF" w14:textId="77777777" w:rsidR="000126C6" w:rsidRPr="00015D81" w:rsidRDefault="000126C6" w:rsidP="000126C6">
      <w:pPr>
        <w:spacing w:line="360" w:lineRule="auto"/>
        <w:rPr>
          <w:rFonts w:cs="Times New Roman"/>
          <w:i/>
          <w:iCs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S8 KEGG pathway annotation of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rhynchophylla.</w:t>
      </w:r>
    </w:p>
    <w:p w14:paraId="7F30C63A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Table S9 RIN and IRN upstream synthesis pathway genes annotated in different databases</w:t>
      </w:r>
    </w:p>
    <w:p w14:paraId="0D318F3E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Table S10 Gene expression levels of RIN and IRN upstream synthesis pathway in different tissues</w:t>
      </w:r>
    </w:p>
    <w:p w14:paraId="4150EDDA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>Table S11 Three downstream unigenes of RIN and IRN biosynthesis pathway annotated by different databases</w:t>
      </w:r>
    </w:p>
    <w:p w14:paraId="58C1A41A" w14:textId="77777777" w:rsidR="000126C6" w:rsidRPr="00015D81" w:rsidRDefault="000126C6" w:rsidP="000126C6">
      <w:pPr>
        <w:spacing w:line="360" w:lineRule="auto"/>
        <w:rPr>
          <w:rFonts w:cs="Times New Roman"/>
          <w:i/>
          <w:iCs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S12 TF families in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rhynchophylla.</w:t>
      </w:r>
    </w:p>
    <w:p w14:paraId="17C16678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S13 Differentially expressed TF families in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rhynchophylla.</w:t>
      </w:r>
    </w:p>
    <w:p w14:paraId="7184C815" w14:textId="77777777" w:rsidR="000126C6" w:rsidRPr="00015D81" w:rsidRDefault="000126C6" w:rsidP="000126C6">
      <w:pPr>
        <w:spacing w:line="360" w:lineRule="auto"/>
        <w:rPr>
          <w:rFonts w:cs="Times New Roman"/>
          <w:kern w:val="2"/>
          <w:sz w:val="24"/>
          <w:szCs w:val="28"/>
        </w:rPr>
      </w:pPr>
      <w:r w:rsidRPr="00015D81">
        <w:rPr>
          <w:rFonts w:cs="Times New Roman"/>
          <w:kern w:val="2"/>
          <w:sz w:val="24"/>
          <w:szCs w:val="28"/>
        </w:rPr>
        <w:t xml:space="preserve">Table S14 ABC transporters and MATE transporters in </w:t>
      </w:r>
      <w:r w:rsidRPr="00015D81">
        <w:rPr>
          <w:rFonts w:cs="Times New Roman"/>
          <w:i/>
          <w:iCs/>
          <w:kern w:val="2"/>
          <w:sz w:val="24"/>
          <w:szCs w:val="28"/>
        </w:rPr>
        <w:t>U. rhynchophylla.</w:t>
      </w:r>
    </w:p>
    <w:p w14:paraId="0DFCBA34" w14:textId="77777777" w:rsidR="000126C6" w:rsidRPr="00015D81" w:rsidRDefault="000126C6" w:rsidP="000126C6">
      <w:pPr>
        <w:spacing w:line="360" w:lineRule="auto"/>
        <w:rPr>
          <w:rFonts w:cs="Times New Roman" w:hint="eastAsia"/>
          <w:kern w:val="2"/>
          <w:sz w:val="24"/>
          <w:szCs w:val="28"/>
        </w:rPr>
      </w:pPr>
      <w:r w:rsidRPr="00015D81">
        <w:rPr>
          <w:rFonts w:cs="Times New Roman" w:hint="eastAsia"/>
          <w:kern w:val="2"/>
          <w:sz w:val="24"/>
          <w:szCs w:val="28"/>
        </w:rPr>
        <w:t>Table S15</w:t>
      </w:r>
      <w:r w:rsidRPr="00015D81">
        <w:rPr>
          <w:rFonts w:cs="Times New Roman"/>
          <w:kern w:val="2"/>
          <w:sz w:val="24"/>
          <w:szCs w:val="28"/>
        </w:rPr>
        <w:t xml:space="preserve"> Alignment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of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RIN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and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IRN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biosynthetic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candidate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genes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of light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responsive in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the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full-length</w:t>
      </w:r>
      <w:r w:rsidRPr="00015D81">
        <w:rPr>
          <w:rFonts w:cs="Times New Roman" w:hint="eastAsia"/>
          <w:kern w:val="2"/>
          <w:sz w:val="24"/>
          <w:szCs w:val="28"/>
        </w:rPr>
        <w:t xml:space="preserve"> </w:t>
      </w:r>
      <w:r w:rsidRPr="00015D81">
        <w:rPr>
          <w:rFonts w:cs="Times New Roman"/>
          <w:kern w:val="2"/>
          <w:sz w:val="24"/>
          <w:szCs w:val="28"/>
        </w:rPr>
        <w:t>transcript library</w:t>
      </w:r>
      <w:r>
        <w:rPr>
          <w:rFonts w:cs="Times New Roman" w:hint="eastAsia"/>
          <w:kern w:val="2"/>
          <w:sz w:val="24"/>
          <w:szCs w:val="28"/>
        </w:rPr>
        <w:t>.</w:t>
      </w:r>
    </w:p>
    <w:p w14:paraId="33801803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Fig. S1 Different tissues of </w:t>
      </w:r>
      <w:r w:rsidRPr="00015D81">
        <w:rPr>
          <w:rFonts w:cs="Times New Roman"/>
          <w:bCs/>
          <w:i/>
          <w:iCs/>
          <w:color w:val="000000"/>
          <w:kern w:val="2"/>
          <w:sz w:val="24"/>
          <w:szCs w:val="24"/>
          <w:lang w:bidi="ar"/>
        </w:rPr>
        <w:t>U. rhynchophylla.</w:t>
      </w:r>
    </w:p>
    <w:p w14:paraId="5425EAA1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 xml:space="preserve">2 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Summary of PacBio single-molecule real-time (SMRT) sequencing.</w:t>
      </w:r>
    </w:p>
    <w:p w14:paraId="4DA6FD87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3 The results of transcriptome integrity assessment by BUSCO</w:t>
      </w:r>
    </w:p>
    <w:p w14:paraId="1A58F21F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Fig. S4. The predicted length distribution of the complete ORF region encoded protein sequence.</w:t>
      </w:r>
    </w:p>
    <w:p w14:paraId="614D4D13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Fig. S5. Venn diagram of long non-coding RNAs (lncRNAs)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</w:t>
      </w:r>
    </w:p>
    <w:p w14:paraId="6D92CC7C" w14:textId="77777777" w:rsidR="000126C6" w:rsidRPr="00015D81" w:rsidRDefault="000126C6" w:rsidP="000126C6">
      <w:pPr>
        <w:tabs>
          <w:tab w:val="left" w:pos="7200"/>
        </w:tabs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6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Species distribution of the BLAST search results in nr database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ab/>
      </w:r>
    </w:p>
    <w:p w14:paraId="33BB912E" w14:textId="77777777" w:rsidR="000126C6" w:rsidRPr="00015D81" w:rsidRDefault="000126C6" w:rsidP="000126C6">
      <w:pPr>
        <w:spacing w:line="360" w:lineRule="auto"/>
        <w:rPr>
          <w:rFonts w:cs="Times New Roman"/>
          <w:bCs/>
          <w:i/>
          <w:i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7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GO 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categories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analysis of full-length transcripts in </w:t>
      </w:r>
      <w:r w:rsidRPr="00015D81">
        <w:rPr>
          <w:rFonts w:cs="Times New Roman"/>
          <w:bCs/>
          <w:i/>
          <w:iCs/>
          <w:color w:val="000000"/>
          <w:kern w:val="2"/>
          <w:sz w:val="24"/>
          <w:szCs w:val="24"/>
          <w:lang w:bidi="ar"/>
        </w:rPr>
        <w:t xml:space="preserve">U. rhynchophylla </w:t>
      </w:r>
    </w:p>
    <w:p w14:paraId="3DBD6D59" w14:textId="77777777" w:rsidR="000126C6" w:rsidRPr="00015D81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8 Protein sequence alignment of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the deduced amino acid sequences </w:t>
      </w:r>
    </w:p>
    <w:p w14:paraId="2718CECB" w14:textId="77777777" w:rsidR="000126C6" w:rsidRPr="00015D81" w:rsidRDefault="000126C6" w:rsidP="000126C6">
      <w:pPr>
        <w:spacing w:line="360" w:lineRule="auto"/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</w:pPr>
      <w:bookmarkStart w:id="0" w:name="OLE_LINK1"/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9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(A) 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qRT-PCR validation of 12 randomly selected DEGs that may be involved in the biosynthesis of RIN and IRN.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(B) Correlation analysis of qRT-PCR results with the transcriptome 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lastRenderedPageBreak/>
        <w:t>data</w:t>
      </w:r>
      <w:bookmarkEnd w:id="0"/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.</w:t>
      </w:r>
    </w:p>
    <w:p w14:paraId="7DC204F4" w14:textId="77777777" w:rsidR="000126C6" w:rsidRPr="00015D81" w:rsidRDefault="000126C6" w:rsidP="000126C6">
      <w:pPr>
        <w:spacing w:line="360" w:lineRule="auto"/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Fig. S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 xml:space="preserve">10 The phylogenetic relationship of 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>the pleiotropic drug resistance (PDR) family of ABC transporters</w:t>
      </w:r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.</w:t>
      </w:r>
    </w:p>
    <w:p w14:paraId="17450239" w14:textId="77777777" w:rsidR="000126C6" w:rsidRDefault="000126C6" w:rsidP="000126C6">
      <w:pPr>
        <w:spacing w:line="360" w:lineRule="auto"/>
        <w:rPr>
          <w:rFonts w:cs="Times New Roman"/>
          <w:bCs/>
          <w:color w:val="000000"/>
          <w:kern w:val="2"/>
          <w:sz w:val="24"/>
          <w:szCs w:val="24"/>
          <w:lang w:bidi="ar"/>
        </w:rPr>
      </w:pP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Fig</w:t>
      </w:r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.</w:t>
      </w:r>
      <w:r w:rsidRPr="00015D81"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 xml:space="preserve"> S11</w:t>
      </w:r>
      <w:r w:rsidRPr="00015D81">
        <w:rPr>
          <w:rFonts w:cs="Times New Roman"/>
          <w:bCs/>
          <w:color w:val="000000"/>
          <w:kern w:val="2"/>
          <w:sz w:val="24"/>
          <w:szCs w:val="24"/>
          <w:lang w:bidi="ar"/>
        </w:rPr>
        <w:t xml:space="preserve"> </w:t>
      </w:r>
      <w:r w:rsidRPr="00DC1278">
        <w:rPr>
          <w:rFonts w:cs="Times New Roman"/>
          <w:bCs/>
          <w:color w:val="000000"/>
          <w:kern w:val="2"/>
          <w:sz w:val="24"/>
          <w:szCs w:val="24"/>
          <w:lang w:bidi="ar"/>
        </w:rPr>
        <w:t>Expression profile of candidate genes under shading conditions</w:t>
      </w:r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.</w:t>
      </w:r>
    </w:p>
    <w:p w14:paraId="4D7308AB" w14:textId="77777777" w:rsidR="000126C6" w:rsidRDefault="000126C6" w:rsidP="000126C6">
      <w:pPr>
        <w:spacing w:line="360" w:lineRule="auto"/>
        <w:rPr>
          <w:rFonts w:eastAsia="E-BZ+ZLeK6d-2" w:hint="eastAsia"/>
          <w:sz w:val="24"/>
        </w:rPr>
      </w:pPr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 xml:space="preserve">Fig. S12 </w:t>
      </w:r>
      <w:r w:rsidRPr="00DC1278">
        <w:rPr>
          <w:rFonts w:cs="Times New Roman"/>
          <w:bCs/>
          <w:color w:val="000000"/>
          <w:kern w:val="2"/>
          <w:sz w:val="24"/>
          <w:szCs w:val="24"/>
          <w:lang w:bidi="ar"/>
        </w:rPr>
        <w:t>Expression profile of candidate genes under restoring normal light conditions</w:t>
      </w:r>
      <w:r>
        <w:rPr>
          <w:rFonts w:cs="Times New Roman" w:hint="eastAsia"/>
          <w:bCs/>
          <w:color w:val="000000"/>
          <w:kern w:val="2"/>
          <w:sz w:val="24"/>
          <w:szCs w:val="24"/>
          <w:lang w:bidi="ar"/>
        </w:rPr>
        <w:t>.</w:t>
      </w:r>
    </w:p>
    <w:p w14:paraId="5120584B" w14:textId="77777777" w:rsidR="000126C6" w:rsidRDefault="000126C6" w:rsidP="000126C6">
      <w:pPr>
        <w:jc w:val="left"/>
        <w:rPr>
          <w:rFonts w:eastAsia="E-BZ+ZLeK6d-2"/>
          <w:sz w:val="24"/>
        </w:rPr>
      </w:pPr>
    </w:p>
    <w:p w14:paraId="1DE5B651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-BZ+ZLeK6d-2">
    <w:altName w:val="宋体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C6"/>
    <w:rsid w:val="000126C6"/>
    <w:rsid w:val="00256B98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8D219"/>
  <w15:chartTrackingRefBased/>
  <w15:docId w15:val="{D522748D-AE61-43CA-8604-E9F71C54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C6"/>
    <w:pPr>
      <w:widowControl w:val="0"/>
      <w:spacing w:after="0" w:line="240" w:lineRule="auto"/>
      <w:jc w:val="both"/>
    </w:pPr>
    <w:rPr>
      <w:rFonts w:ascii="Times New Roman" w:eastAsia="SimSun" w:hAnsi="Times New Roman" w:cs="SimSun"/>
      <w:kern w:val="0"/>
      <w:sz w:val="20"/>
      <w:szCs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6C6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6C6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6C6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6C6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6C6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6C6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6C6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6C6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6C6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6C6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2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6C6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2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6C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2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6C6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2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6C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>Springer Nature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2026-10-05T09:03:00Z</dcterms:created>
  <dcterms:modified xsi:type="dcterms:W3CDTF">2026-10-05T09:03:00Z</dcterms:modified>
</cp:coreProperties>
</file>