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75752" w14:textId="77777777" w:rsidR="00036DA2" w:rsidRPr="003542BB" w:rsidRDefault="008635C2" w:rsidP="00AC05D9">
      <w:pPr>
        <w:widowControl/>
        <w:tabs>
          <w:tab w:val="left" w:pos="5670"/>
        </w:tabs>
        <w:jc w:val="center"/>
        <w:rPr>
          <w:rFonts w:ascii="Times New Roman" w:eastAsia="Times New Roman" w:hAnsi="Times New Roman" w:cs="Times New Roman"/>
          <w:b/>
          <w:sz w:val="36"/>
          <w:szCs w:val="28"/>
        </w:rPr>
      </w:pPr>
      <w:r w:rsidRPr="003542BB">
        <w:rPr>
          <w:rFonts w:ascii="Times New Roman" w:hAnsi="Times New Roman"/>
          <w:b/>
          <w:sz w:val="36"/>
          <w:szCs w:val="28"/>
        </w:rPr>
        <w:t>Additional file 1</w:t>
      </w:r>
    </w:p>
    <w:p w14:paraId="6D8A9B97" w14:textId="4347E647" w:rsidR="003542BB" w:rsidRDefault="00000000" w:rsidP="003542BB">
      <w:pPr>
        <w:spacing w:afterLines="50" w:after="180"/>
        <w:jc w:val="left"/>
      </w:pPr>
      <w:r w:rsidRPr="003542BB">
        <w:rPr>
          <w:rFonts w:ascii="Times New Roman" w:hAnsi="Times New Roman"/>
          <w:b/>
          <w:sz w:val="28"/>
          <w:szCs w:val="24"/>
        </w:rPr>
        <w:t xml:space="preserve">Supplementary </w:t>
      </w:r>
      <w:r w:rsidR="003542BB">
        <w:rPr>
          <w:rFonts w:ascii="Times New Roman" w:hAnsi="Times New Roman" w:hint="eastAsia"/>
          <w:b/>
          <w:sz w:val="28"/>
          <w:szCs w:val="24"/>
        </w:rPr>
        <w:t>T</w:t>
      </w:r>
      <w:r w:rsidRPr="003542BB">
        <w:rPr>
          <w:rFonts w:ascii="Times New Roman" w:hAnsi="Times New Roman"/>
          <w:b/>
          <w:sz w:val="28"/>
          <w:szCs w:val="24"/>
        </w:rPr>
        <w:t>ables</w:t>
      </w:r>
    </w:p>
    <w:p w14:paraId="1E050AE6" w14:textId="77777777" w:rsidR="00036DA2" w:rsidRPr="003542BB" w:rsidRDefault="008635C2" w:rsidP="003542BB">
      <w:pPr>
        <w:widowControl/>
        <w:snapToGrid w:val="0"/>
        <w:spacing w:afterLines="50" w:after="180"/>
        <w:jc w:val="left"/>
        <w:rPr>
          <w:rFonts w:ascii="Times New Roman" w:eastAsia="Times New Roman" w:hAnsi="Times New Roman" w:cs="Times New Roman"/>
          <w:b/>
          <w:bCs/>
          <w:sz w:val="24"/>
        </w:rPr>
      </w:pPr>
      <w:r w:rsidRPr="003542BB">
        <w:rPr>
          <w:rFonts w:ascii="Times New Roman" w:eastAsia="Times New Roman" w:hAnsi="Times New Roman" w:cs="Times New Roman"/>
          <w:b/>
          <w:bCs/>
          <w:sz w:val="24"/>
        </w:rPr>
        <w:t xml:space="preserve">Table S1. Tumor response according to </w:t>
      </w:r>
      <w:proofErr w:type="spellStart"/>
      <w:r w:rsidRPr="003542BB">
        <w:rPr>
          <w:rFonts w:ascii="Times New Roman" w:eastAsia="Times New Roman" w:hAnsi="Times New Roman" w:cs="Times New Roman"/>
          <w:b/>
          <w:bCs/>
          <w:sz w:val="24"/>
        </w:rPr>
        <w:t>mRECIST</w:t>
      </w:r>
      <w:proofErr w:type="spellEnd"/>
      <w:r w:rsidRPr="003542BB">
        <w:rPr>
          <w:rFonts w:ascii="Times New Roman" w:eastAsia="Times New Roman" w:hAnsi="Times New Roman" w:cs="Times New Roman"/>
          <w:b/>
          <w:bCs/>
          <w:sz w:val="24"/>
        </w:rPr>
        <w:t>.</w:t>
      </w: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126"/>
        <w:gridCol w:w="2126"/>
        <w:gridCol w:w="1557"/>
      </w:tblGrid>
      <w:tr w:rsidR="00F36B24" w:rsidRPr="00DF067D" w14:paraId="68D12C07" w14:textId="77777777" w:rsidTr="003542BB">
        <w:trPr>
          <w:trHeight w:val="675"/>
        </w:trPr>
        <w:tc>
          <w:tcPr>
            <w:tcW w:w="3261" w:type="dxa"/>
            <w:tcBorders>
              <w:top w:val="single" w:sz="4" w:space="0" w:color="auto"/>
              <w:bottom w:val="single" w:sz="4" w:space="0" w:color="auto"/>
            </w:tcBorders>
            <w:shd w:val="clear" w:color="auto" w:fill="F2F2F2" w:themeFill="background1" w:themeFillShade="F2"/>
            <w:vAlign w:val="center"/>
          </w:tcPr>
          <w:p w14:paraId="427FDC04" w14:textId="77777777" w:rsidR="00036DA2" w:rsidRPr="00DF067D" w:rsidRDefault="00036DA2">
            <w:pPr>
              <w:jc w:val="center"/>
              <w:rPr>
                <w:rFonts w:ascii="Times New Roman" w:hAnsi="Times New Roman" w:cs="Times New Roman"/>
              </w:rPr>
            </w:pPr>
          </w:p>
        </w:tc>
        <w:tc>
          <w:tcPr>
            <w:tcW w:w="2126" w:type="dxa"/>
            <w:tcBorders>
              <w:top w:val="single" w:sz="4" w:space="0" w:color="auto"/>
              <w:bottom w:val="single" w:sz="4" w:space="0" w:color="auto"/>
            </w:tcBorders>
            <w:shd w:val="clear" w:color="auto" w:fill="F2F2F2" w:themeFill="background1" w:themeFillShade="F2"/>
            <w:vAlign w:val="center"/>
          </w:tcPr>
          <w:p w14:paraId="3E2863B7" w14:textId="77777777" w:rsidR="00036DA2" w:rsidRPr="00DF067D" w:rsidRDefault="008635C2">
            <w:pPr>
              <w:jc w:val="center"/>
              <w:rPr>
                <w:rFonts w:ascii="Times New Roman" w:eastAsia="Times New Roman" w:hAnsi="Times New Roman" w:cs="Times New Roman"/>
                <w:b/>
                <w:sz w:val="22"/>
              </w:rPr>
            </w:pPr>
            <w:proofErr w:type="spellStart"/>
            <w:r w:rsidRPr="00DF067D">
              <w:rPr>
                <w:rFonts w:ascii="Times New Roman" w:eastAsia="Times New Roman" w:hAnsi="Times New Roman" w:cs="Times New Roman"/>
                <w:b/>
                <w:sz w:val="22"/>
              </w:rPr>
              <w:t>Dur+Tre</w:t>
            </w:r>
            <w:proofErr w:type="spellEnd"/>
            <w:r w:rsidRPr="00DF067D">
              <w:rPr>
                <w:rFonts w:ascii="Times New Roman" w:eastAsia="Times New Roman" w:hAnsi="Times New Roman" w:cs="Times New Roman"/>
                <w:b/>
                <w:sz w:val="22"/>
              </w:rPr>
              <w:t xml:space="preserve"> (n = 22)</w:t>
            </w:r>
          </w:p>
        </w:tc>
        <w:tc>
          <w:tcPr>
            <w:tcW w:w="2126" w:type="dxa"/>
            <w:tcBorders>
              <w:top w:val="single" w:sz="4" w:space="0" w:color="auto"/>
              <w:bottom w:val="single" w:sz="4" w:space="0" w:color="auto"/>
            </w:tcBorders>
            <w:shd w:val="clear" w:color="auto" w:fill="F2F2F2" w:themeFill="background1" w:themeFillShade="F2"/>
            <w:vAlign w:val="center"/>
          </w:tcPr>
          <w:p w14:paraId="2E862A4A" w14:textId="77777777" w:rsidR="00036DA2" w:rsidRPr="00DF067D" w:rsidRDefault="008635C2">
            <w:pPr>
              <w:jc w:val="center"/>
              <w:rPr>
                <w:rFonts w:ascii="Times New Roman" w:eastAsia="Times New Roman" w:hAnsi="Times New Roman" w:cs="Times New Roman"/>
                <w:b/>
                <w:sz w:val="22"/>
              </w:rPr>
            </w:pPr>
            <w:r w:rsidRPr="00DF067D">
              <w:rPr>
                <w:rFonts w:ascii="Times New Roman" w:eastAsia="Times New Roman" w:hAnsi="Times New Roman" w:cs="Times New Roman"/>
                <w:b/>
                <w:sz w:val="22"/>
              </w:rPr>
              <w:t>Lenvatinib (n = 86)</w:t>
            </w:r>
          </w:p>
        </w:tc>
        <w:tc>
          <w:tcPr>
            <w:tcW w:w="1557" w:type="dxa"/>
            <w:tcBorders>
              <w:top w:val="single" w:sz="4" w:space="0" w:color="auto"/>
              <w:bottom w:val="single" w:sz="4" w:space="0" w:color="auto"/>
            </w:tcBorders>
            <w:shd w:val="clear" w:color="auto" w:fill="F2F2F2" w:themeFill="background1" w:themeFillShade="F2"/>
            <w:vAlign w:val="center"/>
          </w:tcPr>
          <w:p w14:paraId="6C11254F" w14:textId="77777777" w:rsidR="00036DA2" w:rsidRPr="00DF067D" w:rsidRDefault="008635C2">
            <w:pPr>
              <w:jc w:val="center"/>
              <w:rPr>
                <w:rFonts w:ascii="Times New Roman" w:eastAsia="Times New Roman" w:hAnsi="Times New Roman" w:cs="Times New Roman"/>
                <w:b/>
                <w:sz w:val="22"/>
              </w:rPr>
            </w:pPr>
            <w:r w:rsidRPr="00DF067D">
              <w:rPr>
                <w:rFonts w:ascii="Times New Roman" w:eastAsia="Times New Roman" w:hAnsi="Times New Roman" w:cs="Times New Roman"/>
                <w:b/>
                <w:sz w:val="22"/>
              </w:rPr>
              <w:t>p-value</w:t>
            </w:r>
          </w:p>
        </w:tc>
      </w:tr>
      <w:tr w:rsidR="00F36B24" w:rsidRPr="00DF067D" w14:paraId="6FF2C808" w14:textId="77777777">
        <w:trPr>
          <w:trHeight w:val="331"/>
        </w:trPr>
        <w:tc>
          <w:tcPr>
            <w:tcW w:w="3261" w:type="dxa"/>
            <w:tcBorders>
              <w:top w:val="single" w:sz="4" w:space="0" w:color="auto"/>
            </w:tcBorders>
            <w:vAlign w:val="center"/>
          </w:tcPr>
          <w:p w14:paraId="3B92EAC6"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Best overall response</w:t>
            </w:r>
          </w:p>
        </w:tc>
        <w:tc>
          <w:tcPr>
            <w:tcW w:w="2126" w:type="dxa"/>
            <w:tcBorders>
              <w:top w:val="single" w:sz="4" w:space="0" w:color="auto"/>
            </w:tcBorders>
            <w:vAlign w:val="center"/>
          </w:tcPr>
          <w:p w14:paraId="0E458CCB" w14:textId="77777777" w:rsidR="00036DA2" w:rsidRPr="00DF067D" w:rsidRDefault="00036DA2">
            <w:pPr>
              <w:jc w:val="center"/>
              <w:rPr>
                <w:rFonts w:ascii="Times New Roman" w:hAnsi="Times New Roman" w:cs="Times New Roman"/>
              </w:rPr>
            </w:pPr>
          </w:p>
        </w:tc>
        <w:tc>
          <w:tcPr>
            <w:tcW w:w="2126" w:type="dxa"/>
            <w:tcBorders>
              <w:top w:val="single" w:sz="4" w:space="0" w:color="auto"/>
            </w:tcBorders>
            <w:vAlign w:val="center"/>
          </w:tcPr>
          <w:p w14:paraId="1D36F993" w14:textId="77777777" w:rsidR="00036DA2" w:rsidRPr="00DF067D" w:rsidRDefault="00036DA2">
            <w:pPr>
              <w:jc w:val="center"/>
              <w:rPr>
                <w:rFonts w:ascii="Times New Roman" w:hAnsi="Times New Roman" w:cs="Times New Roman"/>
              </w:rPr>
            </w:pPr>
          </w:p>
        </w:tc>
        <w:tc>
          <w:tcPr>
            <w:tcW w:w="1557" w:type="dxa"/>
            <w:tcBorders>
              <w:top w:val="single" w:sz="4" w:space="0" w:color="auto"/>
            </w:tcBorders>
            <w:vAlign w:val="center"/>
          </w:tcPr>
          <w:p w14:paraId="61114E39" w14:textId="77777777" w:rsidR="00036DA2" w:rsidRPr="00DF067D" w:rsidRDefault="00036DA2">
            <w:pPr>
              <w:jc w:val="center"/>
              <w:rPr>
                <w:rFonts w:ascii="Times New Roman" w:hAnsi="Times New Roman" w:cs="Times New Roman"/>
              </w:rPr>
            </w:pPr>
          </w:p>
        </w:tc>
      </w:tr>
      <w:tr w:rsidR="00F36B24" w:rsidRPr="00DF067D" w14:paraId="07B9242F" w14:textId="77777777">
        <w:trPr>
          <w:trHeight w:val="331"/>
        </w:trPr>
        <w:tc>
          <w:tcPr>
            <w:tcW w:w="3261" w:type="dxa"/>
            <w:vAlign w:val="center"/>
          </w:tcPr>
          <w:p w14:paraId="4FF0C740" w14:textId="77777777" w:rsidR="00036DA2" w:rsidRPr="00DF067D" w:rsidRDefault="008635C2">
            <w:pPr>
              <w:ind w:firstLine="330"/>
              <w:jc w:val="left"/>
              <w:rPr>
                <w:rFonts w:ascii="Times New Roman" w:eastAsia="Times New Roman" w:hAnsi="Times New Roman" w:cs="Times New Roman"/>
                <w:sz w:val="22"/>
              </w:rPr>
            </w:pPr>
            <w:r w:rsidRPr="00DF067D">
              <w:rPr>
                <w:rFonts w:ascii="Times New Roman" w:eastAsia="Times New Roman" w:hAnsi="Times New Roman" w:cs="Times New Roman"/>
                <w:sz w:val="22"/>
              </w:rPr>
              <w:t>Complete response</w:t>
            </w:r>
          </w:p>
        </w:tc>
        <w:tc>
          <w:tcPr>
            <w:tcW w:w="2126" w:type="dxa"/>
            <w:vAlign w:val="center"/>
          </w:tcPr>
          <w:p w14:paraId="6318D543"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 (9.1%)</w:t>
            </w:r>
          </w:p>
        </w:tc>
        <w:tc>
          <w:tcPr>
            <w:tcW w:w="2126" w:type="dxa"/>
            <w:vAlign w:val="center"/>
          </w:tcPr>
          <w:p w14:paraId="4ABA6493"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 (1.2%)</w:t>
            </w:r>
          </w:p>
        </w:tc>
        <w:tc>
          <w:tcPr>
            <w:tcW w:w="1557" w:type="dxa"/>
            <w:vAlign w:val="center"/>
          </w:tcPr>
          <w:p w14:paraId="6BB13131" w14:textId="77777777" w:rsidR="00036DA2" w:rsidRPr="00DF067D" w:rsidRDefault="00036DA2">
            <w:pPr>
              <w:jc w:val="center"/>
              <w:rPr>
                <w:rFonts w:ascii="Times New Roman" w:hAnsi="Times New Roman" w:cs="Times New Roman"/>
              </w:rPr>
            </w:pPr>
          </w:p>
        </w:tc>
      </w:tr>
      <w:tr w:rsidR="00F36B24" w:rsidRPr="00DF067D" w14:paraId="463BF2D5" w14:textId="77777777">
        <w:trPr>
          <w:trHeight w:val="331"/>
        </w:trPr>
        <w:tc>
          <w:tcPr>
            <w:tcW w:w="3261" w:type="dxa"/>
            <w:vAlign w:val="center"/>
          </w:tcPr>
          <w:p w14:paraId="64ADCA75" w14:textId="77777777" w:rsidR="00036DA2" w:rsidRPr="00DF067D" w:rsidRDefault="008635C2">
            <w:pPr>
              <w:ind w:firstLine="330"/>
              <w:jc w:val="left"/>
              <w:rPr>
                <w:rFonts w:ascii="Times New Roman" w:eastAsia="Times New Roman" w:hAnsi="Times New Roman" w:cs="Times New Roman"/>
                <w:sz w:val="22"/>
              </w:rPr>
            </w:pPr>
            <w:r w:rsidRPr="00DF067D">
              <w:rPr>
                <w:rFonts w:ascii="Times New Roman" w:eastAsia="Times New Roman" w:hAnsi="Times New Roman" w:cs="Times New Roman"/>
                <w:sz w:val="22"/>
              </w:rPr>
              <w:t>Partial response</w:t>
            </w:r>
          </w:p>
        </w:tc>
        <w:tc>
          <w:tcPr>
            <w:tcW w:w="2126" w:type="dxa"/>
            <w:vAlign w:val="center"/>
          </w:tcPr>
          <w:p w14:paraId="7A3CCADC"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 (4.5%)</w:t>
            </w:r>
          </w:p>
        </w:tc>
        <w:tc>
          <w:tcPr>
            <w:tcW w:w="2126" w:type="dxa"/>
            <w:vAlign w:val="center"/>
          </w:tcPr>
          <w:p w14:paraId="093F4A65"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17 (19.8%)</w:t>
            </w:r>
          </w:p>
        </w:tc>
        <w:tc>
          <w:tcPr>
            <w:tcW w:w="1557" w:type="dxa"/>
            <w:vAlign w:val="center"/>
          </w:tcPr>
          <w:p w14:paraId="5C15AA87" w14:textId="77777777" w:rsidR="00036DA2" w:rsidRPr="00DF067D" w:rsidRDefault="00036DA2">
            <w:pPr>
              <w:jc w:val="center"/>
              <w:rPr>
                <w:rFonts w:ascii="Times New Roman" w:hAnsi="Times New Roman" w:cs="Times New Roman"/>
              </w:rPr>
            </w:pPr>
          </w:p>
        </w:tc>
      </w:tr>
      <w:tr w:rsidR="00F36B24" w:rsidRPr="00DF067D" w14:paraId="412B5855" w14:textId="77777777">
        <w:trPr>
          <w:trHeight w:val="331"/>
        </w:trPr>
        <w:tc>
          <w:tcPr>
            <w:tcW w:w="3261" w:type="dxa"/>
            <w:vAlign w:val="center"/>
          </w:tcPr>
          <w:p w14:paraId="04DF9D8A" w14:textId="77777777" w:rsidR="00036DA2" w:rsidRPr="00DF067D" w:rsidRDefault="008635C2">
            <w:pPr>
              <w:ind w:firstLine="330"/>
              <w:jc w:val="left"/>
              <w:rPr>
                <w:rFonts w:ascii="Times New Roman" w:eastAsia="Times New Roman" w:hAnsi="Times New Roman" w:cs="Times New Roman"/>
                <w:sz w:val="22"/>
              </w:rPr>
            </w:pPr>
            <w:r w:rsidRPr="00DF067D">
              <w:rPr>
                <w:rFonts w:ascii="Times New Roman" w:eastAsia="Times New Roman" w:hAnsi="Times New Roman" w:cs="Times New Roman"/>
                <w:sz w:val="22"/>
              </w:rPr>
              <w:t>Stable disease</w:t>
            </w:r>
          </w:p>
        </w:tc>
        <w:tc>
          <w:tcPr>
            <w:tcW w:w="2126" w:type="dxa"/>
            <w:vAlign w:val="center"/>
          </w:tcPr>
          <w:p w14:paraId="11AB678A"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3 (13.6%)</w:t>
            </w:r>
          </w:p>
        </w:tc>
        <w:tc>
          <w:tcPr>
            <w:tcW w:w="2126" w:type="dxa"/>
            <w:vAlign w:val="center"/>
          </w:tcPr>
          <w:p w14:paraId="77AFD9A5"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26 (30.2%)</w:t>
            </w:r>
          </w:p>
        </w:tc>
        <w:tc>
          <w:tcPr>
            <w:tcW w:w="1557" w:type="dxa"/>
            <w:vAlign w:val="center"/>
          </w:tcPr>
          <w:p w14:paraId="303D77D8" w14:textId="77777777" w:rsidR="00036DA2" w:rsidRPr="00DF067D" w:rsidRDefault="00036DA2">
            <w:pPr>
              <w:jc w:val="center"/>
              <w:rPr>
                <w:rFonts w:ascii="Times New Roman" w:hAnsi="Times New Roman" w:cs="Times New Roman"/>
              </w:rPr>
            </w:pPr>
          </w:p>
        </w:tc>
      </w:tr>
      <w:tr w:rsidR="00F36B24" w:rsidRPr="00DF067D" w14:paraId="3A27A2D3" w14:textId="77777777">
        <w:trPr>
          <w:trHeight w:val="331"/>
        </w:trPr>
        <w:tc>
          <w:tcPr>
            <w:tcW w:w="3261" w:type="dxa"/>
            <w:vAlign w:val="center"/>
          </w:tcPr>
          <w:p w14:paraId="36E89DEE" w14:textId="77777777" w:rsidR="00036DA2" w:rsidRPr="00DF067D" w:rsidRDefault="008635C2">
            <w:pPr>
              <w:ind w:firstLine="330"/>
              <w:jc w:val="left"/>
              <w:rPr>
                <w:rFonts w:ascii="Times New Roman" w:eastAsia="Times New Roman" w:hAnsi="Times New Roman" w:cs="Times New Roman"/>
                <w:sz w:val="22"/>
              </w:rPr>
            </w:pPr>
            <w:r w:rsidRPr="00DF067D">
              <w:rPr>
                <w:rFonts w:ascii="Times New Roman" w:eastAsia="Times New Roman" w:hAnsi="Times New Roman" w:cs="Times New Roman"/>
                <w:sz w:val="22"/>
              </w:rPr>
              <w:t>Progressive disease</w:t>
            </w:r>
          </w:p>
        </w:tc>
        <w:tc>
          <w:tcPr>
            <w:tcW w:w="2126" w:type="dxa"/>
            <w:vAlign w:val="center"/>
          </w:tcPr>
          <w:p w14:paraId="14FF8044"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10 (45.5%)</w:t>
            </w:r>
          </w:p>
        </w:tc>
        <w:tc>
          <w:tcPr>
            <w:tcW w:w="2126" w:type="dxa"/>
            <w:vAlign w:val="center"/>
          </w:tcPr>
          <w:p w14:paraId="28E86B26"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17 (19.8%)</w:t>
            </w:r>
          </w:p>
        </w:tc>
        <w:tc>
          <w:tcPr>
            <w:tcW w:w="1557" w:type="dxa"/>
            <w:vAlign w:val="center"/>
          </w:tcPr>
          <w:p w14:paraId="77635E5A" w14:textId="77777777" w:rsidR="00036DA2" w:rsidRPr="00DF067D" w:rsidRDefault="00036DA2">
            <w:pPr>
              <w:jc w:val="center"/>
              <w:rPr>
                <w:rFonts w:ascii="Times New Roman" w:hAnsi="Times New Roman" w:cs="Times New Roman"/>
              </w:rPr>
            </w:pPr>
          </w:p>
        </w:tc>
      </w:tr>
      <w:tr w:rsidR="00F36B24" w:rsidRPr="00DF067D" w14:paraId="32DE17C4" w14:textId="77777777">
        <w:trPr>
          <w:trHeight w:val="331"/>
        </w:trPr>
        <w:tc>
          <w:tcPr>
            <w:tcW w:w="3261" w:type="dxa"/>
            <w:vAlign w:val="center"/>
          </w:tcPr>
          <w:p w14:paraId="1D9E4382" w14:textId="77777777" w:rsidR="00036DA2" w:rsidRPr="00DF067D" w:rsidRDefault="008635C2">
            <w:pPr>
              <w:ind w:firstLine="330"/>
              <w:jc w:val="left"/>
              <w:rPr>
                <w:rFonts w:ascii="Times New Roman" w:eastAsia="Times New Roman" w:hAnsi="Times New Roman" w:cs="Times New Roman"/>
                <w:sz w:val="22"/>
              </w:rPr>
            </w:pPr>
            <w:r w:rsidRPr="00DF067D">
              <w:rPr>
                <w:rFonts w:ascii="Times New Roman" w:eastAsia="Times New Roman" w:hAnsi="Times New Roman" w:cs="Times New Roman"/>
                <w:sz w:val="22"/>
              </w:rPr>
              <w:t>Not evaluable</w:t>
            </w:r>
          </w:p>
        </w:tc>
        <w:tc>
          <w:tcPr>
            <w:tcW w:w="2126" w:type="dxa"/>
            <w:vAlign w:val="center"/>
          </w:tcPr>
          <w:p w14:paraId="5B90974F"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6 (27.3%)</w:t>
            </w:r>
          </w:p>
        </w:tc>
        <w:tc>
          <w:tcPr>
            <w:tcW w:w="2126" w:type="dxa"/>
            <w:vAlign w:val="center"/>
          </w:tcPr>
          <w:p w14:paraId="55099DAC"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25 (29.1%)</w:t>
            </w:r>
          </w:p>
        </w:tc>
        <w:tc>
          <w:tcPr>
            <w:tcW w:w="1557" w:type="dxa"/>
            <w:vAlign w:val="center"/>
          </w:tcPr>
          <w:p w14:paraId="6CF29F81" w14:textId="77777777" w:rsidR="00036DA2" w:rsidRPr="00DF067D" w:rsidRDefault="00036DA2">
            <w:pPr>
              <w:jc w:val="center"/>
              <w:rPr>
                <w:rFonts w:ascii="Times New Roman" w:hAnsi="Times New Roman" w:cs="Times New Roman"/>
              </w:rPr>
            </w:pPr>
          </w:p>
        </w:tc>
      </w:tr>
      <w:tr w:rsidR="00F36B24" w:rsidRPr="00DF067D" w14:paraId="203A847D" w14:textId="77777777">
        <w:trPr>
          <w:trHeight w:val="331"/>
        </w:trPr>
        <w:tc>
          <w:tcPr>
            <w:tcW w:w="3261" w:type="dxa"/>
            <w:vAlign w:val="center"/>
          </w:tcPr>
          <w:p w14:paraId="0D429671"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Objective response rate</w:t>
            </w:r>
          </w:p>
        </w:tc>
        <w:tc>
          <w:tcPr>
            <w:tcW w:w="2126" w:type="dxa"/>
            <w:vAlign w:val="center"/>
          </w:tcPr>
          <w:p w14:paraId="4E923787"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3 (13.6%)</w:t>
            </w:r>
          </w:p>
        </w:tc>
        <w:tc>
          <w:tcPr>
            <w:tcW w:w="2126" w:type="dxa"/>
            <w:vAlign w:val="center"/>
          </w:tcPr>
          <w:p w14:paraId="5A692503"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18 (20.9%)</w:t>
            </w:r>
          </w:p>
        </w:tc>
        <w:tc>
          <w:tcPr>
            <w:tcW w:w="1557" w:type="dxa"/>
            <w:vAlign w:val="center"/>
          </w:tcPr>
          <w:p w14:paraId="0EBDBE4F"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0.556</w:t>
            </w:r>
          </w:p>
        </w:tc>
      </w:tr>
      <w:tr w:rsidR="00F36B24" w:rsidRPr="00DF067D" w14:paraId="71001F26" w14:textId="77777777">
        <w:trPr>
          <w:trHeight w:val="331"/>
        </w:trPr>
        <w:tc>
          <w:tcPr>
            <w:tcW w:w="3261" w:type="dxa"/>
            <w:vAlign w:val="center"/>
          </w:tcPr>
          <w:p w14:paraId="7FF97431"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Clinical benefit rate</w:t>
            </w:r>
          </w:p>
        </w:tc>
        <w:tc>
          <w:tcPr>
            <w:tcW w:w="2126" w:type="dxa"/>
            <w:vAlign w:val="center"/>
          </w:tcPr>
          <w:p w14:paraId="1FEB7244"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4 (18.2%)</w:t>
            </w:r>
          </w:p>
        </w:tc>
        <w:tc>
          <w:tcPr>
            <w:tcW w:w="2126" w:type="dxa"/>
            <w:vAlign w:val="center"/>
          </w:tcPr>
          <w:p w14:paraId="268B54ED"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26 (30.2%)</w:t>
            </w:r>
          </w:p>
        </w:tc>
        <w:tc>
          <w:tcPr>
            <w:tcW w:w="1557" w:type="dxa"/>
            <w:vAlign w:val="center"/>
          </w:tcPr>
          <w:p w14:paraId="4A45C0BE"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0.300</w:t>
            </w:r>
          </w:p>
        </w:tc>
      </w:tr>
      <w:tr w:rsidR="00F36B24" w:rsidRPr="00DF067D" w14:paraId="5F9934AA" w14:textId="77777777">
        <w:trPr>
          <w:trHeight w:val="331"/>
        </w:trPr>
        <w:tc>
          <w:tcPr>
            <w:tcW w:w="3261" w:type="dxa"/>
            <w:vAlign w:val="center"/>
          </w:tcPr>
          <w:p w14:paraId="2CB7E4C0"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Disease control rate</w:t>
            </w:r>
          </w:p>
        </w:tc>
        <w:tc>
          <w:tcPr>
            <w:tcW w:w="2126" w:type="dxa"/>
            <w:vAlign w:val="center"/>
          </w:tcPr>
          <w:p w14:paraId="25CF5B9D"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6 (27.3%)</w:t>
            </w:r>
          </w:p>
        </w:tc>
        <w:tc>
          <w:tcPr>
            <w:tcW w:w="2126" w:type="dxa"/>
            <w:vAlign w:val="center"/>
          </w:tcPr>
          <w:p w14:paraId="1EFA62EA"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44 (51.2%)</w:t>
            </w:r>
          </w:p>
        </w:tc>
        <w:tc>
          <w:tcPr>
            <w:tcW w:w="1557" w:type="dxa"/>
            <w:vAlign w:val="center"/>
          </w:tcPr>
          <w:p w14:paraId="06B16C6D"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0.056</w:t>
            </w:r>
          </w:p>
        </w:tc>
      </w:tr>
    </w:tbl>
    <w:p w14:paraId="138637E6" w14:textId="77777777" w:rsidR="00036DA2" w:rsidRPr="00DF067D" w:rsidRDefault="008635C2" w:rsidP="003542BB">
      <w:pPr>
        <w:widowControl/>
        <w:spacing w:beforeLines="50" w:before="180"/>
        <w:jc w:val="left"/>
        <w:rPr>
          <w:rFonts w:ascii="Times New Roman" w:eastAsia="Times New Roman" w:hAnsi="Times New Roman" w:cs="Times New Roman"/>
          <w:sz w:val="24"/>
        </w:rPr>
      </w:pPr>
      <w:proofErr w:type="spellStart"/>
      <w:r w:rsidRPr="00DF067D">
        <w:rPr>
          <w:rFonts w:ascii="Times New Roman" w:eastAsia="Times New Roman" w:hAnsi="Times New Roman" w:cs="Times New Roman"/>
          <w:sz w:val="22"/>
        </w:rPr>
        <w:t>Dur+Tre</w:t>
      </w:r>
      <w:proofErr w:type="spellEnd"/>
      <w:r w:rsidRPr="00DF067D">
        <w:rPr>
          <w:rFonts w:ascii="Times New Roman" w:eastAsia="Times New Roman" w:hAnsi="Times New Roman" w:cs="Times New Roman"/>
          <w:sz w:val="22"/>
        </w:rPr>
        <w:t xml:space="preserve">, durvalumab plus </w:t>
      </w:r>
      <w:proofErr w:type="spellStart"/>
      <w:r w:rsidRPr="00DF067D">
        <w:rPr>
          <w:rFonts w:ascii="Times New Roman" w:eastAsia="Times New Roman" w:hAnsi="Times New Roman" w:cs="Times New Roman"/>
          <w:sz w:val="22"/>
        </w:rPr>
        <w:t>tremelimumab</w:t>
      </w:r>
      <w:proofErr w:type="spellEnd"/>
      <w:r w:rsidRPr="00DF067D">
        <w:rPr>
          <w:rFonts w:ascii="Times New Roman" w:eastAsia="Times New Roman" w:hAnsi="Times New Roman" w:cs="Times New Roman"/>
          <w:sz w:val="22"/>
        </w:rPr>
        <w:t xml:space="preserve">; </w:t>
      </w:r>
      <w:proofErr w:type="spellStart"/>
      <w:r w:rsidRPr="00DF067D">
        <w:rPr>
          <w:rFonts w:ascii="Times New Roman" w:eastAsia="Times New Roman" w:hAnsi="Times New Roman" w:cs="Times New Roman"/>
          <w:sz w:val="22"/>
        </w:rPr>
        <w:t>mRECIST</w:t>
      </w:r>
      <w:proofErr w:type="spellEnd"/>
      <w:r w:rsidRPr="00DF067D">
        <w:rPr>
          <w:rFonts w:ascii="Times New Roman" w:eastAsia="Times New Roman" w:hAnsi="Times New Roman" w:cs="Times New Roman"/>
          <w:sz w:val="22"/>
        </w:rPr>
        <w:t>, modified Response Evaluation Criteria in Solid Tumors; ORR, objective response rate; CBR, clinical benefit rate; DCR, disease control rate</w:t>
      </w:r>
    </w:p>
    <w:p w14:paraId="1F1B39BD" w14:textId="77777777" w:rsidR="00036DA2" w:rsidRPr="00DF067D" w:rsidRDefault="008635C2">
      <w:pPr>
        <w:widowControl/>
        <w:jc w:val="left"/>
        <w:rPr>
          <w:rFonts w:ascii="Times New Roman" w:eastAsia="Times New Roman" w:hAnsi="Times New Roman" w:cs="Times New Roman"/>
          <w:sz w:val="24"/>
        </w:rPr>
      </w:pPr>
      <w:r w:rsidRPr="00DF067D">
        <w:rPr>
          <w:rFonts w:ascii="Times New Roman" w:eastAsia="Times New Roman" w:hAnsi="Times New Roman" w:cs="Times New Roman"/>
        </w:rPr>
        <w:br w:type="page"/>
      </w:r>
    </w:p>
    <w:p w14:paraId="7282D090" w14:textId="77777777" w:rsidR="00036DA2" w:rsidRPr="00DF067D" w:rsidRDefault="008635C2" w:rsidP="003542BB">
      <w:pPr>
        <w:spacing w:afterLines="50" w:after="180"/>
        <w:rPr>
          <w:rFonts w:ascii="Times New Roman" w:eastAsia="Times New Roman" w:hAnsi="Times New Roman" w:cs="Times New Roman"/>
          <w:b/>
          <w:sz w:val="24"/>
        </w:rPr>
      </w:pPr>
      <w:r w:rsidRPr="00DF067D">
        <w:rPr>
          <w:rFonts w:ascii="Times New Roman" w:eastAsia="Times New Roman" w:hAnsi="Times New Roman" w:cs="Times New Roman"/>
          <w:b/>
          <w:sz w:val="24"/>
        </w:rPr>
        <w:lastRenderedPageBreak/>
        <w:t>Table S2. Liver function changes and subsequent treatment after discontinuation of second-line therapy</w:t>
      </w: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551"/>
        <w:gridCol w:w="2552"/>
        <w:gridCol w:w="1132"/>
      </w:tblGrid>
      <w:tr w:rsidR="00F36B24" w:rsidRPr="00DF067D" w14:paraId="31016AD7" w14:textId="77777777">
        <w:trPr>
          <w:trHeight w:val="675"/>
        </w:trPr>
        <w:tc>
          <w:tcPr>
            <w:tcW w:w="2835" w:type="dxa"/>
            <w:tcBorders>
              <w:top w:val="single" w:sz="4" w:space="0" w:color="auto"/>
              <w:bottom w:val="single" w:sz="4" w:space="0" w:color="auto"/>
            </w:tcBorders>
            <w:vAlign w:val="center"/>
          </w:tcPr>
          <w:p w14:paraId="43699F16" w14:textId="77777777" w:rsidR="00036DA2" w:rsidRPr="00DF067D" w:rsidRDefault="00036DA2">
            <w:pPr>
              <w:jc w:val="center"/>
              <w:rPr>
                <w:rFonts w:ascii="Times New Roman" w:hAnsi="Times New Roman" w:cs="Times New Roman"/>
              </w:rPr>
            </w:pPr>
          </w:p>
        </w:tc>
        <w:tc>
          <w:tcPr>
            <w:tcW w:w="2551" w:type="dxa"/>
            <w:tcBorders>
              <w:top w:val="single" w:sz="4" w:space="0" w:color="auto"/>
              <w:bottom w:val="single" w:sz="4" w:space="0" w:color="auto"/>
            </w:tcBorders>
            <w:vAlign w:val="center"/>
          </w:tcPr>
          <w:p w14:paraId="4608D546" w14:textId="77777777" w:rsidR="00036DA2" w:rsidRPr="00DF067D" w:rsidRDefault="008635C2">
            <w:pPr>
              <w:jc w:val="center"/>
              <w:rPr>
                <w:rFonts w:ascii="Times New Roman" w:eastAsia="Times New Roman" w:hAnsi="Times New Roman" w:cs="Times New Roman"/>
                <w:b/>
                <w:sz w:val="22"/>
              </w:rPr>
            </w:pPr>
            <w:proofErr w:type="spellStart"/>
            <w:r w:rsidRPr="00DF067D">
              <w:rPr>
                <w:rFonts w:ascii="Times New Roman" w:eastAsia="Times New Roman" w:hAnsi="Times New Roman" w:cs="Times New Roman"/>
                <w:b/>
                <w:sz w:val="22"/>
              </w:rPr>
              <w:t>Dur+Tre</w:t>
            </w:r>
            <w:proofErr w:type="spellEnd"/>
            <w:r w:rsidRPr="00DF067D">
              <w:rPr>
                <w:rFonts w:ascii="Times New Roman" w:eastAsia="Times New Roman" w:hAnsi="Times New Roman" w:cs="Times New Roman"/>
                <w:b/>
                <w:sz w:val="22"/>
              </w:rPr>
              <w:t xml:space="preserve"> (n = </w:t>
            </w:r>
            <w:r w:rsidR="005B4C02" w:rsidRPr="00DF067D">
              <w:rPr>
                <w:rFonts w:ascii="Times New Roman" w:hAnsi="Times New Roman" w:cs="Times New Roman"/>
                <w:b/>
                <w:sz w:val="22"/>
              </w:rPr>
              <w:t>16</w:t>
            </w:r>
            <w:r w:rsidRPr="00DF067D">
              <w:rPr>
                <w:rFonts w:ascii="Times New Roman" w:eastAsia="Times New Roman" w:hAnsi="Times New Roman" w:cs="Times New Roman"/>
                <w:b/>
                <w:sz w:val="22"/>
              </w:rPr>
              <w:t>)</w:t>
            </w:r>
          </w:p>
        </w:tc>
        <w:tc>
          <w:tcPr>
            <w:tcW w:w="2552" w:type="dxa"/>
            <w:tcBorders>
              <w:top w:val="single" w:sz="4" w:space="0" w:color="auto"/>
              <w:bottom w:val="single" w:sz="4" w:space="0" w:color="auto"/>
            </w:tcBorders>
            <w:vAlign w:val="center"/>
          </w:tcPr>
          <w:p w14:paraId="5BEAC6CE" w14:textId="77777777" w:rsidR="00036DA2" w:rsidRPr="00DF067D" w:rsidRDefault="008635C2">
            <w:pPr>
              <w:jc w:val="center"/>
              <w:rPr>
                <w:rFonts w:ascii="Times New Roman" w:eastAsia="Times New Roman" w:hAnsi="Times New Roman" w:cs="Times New Roman"/>
                <w:b/>
                <w:sz w:val="22"/>
              </w:rPr>
            </w:pPr>
            <w:r w:rsidRPr="00DF067D">
              <w:rPr>
                <w:rFonts w:ascii="Times New Roman" w:eastAsia="Times New Roman" w:hAnsi="Times New Roman" w:cs="Times New Roman"/>
                <w:b/>
                <w:sz w:val="22"/>
              </w:rPr>
              <w:t xml:space="preserve">Lenvatinib (n = </w:t>
            </w:r>
            <w:r w:rsidR="005B4C02" w:rsidRPr="00DF067D">
              <w:rPr>
                <w:rFonts w:ascii="Times New Roman" w:hAnsi="Times New Roman" w:cs="Times New Roman"/>
                <w:b/>
                <w:sz w:val="22"/>
              </w:rPr>
              <w:t>64</w:t>
            </w:r>
            <w:r w:rsidRPr="00DF067D">
              <w:rPr>
                <w:rFonts w:ascii="Times New Roman" w:eastAsia="Times New Roman" w:hAnsi="Times New Roman" w:cs="Times New Roman"/>
                <w:b/>
                <w:sz w:val="22"/>
              </w:rPr>
              <w:t>)</w:t>
            </w:r>
          </w:p>
        </w:tc>
        <w:tc>
          <w:tcPr>
            <w:tcW w:w="1132" w:type="dxa"/>
            <w:tcBorders>
              <w:top w:val="single" w:sz="4" w:space="0" w:color="auto"/>
              <w:bottom w:val="single" w:sz="4" w:space="0" w:color="auto"/>
            </w:tcBorders>
            <w:vAlign w:val="center"/>
          </w:tcPr>
          <w:p w14:paraId="58D9A7A6" w14:textId="77777777" w:rsidR="00036DA2" w:rsidRPr="00DF067D" w:rsidRDefault="008635C2">
            <w:pPr>
              <w:jc w:val="center"/>
              <w:rPr>
                <w:rFonts w:ascii="Times New Roman" w:eastAsia="Times New Roman" w:hAnsi="Times New Roman" w:cs="Times New Roman"/>
                <w:b/>
                <w:sz w:val="22"/>
              </w:rPr>
            </w:pPr>
            <w:r w:rsidRPr="00DF067D">
              <w:rPr>
                <w:rFonts w:ascii="Times New Roman" w:eastAsia="Times New Roman" w:hAnsi="Times New Roman" w:cs="Times New Roman"/>
                <w:b/>
                <w:sz w:val="22"/>
              </w:rPr>
              <w:t>p-value</w:t>
            </w:r>
          </w:p>
        </w:tc>
      </w:tr>
      <w:tr w:rsidR="00F36B24" w:rsidRPr="00DF067D" w14:paraId="441BB79D" w14:textId="77777777">
        <w:trPr>
          <w:trHeight w:val="506"/>
        </w:trPr>
        <w:tc>
          <w:tcPr>
            <w:tcW w:w="9070" w:type="dxa"/>
            <w:gridSpan w:val="4"/>
            <w:tcBorders>
              <w:top w:val="single" w:sz="4" w:space="0" w:color="auto"/>
              <w:bottom w:val="single" w:sz="4" w:space="0" w:color="auto"/>
            </w:tcBorders>
            <w:shd w:val="clear" w:color="auto" w:fill="F2F2F2"/>
            <w:vAlign w:val="center"/>
          </w:tcPr>
          <w:p w14:paraId="1E6C8449" w14:textId="77777777" w:rsidR="00036DA2" w:rsidRPr="00DF067D" w:rsidRDefault="008635C2">
            <w:pPr>
              <w:jc w:val="left"/>
              <w:rPr>
                <w:rFonts w:ascii="Times New Roman" w:eastAsia="Times New Roman" w:hAnsi="Times New Roman" w:cs="Times New Roman"/>
                <w:b/>
                <w:sz w:val="22"/>
              </w:rPr>
            </w:pPr>
            <w:r w:rsidRPr="00DF067D">
              <w:rPr>
                <w:rFonts w:ascii="Times New Roman" w:eastAsia="Times New Roman" w:hAnsi="Times New Roman" w:cs="Times New Roman"/>
                <w:b/>
                <w:sz w:val="22"/>
              </w:rPr>
              <w:t>Liver function at discontinuation of second-line treatment and changes from baseline</w:t>
            </w:r>
          </w:p>
        </w:tc>
      </w:tr>
      <w:tr w:rsidR="00F36B24" w:rsidRPr="00DF067D" w14:paraId="03B1A47E" w14:textId="77777777">
        <w:trPr>
          <w:trHeight w:val="506"/>
        </w:trPr>
        <w:tc>
          <w:tcPr>
            <w:tcW w:w="2835" w:type="dxa"/>
            <w:tcBorders>
              <w:top w:val="single" w:sz="4" w:space="0" w:color="auto"/>
            </w:tcBorders>
            <w:vAlign w:val="center"/>
          </w:tcPr>
          <w:p w14:paraId="765FECBB"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Child–Pugh score at baseline</w:t>
            </w:r>
          </w:p>
        </w:tc>
        <w:tc>
          <w:tcPr>
            <w:tcW w:w="2551" w:type="dxa"/>
            <w:tcBorders>
              <w:top w:val="single" w:sz="4" w:space="0" w:color="auto"/>
            </w:tcBorders>
            <w:vAlign w:val="center"/>
          </w:tcPr>
          <w:p w14:paraId="5909B4F3" w14:textId="77777777" w:rsidR="00036DA2" w:rsidRPr="00DF067D" w:rsidRDefault="005B4C02">
            <w:pPr>
              <w:jc w:val="center"/>
              <w:rPr>
                <w:rFonts w:ascii="Times New Roman" w:eastAsia="Times New Roman" w:hAnsi="Times New Roman" w:cs="Times New Roman"/>
                <w:sz w:val="22"/>
              </w:rPr>
            </w:pPr>
            <w:r w:rsidRPr="00DF067D">
              <w:rPr>
                <w:rFonts w:ascii="Times New Roman" w:hAnsi="Times New Roman" w:cs="Times New Roman"/>
                <w:sz w:val="22"/>
              </w:rPr>
              <w:t>6.0</w:t>
            </w:r>
            <w:r w:rsidR="008635C2" w:rsidRPr="00DF067D">
              <w:rPr>
                <w:rFonts w:ascii="Times New Roman" w:eastAsia="Times New Roman" w:hAnsi="Times New Roman" w:cs="Times New Roman"/>
                <w:sz w:val="22"/>
              </w:rPr>
              <w:t xml:space="preserve"> [5.0–6.</w:t>
            </w:r>
            <w:r w:rsidRPr="00DF067D">
              <w:rPr>
                <w:rFonts w:ascii="Times New Roman" w:hAnsi="Times New Roman" w:cs="Times New Roman"/>
                <w:sz w:val="22"/>
              </w:rPr>
              <w:t>3</w:t>
            </w:r>
            <w:r w:rsidR="008635C2" w:rsidRPr="00DF067D">
              <w:rPr>
                <w:rFonts w:ascii="Times New Roman" w:eastAsia="Times New Roman" w:hAnsi="Times New Roman" w:cs="Times New Roman"/>
                <w:sz w:val="22"/>
              </w:rPr>
              <w:t>]</w:t>
            </w:r>
          </w:p>
        </w:tc>
        <w:tc>
          <w:tcPr>
            <w:tcW w:w="2552" w:type="dxa"/>
            <w:tcBorders>
              <w:top w:val="single" w:sz="4" w:space="0" w:color="auto"/>
            </w:tcBorders>
            <w:vAlign w:val="center"/>
          </w:tcPr>
          <w:p w14:paraId="646FA139"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6.0 [5.0–</w:t>
            </w:r>
            <w:r w:rsidR="005B4C02" w:rsidRPr="00DF067D">
              <w:rPr>
                <w:rFonts w:ascii="Times New Roman" w:hAnsi="Times New Roman" w:cs="Times New Roman"/>
                <w:sz w:val="22"/>
              </w:rPr>
              <w:t>7</w:t>
            </w:r>
            <w:r w:rsidRPr="00DF067D">
              <w:rPr>
                <w:rFonts w:ascii="Times New Roman" w:eastAsia="Times New Roman" w:hAnsi="Times New Roman" w:cs="Times New Roman"/>
                <w:sz w:val="22"/>
              </w:rPr>
              <w:t>.0]</w:t>
            </w:r>
          </w:p>
        </w:tc>
        <w:tc>
          <w:tcPr>
            <w:tcW w:w="1132" w:type="dxa"/>
            <w:tcBorders>
              <w:top w:val="single" w:sz="4" w:space="0" w:color="auto"/>
            </w:tcBorders>
            <w:vAlign w:val="center"/>
          </w:tcPr>
          <w:p w14:paraId="2988E478" w14:textId="77777777" w:rsidR="00036DA2" w:rsidRPr="00DF067D" w:rsidRDefault="008635C2">
            <w:pPr>
              <w:jc w:val="center"/>
              <w:rPr>
                <w:rFonts w:ascii="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620</w:t>
            </w:r>
          </w:p>
        </w:tc>
      </w:tr>
      <w:tr w:rsidR="00F36B24" w:rsidRPr="00DF067D" w14:paraId="6F5814F0" w14:textId="77777777">
        <w:trPr>
          <w:trHeight w:val="506"/>
        </w:trPr>
        <w:tc>
          <w:tcPr>
            <w:tcW w:w="2835" w:type="dxa"/>
            <w:vAlign w:val="center"/>
          </w:tcPr>
          <w:p w14:paraId="51002188"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Child–Pugh score at discontinuation</w:t>
            </w:r>
          </w:p>
        </w:tc>
        <w:tc>
          <w:tcPr>
            <w:tcW w:w="2551" w:type="dxa"/>
            <w:vAlign w:val="center"/>
          </w:tcPr>
          <w:p w14:paraId="0D133B3F"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7.</w:t>
            </w:r>
            <w:r w:rsidR="005B4C02" w:rsidRPr="00DF067D">
              <w:rPr>
                <w:rFonts w:ascii="Times New Roman" w:hAnsi="Times New Roman" w:cs="Times New Roman"/>
                <w:sz w:val="22"/>
              </w:rPr>
              <w:t>5</w:t>
            </w:r>
            <w:r w:rsidRPr="00DF067D">
              <w:rPr>
                <w:rFonts w:ascii="Times New Roman" w:eastAsia="Times New Roman" w:hAnsi="Times New Roman" w:cs="Times New Roman"/>
                <w:sz w:val="22"/>
              </w:rPr>
              <w:t xml:space="preserve"> [6.5–8.0]</w:t>
            </w:r>
          </w:p>
        </w:tc>
        <w:tc>
          <w:tcPr>
            <w:tcW w:w="2552" w:type="dxa"/>
            <w:vAlign w:val="center"/>
          </w:tcPr>
          <w:p w14:paraId="35D49563"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7.0 [6.0–8.0]</w:t>
            </w:r>
          </w:p>
        </w:tc>
        <w:tc>
          <w:tcPr>
            <w:tcW w:w="1132" w:type="dxa"/>
            <w:vAlign w:val="center"/>
          </w:tcPr>
          <w:p w14:paraId="3773C4F7" w14:textId="77777777" w:rsidR="00036DA2" w:rsidRPr="00DF067D" w:rsidRDefault="008635C2">
            <w:pPr>
              <w:jc w:val="center"/>
              <w:rPr>
                <w:rFonts w:ascii="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705</w:t>
            </w:r>
          </w:p>
        </w:tc>
      </w:tr>
      <w:tr w:rsidR="00F36B24" w:rsidRPr="00DF067D" w14:paraId="5F4D8429" w14:textId="77777777">
        <w:trPr>
          <w:trHeight w:val="506"/>
        </w:trPr>
        <w:tc>
          <w:tcPr>
            <w:tcW w:w="2835" w:type="dxa"/>
            <w:vAlign w:val="center"/>
          </w:tcPr>
          <w:p w14:paraId="212839E5"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Change in Child–Pugh score</w:t>
            </w:r>
          </w:p>
        </w:tc>
        <w:tc>
          <w:tcPr>
            <w:tcW w:w="2551" w:type="dxa"/>
            <w:vAlign w:val="center"/>
          </w:tcPr>
          <w:p w14:paraId="1F41BFAA" w14:textId="77777777" w:rsidR="00036DA2" w:rsidRPr="00DF067D" w:rsidRDefault="005B4C02">
            <w:pPr>
              <w:jc w:val="center"/>
              <w:rPr>
                <w:rFonts w:ascii="Times New Roman" w:eastAsia="Times New Roman" w:hAnsi="Times New Roman" w:cs="Times New Roman"/>
                <w:sz w:val="22"/>
              </w:rPr>
            </w:pPr>
            <w:r w:rsidRPr="00DF067D">
              <w:rPr>
                <w:rFonts w:ascii="Times New Roman" w:hAnsi="Times New Roman" w:cs="Times New Roman"/>
                <w:sz w:val="22"/>
              </w:rPr>
              <w:t>1.0</w:t>
            </w:r>
            <w:r w:rsidR="008635C2" w:rsidRPr="00DF067D">
              <w:rPr>
                <w:rFonts w:ascii="Times New Roman" w:eastAsia="Times New Roman" w:hAnsi="Times New Roman" w:cs="Times New Roman"/>
                <w:sz w:val="22"/>
              </w:rPr>
              <w:t xml:space="preserve"> [0.0–</w:t>
            </w:r>
            <w:r w:rsidRPr="00DF067D">
              <w:rPr>
                <w:rFonts w:ascii="Times New Roman" w:hAnsi="Times New Roman" w:cs="Times New Roman"/>
                <w:sz w:val="22"/>
              </w:rPr>
              <w:t>3.0</w:t>
            </w:r>
            <w:r w:rsidR="008635C2" w:rsidRPr="00DF067D">
              <w:rPr>
                <w:rFonts w:ascii="Times New Roman" w:eastAsia="Times New Roman" w:hAnsi="Times New Roman" w:cs="Times New Roman"/>
                <w:sz w:val="22"/>
              </w:rPr>
              <w:t>]</w:t>
            </w:r>
          </w:p>
        </w:tc>
        <w:tc>
          <w:tcPr>
            <w:tcW w:w="2552" w:type="dxa"/>
            <w:vAlign w:val="center"/>
          </w:tcPr>
          <w:p w14:paraId="38629C73"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1.0 [0.0–2.0]</w:t>
            </w:r>
          </w:p>
        </w:tc>
        <w:tc>
          <w:tcPr>
            <w:tcW w:w="1132" w:type="dxa"/>
            <w:vAlign w:val="center"/>
          </w:tcPr>
          <w:p w14:paraId="3A18AA64" w14:textId="77777777" w:rsidR="00036DA2" w:rsidRPr="00DF067D" w:rsidRDefault="005B4C02">
            <w:pPr>
              <w:jc w:val="center"/>
              <w:rPr>
                <w:rFonts w:ascii="Times New Roman" w:hAnsi="Times New Roman" w:cs="Times New Roman"/>
                <w:sz w:val="22"/>
              </w:rPr>
            </w:pPr>
            <w:r w:rsidRPr="00DF067D">
              <w:rPr>
                <w:rFonts w:ascii="Times New Roman" w:hAnsi="Times New Roman" w:cs="Times New Roman"/>
                <w:sz w:val="22"/>
              </w:rPr>
              <w:t>0.636</w:t>
            </w:r>
          </w:p>
        </w:tc>
      </w:tr>
      <w:tr w:rsidR="00F36B24" w:rsidRPr="00DF067D" w14:paraId="6983A0CB" w14:textId="77777777">
        <w:trPr>
          <w:trHeight w:val="506"/>
        </w:trPr>
        <w:tc>
          <w:tcPr>
            <w:tcW w:w="2835" w:type="dxa"/>
            <w:vAlign w:val="center"/>
          </w:tcPr>
          <w:p w14:paraId="3BD3FDD3"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ALBI score at baseline</w:t>
            </w:r>
          </w:p>
        </w:tc>
        <w:tc>
          <w:tcPr>
            <w:tcW w:w="2551" w:type="dxa"/>
            <w:vAlign w:val="center"/>
          </w:tcPr>
          <w:p w14:paraId="4EBD54D4"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w:t>
            </w:r>
            <w:r w:rsidR="005B4C02" w:rsidRPr="00DF067D">
              <w:rPr>
                <w:rFonts w:ascii="Times New Roman" w:hAnsi="Times New Roman" w:cs="Times New Roman"/>
                <w:sz w:val="22"/>
              </w:rPr>
              <w:t xml:space="preserve">19 </w:t>
            </w:r>
            <w:r w:rsidRPr="00DF067D">
              <w:rPr>
                <w:rFonts w:ascii="Times New Roman" w:eastAsia="Times New Roman" w:hAnsi="Times New Roman" w:cs="Times New Roman"/>
                <w:sz w:val="22"/>
              </w:rPr>
              <w:t>[−2.</w:t>
            </w:r>
            <w:r w:rsidR="005B4C02" w:rsidRPr="00DF067D">
              <w:rPr>
                <w:rFonts w:ascii="Times New Roman" w:hAnsi="Times New Roman" w:cs="Times New Roman"/>
                <w:sz w:val="22"/>
              </w:rPr>
              <w:t>37</w:t>
            </w:r>
            <w:r w:rsidRPr="00DF067D">
              <w:rPr>
                <w:rFonts w:ascii="Times New Roman" w:eastAsia="Times New Roman" w:hAnsi="Times New Roman" w:cs="Times New Roman"/>
                <w:sz w:val="22"/>
              </w:rPr>
              <w:t xml:space="preserve"> to −1.76]</w:t>
            </w:r>
          </w:p>
        </w:tc>
        <w:tc>
          <w:tcPr>
            <w:tcW w:w="2552" w:type="dxa"/>
            <w:vAlign w:val="center"/>
          </w:tcPr>
          <w:p w14:paraId="506C264D"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−2.2</w:t>
            </w:r>
            <w:r w:rsidR="005B4C02" w:rsidRPr="00DF067D">
              <w:rPr>
                <w:rFonts w:ascii="Times New Roman" w:hAnsi="Times New Roman" w:cs="Times New Roman"/>
                <w:sz w:val="22"/>
              </w:rPr>
              <w:t>2</w:t>
            </w:r>
            <w:r w:rsidRPr="00DF067D">
              <w:rPr>
                <w:rFonts w:ascii="Times New Roman" w:eastAsia="Times New Roman" w:hAnsi="Times New Roman" w:cs="Times New Roman"/>
                <w:sz w:val="22"/>
              </w:rPr>
              <w:t xml:space="preserve"> [−2.5</w:t>
            </w:r>
            <w:r w:rsidR="005B4C02" w:rsidRPr="00DF067D">
              <w:rPr>
                <w:rFonts w:ascii="Times New Roman" w:hAnsi="Times New Roman" w:cs="Times New Roman"/>
                <w:sz w:val="22"/>
              </w:rPr>
              <w:t>3</w:t>
            </w:r>
            <w:r w:rsidRPr="00DF067D">
              <w:rPr>
                <w:rFonts w:ascii="Times New Roman" w:eastAsia="Times New Roman" w:hAnsi="Times New Roman" w:cs="Times New Roman"/>
                <w:sz w:val="22"/>
              </w:rPr>
              <w:t xml:space="preserve"> to −1.97]</w:t>
            </w:r>
          </w:p>
        </w:tc>
        <w:tc>
          <w:tcPr>
            <w:tcW w:w="1132" w:type="dxa"/>
            <w:vAlign w:val="center"/>
          </w:tcPr>
          <w:p w14:paraId="60063748" w14:textId="77777777" w:rsidR="00036DA2" w:rsidRPr="00DF067D" w:rsidRDefault="008635C2">
            <w:pPr>
              <w:jc w:val="center"/>
              <w:rPr>
                <w:rFonts w:ascii="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482</w:t>
            </w:r>
          </w:p>
        </w:tc>
      </w:tr>
      <w:tr w:rsidR="00F36B24" w:rsidRPr="00DF067D" w14:paraId="3D281AB9" w14:textId="77777777">
        <w:trPr>
          <w:trHeight w:val="506"/>
        </w:trPr>
        <w:tc>
          <w:tcPr>
            <w:tcW w:w="2835" w:type="dxa"/>
            <w:tcBorders>
              <w:bottom w:val="nil"/>
            </w:tcBorders>
            <w:vAlign w:val="center"/>
          </w:tcPr>
          <w:p w14:paraId="79BC6B34"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ALBI score at discontinuation</w:t>
            </w:r>
          </w:p>
        </w:tc>
        <w:tc>
          <w:tcPr>
            <w:tcW w:w="2551" w:type="dxa"/>
            <w:tcBorders>
              <w:bottom w:val="nil"/>
            </w:tcBorders>
            <w:vAlign w:val="center"/>
          </w:tcPr>
          <w:p w14:paraId="4C699377"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w:t>
            </w:r>
            <w:r w:rsidR="005B4C02" w:rsidRPr="00DF067D">
              <w:rPr>
                <w:rFonts w:ascii="Times New Roman" w:hAnsi="Times New Roman" w:cs="Times New Roman"/>
                <w:sz w:val="22"/>
              </w:rPr>
              <w:t>52</w:t>
            </w:r>
            <w:r w:rsidRPr="00DF067D">
              <w:rPr>
                <w:rFonts w:ascii="Times New Roman" w:eastAsia="Times New Roman" w:hAnsi="Times New Roman" w:cs="Times New Roman"/>
                <w:sz w:val="22"/>
              </w:rPr>
              <w:t xml:space="preserve"> [−2.</w:t>
            </w:r>
            <w:r w:rsidR="005B4C02" w:rsidRPr="00DF067D">
              <w:rPr>
                <w:rFonts w:ascii="Times New Roman" w:hAnsi="Times New Roman" w:cs="Times New Roman"/>
                <w:sz w:val="22"/>
              </w:rPr>
              <w:t>09</w:t>
            </w:r>
            <w:r w:rsidRPr="00DF067D">
              <w:rPr>
                <w:rFonts w:ascii="Times New Roman" w:eastAsia="Times New Roman" w:hAnsi="Times New Roman" w:cs="Times New Roman"/>
                <w:sz w:val="22"/>
              </w:rPr>
              <w:t xml:space="preserve"> to −1.24]</w:t>
            </w:r>
          </w:p>
        </w:tc>
        <w:tc>
          <w:tcPr>
            <w:tcW w:w="2552" w:type="dxa"/>
            <w:tcBorders>
              <w:bottom w:val="nil"/>
            </w:tcBorders>
            <w:vAlign w:val="center"/>
          </w:tcPr>
          <w:p w14:paraId="094B1387"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−1.82 [−2.2</w:t>
            </w:r>
            <w:r w:rsidR="005B4C02" w:rsidRPr="00DF067D">
              <w:rPr>
                <w:rFonts w:ascii="Times New Roman" w:hAnsi="Times New Roman" w:cs="Times New Roman"/>
                <w:sz w:val="22"/>
              </w:rPr>
              <w:t>6</w:t>
            </w:r>
            <w:r w:rsidRPr="00DF067D">
              <w:rPr>
                <w:rFonts w:ascii="Times New Roman" w:eastAsia="Times New Roman" w:hAnsi="Times New Roman" w:cs="Times New Roman"/>
                <w:sz w:val="22"/>
              </w:rPr>
              <w:t xml:space="preserve"> to −1.3</w:t>
            </w:r>
            <w:r w:rsidR="005B4C02" w:rsidRPr="00DF067D">
              <w:rPr>
                <w:rFonts w:ascii="Times New Roman" w:hAnsi="Times New Roman" w:cs="Times New Roman"/>
                <w:sz w:val="22"/>
              </w:rPr>
              <w:t>5</w:t>
            </w:r>
            <w:r w:rsidRPr="00DF067D">
              <w:rPr>
                <w:rFonts w:ascii="Times New Roman" w:eastAsia="Times New Roman" w:hAnsi="Times New Roman" w:cs="Times New Roman"/>
                <w:sz w:val="22"/>
              </w:rPr>
              <w:t>]</w:t>
            </w:r>
          </w:p>
        </w:tc>
        <w:tc>
          <w:tcPr>
            <w:tcW w:w="1132" w:type="dxa"/>
            <w:tcBorders>
              <w:bottom w:val="nil"/>
            </w:tcBorders>
            <w:vAlign w:val="center"/>
          </w:tcPr>
          <w:p w14:paraId="2038C69C" w14:textId="77777777" w:rsidR="00036DA2" w:rsidRPr="00DF067D" w:rsidRDefault="008635C2">
            <w:pPr>
              <w:jc w:val="center"/>
              <w:rPr>
                <w:rFonts w:ascii="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434</w:t>
            </w:r>
          </w:p>
        </w:tc>
      </w:tr>
      <w:tr w:rsidR="00F36B24" w:rsidRPr="00DF067D" w14:paraId="3BD3937F" w14:textId="77777777">
        <w:trPr>
          <w:trHeight w:val="506"/>
        </w:trPr>
        <w:tc>
          <w:tcPr>
            <w:tcW w:w="2835" w:type="dxa"/>
            <w:tcBorders>
              <w:top w:val="nil"/>
              <w:bottom w:val="single" w:sz="4" w:space="0" w:color="auto"/>
            </w:tcBorders>
            <w:vAlign w:val="center"/>
          </w:tcPr>
          <w:p w14:paraId="4696130F"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Change in ALBI score</w:t>
            </w:r>
          </w:p>
        </w:tc>
        <w:tc>
          <w:tcPr>
            <w:tcW w:w="2551" w:type="dxa"/>
            <w:tcBorders>
              <w:top w:val="nil"/>
              <w:bottom w:val="single" w:sz="4" w:space="0" w:color="auto"/>
            </w:tcBorders>
            <w:vAlign w:val="center"/>
          </w:tcPr>
          <w:p w14:paraId="0665F6DA"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49</w:t>
            </w:r>
            <w:r w:rsidRPr="00DF067D">
              <w:rPr>
                <w:rFonts w:ascii="Times New Roman" w:eastAsia="Times New Roman" w:hAnsi="Times New Roman" w:cs="Times New Roman"/>
                <w:sz w:val="22"/>
              </w:rPr>
              <w:t xml:space="preserve"> [−0.</w:t>
            </w:r>
            <w:r w:rsidR="005B4C02" w:rsidRPr="00DF067D">
              <w:rPr>
                <w:rFonts w:ascii="Times New Roman" w:hAnsi="Times New Roman" w:cs="Times New Roman"/>
                <w:sz w:val="22"/>
              </w:rPr>
              <w:t>05</w:t>
            </w:r>
            <w:r w:rsidRPr="00DF067D">
              <w:rPr>
                <w:rFonts w:ascii="Times New Roman" w:eastAsia="Times New Roman" w:hAnsi="Times New Roman" w:cs="Times New Roman"/>
                <w:sz w:val="22"/>
              </w:rPr>
              <w:t xml:space="preserve"> to 0.</w:t>
            </w:r>
            <w:r w:rsidR="005B4C02" w:rsidRPr="00DF067D">
              <w:rPr>
                <w:rFonts w:ascii="Times New Roman" w:hAnsi="Times New Roman" w:cs="Times New Roman"/>
                <w:sz w:val="22"/>
              </w:rPr>
              <w:t>80</w:t>
            </w:r>
            <w:r w:rsidRPr="00DF067D">
              <w:rPr>
                <w:rFonts w:ascii="Times New Roman" w:eastAsia="Times New Roman" w:hAnsi="Times New Roman" w:cs="Times New Roman"/>
                <w:sz w:val="22"/>
              </w:rPr>
              <w:t>]</w:t>
            </w:r>
          </w:p>
        </w:tc>
        <w:tc>
          <w:tcPr>
            <w:tcW w:w="2552" w:type="dxa"/>
            <w:tcBorders>
              <w:top w:val="nil"/>
              <w:bottom w:val="single" w:sz="4" w:space="0" w:color="auto"/>
            </w:tcBorders>
            <w:vAlign w:val="center"/>
          </w:tcPr>
          <w:p w14:paraId="10BBB8DA"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38</w:t>
            </w:r>
            <w:r w:rsidRPr="00DF067D">
              <w:rPr>
                <w:rFonts w:ascii="Times New Roman" w:eastAsia="Times New Roman" w:hAnsi="Times New Roman" w:cs="Times New Roman"/>
                <w:sz w:val="22"/>
              </w:rPr>
              <w:t xml:space="preserve"> [0.13–0.63]</w:t>
            </w:r>
          </w:p>
        </w:tc>
        <w:tc>
          <w:tcPr>
            <w:tcW w:w="1132" w:type="dxa"/>
            <w:tcBorders>
              <w:top w:val="nil"/>
              <w:bottom w:val="single" w:sz="4" w:space="0" w:color="auto"/>
            </w:tcBorders>
            <w:vAlign w:val="center"/>
          </w:tcPr>
          <w:p w14:paraId="0CAF4AC1" w14:textId="77777777" w:rsidR="00036DA2" w:rsidRPr="00DF067D" w:rsidRDefault="008635C2">
            <w:pPr>
              <w:jc w:val="center"/>
              <w:rPr>
                <w:rFonts w:ascii="Times New Roman" w:hAnsi="Times New Roman" w:cs="Times New Roman"/>
                <w:sz w:val="22"/>
              </w:rPr>
            </w:pPr>
            <w:r w:rsidRPr="00DF067D">
              <w:rPr>
                <w:rFonts w:ascii="Times New Roman" w:eastAsia="Times New Roman" w:hAnsi="Times New Roman" w:cs="Times New Roman"/>
                <w:sz w:val="22"/>
              </w:rPr>
              <w:t>0.</w:t>
            </w:r>
            <w:r w:rsidR="005B4C02" w:rsidRPr="00DF067D">
              <w:rPr>
                <w:rFonts w:ascii="Times New Roman" w:hAnsi="Times New Roman" w:cs="Times New Roman"/>
                <w:sz w:val="22"/>
              </w:rPr>
              <w:t>947</w:t>
            </w:r>
          </w:p>
        </w:tc>
      </w:tr>
      <w:tr w:rsidR="00F36B24" w:rsidRPr="00DF067D" w14:paraId="0BF7A34E" w14:textId="77777777">
        <w:trPr>
          <w:trHeight w:val="506"/>
        </w:trPr>
        <w:tc>
          <w:tcPr>
            <w:tcW w:w="9070" w:type="dxa"/>
            <w:gridSpan w:val="4"/>
            <w:tcBorders>
              <w:top w:val="single" w:sz="4" w:space="0" w:color="auto"/>
              <w:bottom w:val="single" w:sz="4" w:space="0" w:color="auto"/>
            </w:tcBorders>
            <w:shd w:val="clear" w:color="auto" w:fill="F2F2F2"/>
            <w:vAlign w:val="center"/>
          </w:tcPr>
          <w:p w14:paraId="3ECE509E" w14:textId="77777777" w:rsidR="00036DA2" w:rsidRPr="00DF067D" w:rsidRDefault="008635C2">
            <w:pPr>
              <w:jc w:val="left"/>
              <w:rPr>
                <w:rFonts w:ascii="Times New Roman" w:eastAsia="Times New Roman" w:hAnsi="Times New Roman" w:cs="Times New Roman"/>
                <w:b/>
                <w:sz w:val="22"/>
              </w:rPr>
            </w:pPr>
            <w:r w:rsidRPr="00DF067D">
              <w:rPr>
                <w:rFonts w:ascii="Times New Roman" w:eastAsia="Times New Roman" w:hAnsi="Times New Roman" w:cs="Times New Roman"/>
                <w:b/>
                <w:sz w:val="22"/>
              </w:rPr>
              <w:t>Subsequent treatment after discontinuation of second-line treatment</w:t>
            </w:r>
          </w:p>
        </w:tc>
      </w:tr>
      <w:tr w:rsidR="00F36B24" w:rsidRPr="00DF067D" w14:paraId="1569D86B" w14:textId="77777777">
        <w:trPr>
          <w:trHeight w:val="506"/>
        </w:trPr>
        <w:tc>
          <w:tcPr>
            <w:tcW w:w="2835" w:type="dxa"/>
            <w:tcBorders>
              <w:top w:val="single" w:sz="4" w:space="0" w:color="auto"/>
            </w:tcBorders>
            <w:vAlign w:val="center"/>
          </w:tcPr>
          <w:p w14:paraId="36409C03"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Any subsequent treatment</w:t>
            </w:r>
          </w:p>
        </w:tc>
        <w:tc>
          <w:tcPr>
            <w:tcW w:w="2551" w:type="dxa"/>
            <w:tcBorders>
              <w:top w:val="single" w:sz="4" w:space="0" w:color="auto"/>
            </w:tcBorders>
            <w:vAlign w:val="center"/>
          </w:tcPr>
          <w:p w14:paraId="67ADED2A" w14:textId="77777777" w:rsidR="00036DA2" w:rsidRPr="00DF067D" w:rsidRDefault="005B4C02">
            <w:pPr>
              <w:jc w:val="center"/>
              <w:rPr>
                <w:rFonts w:ascii="Times New Roman" w:eastAsia="Times New Roman" w:hAnsi="Times New Roman" w:cs="Times New Roman"/>
                <w:sz w:val="22"/>
              </w:rPr>
            </w:pPr>
            <w:r w:rsidRPr="00DF067D">
              <w:rPr>
                <w:rFonts w:ascii="Times New Roman" w:hAnsi="Times New Roman" w:cs="Times New Roman"/>
                <w:sz w:val="22"/>
              </w:rPr>
              <w:t>8</w:t>
            </w:r>
            <w:r w:rsidR="008635C2" w:rsidRPr="00DF067D">
              <w:rPr>
                <w:rFonts w:ascii="Times New Roman" w:eastAsia="Times New Roman" w:hAnsi="Times New Roman" w:cs="Times New Roman"/>
                <w:sz w:val="22"/>
              </w:rPr>
              <w:t xml:space="preserve"> (</w:t>
            </w:r>
            <w:r w:rsidRPr="00DF067D">
              <w:rPr>
                <w:rFonts w:ascii="Times New Roman" w:hAnsi="Times New Roman" w:cs="Times New Roman"/>
                <w:sz w:val="22"/>
              </w:rPr>
              <w:t>5</w:t>
            </w:r>
            <w:r w:rsidR="00DF067D">
              <w:rPr>
                <w:rFonts w:ascii="Times New Roman" w:hAnsi="Times New Roman" w:cs="Times New Roman" w:hint="eastAsia"/>
                <w:sz w:val="22"/>
              </w:rPr>
              <w:t>0.0</w:t>
            </w:r>
            <w:r w:rsidR="008635C2" w:rsidRPr="00DF067D">
              <w:rPr>
                <w:rFonts w:ascii="Times New Roman" w:eastAsia="Times New Roman" w:hAnsi="Times New Roman" w:cs="Times New Roman"/>
                <w:sz w:val="22"/>
              </w:rPr>
              <w:t>%)</w:t>
            </w:r>
          </w:p>
        </w:tc>
        <w:tc>
          <w:tcPr>
            <w:tcW w:w="2552" w:type="dxa"/>
            <w:tcBorders>
              <w:top w:val="single" w:sz="4" w:space="0" w:color="auto"/>
            </w:tcBorders>
            <w:vAlign w:val="center"/>
          </w:tcPr>
          <w:p w14:paraId="16704871" w14:textId="77777777" w:rsidR="00036DA2" w:rsidRPr="00DF067D" w:rsidRDefault="005B4C02">
            <w:pPr>
              <w:jc w:val="center"/>
              <w:rPr>
                <w:rFonts w:ascii="Times New Roman" w:eastAsia="Times New Roman" w:hAnsi="Times New Roman" w:cs="Times New Roman"/>
                <w:sz w:val="22"/>
              </w:rPr>
            </w:pPr>
            <w:r w:rsidRPr="00DF067D">
              <w:rPr>
                <w:rFonts w:ascii="Times New Roman" w:hAnsi="Times New Roman" w:cs="Times New Roman"/>
                <w:sz w:val="22"/>
              </w:rPr>
              <w:t>35</w:t>
            </w:r>
            <w:r w:rsidR="008635C2" w:rsidRPr="00DF067D">
              <w:rPr>
                <w:rFonts w:ascii="Times New Roman" w:eastAsia="Times New Roman" w:hAnsi="Times New Roman" w:cs="Times New Roman"/>
                <w:sz w:val="22"/>
              </w:rPr>
              <w:t xml:space="preserve"> (5</w:t>
            </w:r>
            <w:r w:rsidR="00DF067D">
              <w:rPr>
                <w:rFonts w:ascii="Times New Roman" w:hAnsi="Times New Roman" w:cs="Times New Roman" w:hint="eastAsia"/>
                <w:sz w:val="22"/>
              </w:rPr>
              <w:t>4.7</w:t>
            </w:r>
            <w:r w:rsidR="008635C2" w:rsidRPr="00DF067D">
              <w:rPr>
                <w:rFonts w:ascii="Times New Roman" w:eastAsia="Times New Roman" w:hAnsi="Times New Roman" w:cs="Times New Roman"/>
                <w:sz w:val="22"/>
              </w:rPr>
              <w:t>%)</w:t>
            </w:r>
          </w:p>
        </w:tc>
        <w:tc>
          <w:tcPr>
            <w:tcW w:w="1132" w:type="dxa"/>
            <w:tcBorders>
              <w:top w:val="single" w:sz="4" w:space="0" w:color="auto"/>
            </w:tcBorders>
            <w:vAlign w:val="center"/>
          </w:tcPr>
          <w:p w14:paraId="6C97C4E8" w14:textId="77777777" w:rsidR="00036DA2" w:rsidRPr="00DF067D" w:rsidRDefault="005B4C02">
            <w:pPr>
              <w:jc w:val="center"/>
              <w:rPr>
                <w:rFonts w:ascii="Times New Roman" w:hAnsi="Times New Roman" w:cs="Times New Roman"/>
                <w:sz w:val="22"/>
              </w:rPr>
            </w:pPr>
            <w:r w:rsidRPr="00DF067D">
              <w:rPr>
                <w:rFonts w:ascii="Times New Roman" w:hAnsi="Times New Roman" w:cs="Times New Roman"/>
                <w:sz w:val="22"/>
              </w:rPr>
              <w:t>1.000</w:t>
            </w:r>
          </w:p>
        </w:tc>
      </w:tr>
      <w:tr w:rsidR="00F36B24" w:rsidRPr="00DF067D" w14:paraId="5EE30B36" w14:textId="77777777">
        <w:trPr>
          <w:trHeight w:val="506"/>
        </w:trPr>
        <w:tc>
          <w:tcPr>
            <w:tcW w:w="2835" w:type="dxa"/>
            <w:vAlign w:val="center"/>
          </w:tcPr>
          <w:p w14:paraId="18A03626" w14:textId="77777777" w:rsidR="00036DA2" w:rsidRPr="00DF067D" w:rsidRDefault="008635C2">
            <w:pPr>
              <w:jc w:val="left"/>
              <w:rPr>
                <w:rFonts w:ascii="Times New Roman" w:eastAsia="Times New Roman" w:hAnsi="Times New Roman" w:cs="Times New Roman"/>
                <w:sz w:val="22"/>
              </w:rPr>
            </w:pPr>
            <w:r w:rsidRPr="00DF067D">
              <w:rPr>
                <w:rFonts w:ascii="Times New Roman" w:eastAsia="Times New Roman" w:hAnsi="Times New Roman" w:cs="Times New Roman"/>
                <w:sz w:val="22"/>
              </w:rPr>
              <w:t>Subsequent systemic therapy</w:t>
            </w:r>
          </w:p>
        </w:tc>
        <w:tc>
          <w:tcPr>
            <w:tcW w:w="2551" w:type="dxa"/>
            <w:vAlign w:val="center"/>
          </w:tcPr>
          <w:p w14:paraId="554A08E6" w14:textId="77777777" w:rsidR="00036DA2" w:rsidRPr="00DF067D" w:rsidRDefault="005B4C02">
            <w:pPr>
              <w:jc w:val="center"/>
              <w:rPr>
                <w:rFonts w:ascii="Times New Roman" w:eastAsia="Times New Roman" w:hAnsi="Times New Roman" w:cs="Times New Roman"/>
                <w:sz w:val="22"/>
              </w:rPr>
            </w:pPr>
            <w:r w:rsidRPr="00DF067D">
              <w:rPr>
                <w:rFonts w:ascii="Times New Roman" w:hAnsi="Times New Roman" w:cs="Times New Roman"/>
                <w:sz w:val="22"/>
              </w:rPr>
              <w:t>6</w:t>
            </w:r>
            <w:r w:rsidR="008635C2" w:rsidRPr="00DF067D">
              <w:rPr>
                <w:rFonts w:ascii="Times New Roman" w:eastAsia="Times New Roman" w:hAnsi="Times New Roman" w:cs="Times New Roman"/>
                <w:sz w:val="22"/>
              </w:rPr>
              <w:t xml:space="preserve"> (</w:t>
            </w:r>
            <w:r w:rsidRPr="00DF067D">
              <w:rPr>
                <w:rFonts w:ascii="Times New Roman" w:hAnsi="Times New Roman" w:cs="Times New Roman"/>
                <w:sz w:val="22"/>
              </w:rPr>
              <w:t>37.5</w:t>
            </w:r>
            <w:r w:rsidR="008635C2" w:rsidRPr="00DF067D">
              <w:rPr>
                <w:rFonts w:ascii="Times New Roman" w:eastAsia="Times New Roman" w:hAnsi="Times New Roman" w:cs="Times New Roman"/>
                <w:sz w:val="22"/>
              </w:rPr>
              <w:t>%)</w:t>
            </w:r>
          </w:p>
        </w:tc>
        <w:tc>
          <w:tcPr>
            <w:tcW w:w="2552" w:type="dxa"/>
            <w:vAlign w:val="center"/>
          </w:tcPr>
          <w:p w14:paraId="14444922" w14:textId="77777777" w:rsidR="00036DA2" w:rsidRPr="00DF067D" w:rsidRDefault="008635C2">
            <w:pPr>
              <w:jc w:val="center"/>
              <w:rPr>
                <w:rFonts w:ascii="Times New Roman" w:eastAsia="Times New Roman" w:hAnsi="Times New Roman" w:cs="Times New Roman"/>
                <w:sz w:val="22"/>
              </w:rPr>
            </w:pPr>
            <w:r w:rsidRPr="00DF067D">
              <w:rPr>
                <w:rFonts w:ascii="Times New Roman" w:eastAsia="Times New Roman" w:hAnsi="Times New Roman" w:cs="Times New Roman"/>
                <w:sz w:val="22"/>
              </w:rPr>
              <w:t>2</w:t>
            </w:r>
            <w:r w:rsidR="005B4C02" w:rsidRPr="00DF067D">
              <w:rPr>
                <w:rFonts w:ascii="Times New Roman" w:hAnsi="Times New Roman" w:cs="Times New Roman"/>
                <w:sz w:val="22"/>
              </w:rPr>
              <w:t>8</w:t>
            </w:r>
            <w:r w:rsidRPr="00DF067D">
              <w:rPr>
                <w:rFonts w:ascii="Times New Roman" w:eastAsia="Times New Roman" w:hAnsi="Times New Roman" w:cs="Times New Roman"/>
                <w:sz w:val="22"/>
              </w:rPr>
              <w:t xml:space="preserve"> (</w:t>
            </w:r>
            <w:r w:rsidR="005B4C02" w:rsidRPr="00DF067D">
              <w:rPr>
                <w:rFonts w:ascii="Times New Roman" w:hAnsi="Times New Roman" w:cs="Times New Roman"/>
                <w:sz w:val="22"/>
              </w:rPr>
              <w:t>4</w:t>
            </w:r>
            <w:r w:rsidR="00DF067D">
              <w:rPr>
                <w:rFonts w:ascii="Times New Roman" w:hAnsi="Times New Roman" w:cs="Times New Roman" w:hint="eastAsia"/>
                <w:sz w:val="22"/>
              </w:rPr>
              <w:t>3.8</w:t>
            </w:r>
            <w:r w:rsidRPr="00DF067D">
              <w:rPr>
                <w:rFonts w:ascii="Times New Roman" w:eastAsia="Times New Roman" w:hAnsi="Times New Roman" w:cs="Times New Roman"/>
                <w:sz w:val="22"/>
              </w:rPr>
              <w:t>%)</w:t>
            </w:r>
          </w:p>
        </w:tc>
        <w:tc>
          <w:tcPr>
            <w:tcW w:w="1132" w:type="dxa"/>
            <w:vAlign w:val="center"/>
          </w:tcPr>
          <w:p w14:paraId="1AB64E35" w14:textId="77777777" w:rsidR="00036DA2" w:rsidRPr="00DF067D" w:rsidRDefault="005B4C02">
            <w:pPr>
              <w:jc w:val="center"/>
              <w:rPr>
                <w:rFonts w:ascii="Times New Roman" w:hAnsi="Times New Roman" w:cs="Times New Roman"/>
                <w:sz w:val="22"/>
              </w:rPr>
            </w:pPr>
            <w:r w:rsidRPr="00DF067D">
              <w:rPr>
                <w:rFonts w:ascii="Times New Roman" w:hAnsi="Times New Roman" w:cs="Times New Roman"/>
                <w:sz w:val="22"/>
              </w:rPr>
              <w:t>0.784</w:t>
            </w:r>
          </w:p>
        </w:tc>
      </w:tr>
    </w:tbl>
    <w:p w14:paraId="47320D27" w14:textId="77777777" w:rsidR="00036DA2" w:rsidRPr="00DF067D" w:rsidRDefault="008635C2" w:rsidP="003542BB">
      <w:pPr>
        <w:spacing w:beforeLines="50" w:before="180"/>
        <w:rPr>
          <w:rFonts w:ascii="Times New Roman" w:eastAsia="Times New Roman" w:hAnsi="Times New Roman" w:cs="Times New Roman"/>
          <w:sz w:val="22"/>
        </w:rPr>
      </w:pPr>
      <w:r w:rsidRPr="00DF067D">
        <w:rPr>
          <w:rFonts w:ascii="Times New Roman" w:eastAsia="Times New Roman" w:hAnsi="Times New Roman" w:cs="Times New Roman"/>
          <w:sz w:val="22"/>
        </w:rPr>
        <w:t xml:space="preserve">Values are presented as median </w:t>
      </w:r>
      <w:r w:rsidR="00F81E61" w:rsidRPr="00DF067D">
        <w:rPr>
          <w:rFonts w:ascii="Times New Roman" w:hAnsi="Times New Roman" w:cs="Times New Roman"/>
          <w:sz w:val="22"/>
        </w:rPr>
        <w:t>[</w:t>
      </w:r>
      <w:r w:rsidRPr="00DF067D">
        <w:rPr>
          <w:rFonts w:ascii="Times New Roman" w:eastAsia="Times New Roman" w:hAnsi="Times New Roman" w:cs="Times New Roman"/>
          <w:sz w:val="22"/>
        </w:rPr>
        <w:t>interquartile range</w:t>
      </w:r>
      <w:r w:rsidR="00F81E61" w:rsidRPr="00DF067D">
        <w:rPr>
          <w:rFonts w:ascii="Times New Roman" w:hAnsi="Times New Roman" w:cs="Times New Roman"/>
          <w:sz w:val="22"/>
        </w:rPr>
        <w:t>]</w:t>
      </w:r>
      <w:r w:rsidRPr="00DF067D">
        <w:rPr>
          <w:rFonts w:ascii="Times New Roman" w:eastAsia="Times New Roman" w:hAnsi="Times New Roman" w:cs="Times New Roman"/>
          <w:sz w:val="22"/>
        </w:rPr>
        <w:t xml:space="preserve"> </w:t>
      </w:r>
      <w:r w:rsidR="00F81E61" w:rsidRPr="00DF067D">
        <w:rPr>
          <w:rFonts w:ascii="Times New Roman" w:hAnsi="Times New Roman" w:cs="Times New Roman"/>
          <w:sz w:val="22"/>
        </w:rPr>
        <w:t>or number (percentage)</w:t>
      </w:r>
      <w:r w:rsidRPr="00DF067D">
        <w:rPr>
          <w:rFonts w:ascii="Times New Roman" w:eastAsia="Times New Roman" w:hAnsi="Times New Roman" w:cs="Times New Roman"/>
          <w:sz w:val="22"/>
        </w:rPr>
        <w:t xml:space="preserve">. Changes were calculated as the value at treatment discontinuation minus the baseline value; positive values indicate worsening liver function. Analyses were performed using available cases without imputation. </w:t>
      </w:r>
      <w:proofErr w:type="spellStart"/>
      <w:r w:rsidRPr="00DF067D">
        <w:rPr>
          <w:rFonts w:ascii="Times New Roman" w:eastAsia="Times New Roman" w:hAnsi="Times New Roman" w:cs="Times New Roman"/>
          <w:sz w:val="22"/>
        </w:rPr>
        <w:t>Dur+Tre</w:t>
      </w:r>
      <w:proofErr w:type="spellEnd"/>
      <w:r w:rsidRPr="00DF067D">
        <w:rPr>
          <w:rFonts w:ascii="Times New Roman" w:eastAsia="Times New Roman" w:hAnsi="Times New Roman" w:cs="Times New Roman"/>
          <w:sz w:val="22"/>
        </w:rPr>
        <w:t xml:space="preserve">, durvalumab plus </w:t>
      </w:r>
      <w:proofErr w:type="spellStart"/>
      <w:r w:rsidRPr="00DF067D">
        <w:rPr>
          <w:rFonts w:ascii="Times New Roman" w:eastAsia="Times New Roman" w:hAnsi="Times New Roman" w:cs="Times New Roman"/>
          <w:sz w:val="22"/>
        </w:rPr>
        <w:t>tremelimumab</w:t>
      </w:r>
      <w:proofErr w:type="spellEnd"/>
      <w:r w:rsidRPr="00DF067D">
        <w:rPr>
          <w:rFonts w:ascii="Times New Roman" w:eastAsia="Times New Roman" w:hAnsi="Times New Roman" w:cs="Times New Roman"/>
          <w:sz w:val="22"/>
        </w:rPr>
        <w:t>; ALBI, albumin–bilirubin.</w:t>
      </w:r>
    </w:p>
    <w:p w14:paraId="68BA5B23" w14:textId="77777777" w:rsidR="003542BB" w:rsidRDefault="003542BB">
      <w:pPr>
        <w:widowControl/>
        <w:jc w:val="left"/>
        <w:rPr>
          <w:rFonts w:ascii="Times New Roman" w:hAnsi="Times New Roman"/>
          <w:b/>
          <w:sz w:val="24"/>
        </w:rPr>
      </w:pPr>
      <w:r>
        <w:rPr>
          <w:rFonts w:ascii="Times New Roman" w:hAnsi="Times New Roman"/>
          <w:b/>
          <w:sz w:val="24"/>
        </w:rPr>
        <w:br w:type="page"/>
      </w:r>
    </w:p>
    <w:p w14:paraId="463425DC" w14:textId="0EB5852B" w:rsidR="005C5E0E" w:rsidRDefault="00000000" w:rsidP="003542BB">
      <w:pPr>
        <w:spacing w:before="120"/>
        <w:jc w:val="left"/>
      </w:pPr>
      <w:r w:rsidRPr="003542BB">
        <w:rPr>
          <w:rFonts w:ascii="Times New Roman" w:hAnsi="Times New Roman"/>
          <w:b/>
          <w:sz w:val="28"/>
          <w:szCs w:val="24"/>
        </w:rPr>
        <w:lastRenderedPageBreak/>
        <w:t xml:space="preserve">Supplementary </w:t>
      </w:r>
      <w:r w:rsidR="003542BB" w:rsidRPr="003542BB">
        <w:rPr>
          <w:rFonts w:ascii="Times New Roman" w:hAnsi="Times New Roman" w:hint="eastAsia"/>
          <w:b/>
          <w:sz w:val="28"/>
          <w:szCs w:val="24"/>
        </w:rPr>
        <w:t>F</w:t>
      </w:r>
      <w:r w:rsidRPr="003542BB">
        <w:rPr>
          <w:rFonts w:ascii="Times New Roman" w:hAnsi="Times New Roman"/>
          <w:b/>
          <w:sz w:val="28"/>
          <w:szCs w:val="24"/>
        </w:rPr>
        <w:t>igures</w:t>
      </w:r>
      <w:r>
        <w:rPr>
          <w:noProof/>
        </w:rPr>
        <w:drawing>
          <wp:inline distT="0" distB="0" distL="0" distR="0" wp14:anchorId="77E6FFC1" wp14:editId="73EE8D11">
            <wp:extent cx="4434840" cy="6405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6).png"/>
                    <pic:cNvPicPr/>
                  </pic:nvPicPr>
                  <pic:blipFill>
                    <a:blip r:embed="rId7"/>
                    <a:stretch>
                      <a:fillRect/>
                    </a:stretch>
                  </pic:blipFill>
                  <pic:spPr>
                    <a:xfrm>
                      <a:off x="0" y="0"/>
                      <a:ext cx="4434840" cy="6405880"/>
                    </a:xfrm>
                    <a:prstGeom prst="rect">
                      <a:avLst/>
                    </a:prstGeom>
                  </pic:spPr>
                </pic:pic>
              </a:graphicData>
            </a:graphic>
          </wp:inline>
        </w:drawing>
      </w:r>
    </w:p>
    <w:p w14:paraId="3DA3B090" w14:textId="77777777" w:rsidR="003542BB" w:rsidRDefault="00000000">
      <w:pPr>
        <w:spacing w:after="20"/>
        <w:rPr>
          <w:rFonts w:ascii="Times New Roman" w:hAnsi="Times New Roman"/>
          <w:sz w:val="20"/>
          <w:szCs w:val="28"/>
        </w:rPr>
      </w:pPr>
      <w:r w:rsidRPr="003542BB">
        <w:rPr>
          <w:rFonts w:ascii="Times New Roman" w:hAnsi="Times New Roman"/>
          <w:b/>
          <w:bCs/>
          <w:sz w:val="20"/>
          <w:szCs w:val="28"/>
        </w:rPr>
        <w:t>Figure S1. Sensitivity analysis in patients initiating second-line therapy in 2023 or later.</w:t>
      </w:r>
    </w:p>
    <w:p w14:paraId="599D538B" w14:textId="37F142FD" w:rsidR="005C5E0E" w:rsidRPr="003542BB" w:rsidRDefault="00000000">
      <w:pPr>
        <w:spacing w:after="20"/>
        <w:rPr>
          <w:sz w:val="24"/>
          <w:szCs w:val="28"/>
        </w:rPr>
      </w:pPr>
      <w:r w:rsidRPr="003542BB">
        <w:rPr>
          <w:rFonts w:ascii="Times New Roman" w:hAnsi="Times New Roman"/>
          <w:sz w:val="20"/>
          <w:szCs w:val="28"/>
        </w:rPr>
        <w:t xml:space="preserve">Kaplan–Meier curves compare durvalumab plus </w:t>
      </w:r>
      <w:proofErr w:type="spellStart"/>
      <w:r w:rsidRPr="003542BB">
        <w:rPr>
          <w:rFonts w:ascii="Times New Roman" w:hAnsi="Times New Roman"/>
          <w:sz w:val="20"/>
          <w:szCs w:val="28"/>
        </w:rPr>
        <w:t>tremelimumab</w:t>
      </w:r>
      <w:proofErr w:type="spellEnd"/>
      <w:r w:rsidRPr="003542BB">
        <w:rPr>
          <w:rFonts w:ascii="Times New Roman" w:hAnsi="Times New Roman"/>
          <w:sz w:val="20"/>
          <w:szCs w:val="28"/>
        </w:rPr>
        <w:t xml:space="preserve">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and </w:t>
      </w:r>
      <w:proofErr w:type="spellStart"/>
      <w:r w:rsidRPr="003542BB">
        <w:rPr>
          <w:rFonts w:ascii="Times New Roman" w:hAnsi="Times New Roman"/>
          <w:sz w:val="20"/>
          <w:szCs w:val="28"/>
        </w:rPr>
        <w:t>lenvatinib</w:t>
      </w:r>
      <w:proofErr w:type="spellEnd"/>
      <w:r w:rsidRPr="003542BB">
        <w:rPr>
          <w:rFonts w:ascii="Times New Roman" w:hAnsi="Times New Roman"/>
          <w:sz w:val="20"/>
          <w:szCs w:val="28"/>
        </w:rPr>
        <w:t xml:space="preserve"> (LEN). (A) Overall survival (OS). The median OS was 16.1 months with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and 10.4 months with </w:t>
      </w:r>
      <w:proofErr w:type="spellStart"/>
      <w:r w:rsidRPr="003542BB">
        <w:rPr>
          <w:rFonts w:ascii="Times New Roman" w:hAnsi="Times New Roman"/>
          <w:sz w:val="20"/>
          <w:szCs w:val="28"/>
        </w:rPr>
        <w:t>lenvatinib</w:t>
      </w:r>
      <w:proofErr w:type="spellEnd"/>
      <w:r w:rsidRPr="003542BB">
        <w:rPr>
          <w:rFonts w:ascii="Times New Roman" w:hAnsi="Times New Roman"/>
          <w:sz w:val="20"/>
          <w:szCs w:val="28"/>
        </w:rPr>
        <w:t xml:space="preserve"> (hazard ratio [HR], 0.47; 95% confidence interval [CI], 0.19–1.14; p = 0.096). (B) Progression-free survival (PFS). The median PFS was 2.8 months with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and 3.7 months with </w:t>
      </w:r>
      <w:proofErr w:type="spellStart"/>
      <w:r w:rsidRPr="003542BB">
        <w:rPr>
          <w:rFonts w:ascii="Times New Roman" w:hAnsi="Times New Roman"/>
          <w:sz w:val="20"/>
          <w:szCs w:val="28"/>
        </w:rPr>
        <w:t>lenvatinib</w:t>
      </w:r>
      <w:proofErr w:type="spellEnd"/>
      <w:r w:rsidRPr="003542BB">
        <w:rPr>
          <w:rFonts w:ascii="Times New Roman" w:hAnsi="Times New Roman"/>
          <w:sz w:val="20"/>
          <w:szCs w:val="28"/>
        </w:rPr>
        <w:t xml:space="preserve"> (HR, 1.30; 95% CI, 0.61–2.76; p = 0.495).</w:t>
      </w:r>
    </w:p>
    <w:p w14:paraId="58D10227" w14:textId="77777777" w:rsidR="003542BB" w:rsidRDefault="003542BB">
      <w:pPr>
        <w:widowControl/>
        <w:jc w:val="left"/>
      </w:pPr>
      <w:r>
        <w:br w:type="page"/>
      </w:r>
    </w:p>
    <w:p w14:paraId="55FAB40C" w14:textId="77777777" w:rsidR="003542BB" w:rsidRDefault="003542BB">
      <w:pPr>
        <w:spacing w:after="20"/>
        <w:rPr>
          <w:rFonts w:ascii="Times New Roman" w:hAnsi="Times New Roman"/>
          <w:b/>
          <w:bCs/>
          <w:sz w:val="20"/>
          <w:szCs w:val="28"/>
        </w:rPr>
      </w:pPr>
      <w:r>
        <w:rPr>
          <w:noProof/>
        </w:rPr>
        <w:lastRenderedPageBreak/>
        <w:drawing>
          <wp:inline distT="0" distB="0" distL="0" distR="0" wp14:anchorId="3F7F3E68" wp14:editId="0F8A01D6">
            <wp:extent cx="4434840" cy="6405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5).png"/>
                    <pic:cNvPicPr/>
                  </pic:nvPicPr>
                  <pic:blipFill>
                    <a:blip r:embed="rId8"/>
                    <a:stretch>
                      <a:fillRect/>
                    </a:stretch>
                  </pic:blipFill>
                  <pic:spPr>
                    <a:xfrm>
                      <a:off x="0" y="0"/>
                      <a:ext cx="4434840" cy="6405880"/>
                    </a:xfrm>
                    <a:prstGeom prst="rect">
                      <a:avLst/>
                    </a:prstGeom>
                  </pic:spPr>
                </pic:pic>
              </a:graphicData>
            </a:graphic>
          </wp:inline>
        </w:drawing>
      </w:r>
    </w:p>
    <w:p w14:paraId="1766CCAB" w14:textId="587685DF" w:rsidR="003542BB" w:rsidRPr="003542BB" w:rsidRDefault="00000000">
      <w:pPr>
        <w:spacing w:after="20"/>
        <w:rPr>
          <w:rFonts w:ascii="Times New Roman" w:hAnsi="Times New Roman"/>
          <w:b/>
          <w:bCs/>
          <w:sz w:val="20"/>
          <w:szCs w:val="28"/>
        </w:rPr>
      </w:pPr>
      <w:r w:rsidRPr="003542BB">
        <w:rPr>
          <w:rFonts w:ascii="Times New Roman" w:hAnsi="Times New Roman"/>
          <w:b/>
          <w:bCs/>
          <w:sz w:val="20"/>
          <w:szCs w:val="28"/>
        </w:rPr>
        <w:t>Figure S2. Post-treatment survival (PTS) after discontinuation of second-line therapy.</w:t>
      </w:r>
    </w:p>
    <w:p w14:paraId="68B1967C" w14:textId="20527BDF" w:rsidR="005C5E0E" w:rsidRPr="003542BB" w:rsidRDefault="00000000">
      <w:pPr>
        <w:spacing w:after="20"/>
        <w:rPr>
          <w:sz w:val="24"/>
          <w:szCs w:val="28"/>
        </w:rPr>
      </w:pPr>
      <w:r w:rsidRPr="003542BB">
        <w:rPr>
          <w:rFonts w:ascii="Times New Roman" w:hAnsi="Times New Roman"/>
          <w:sz w:val="20"/>
          <w:szCs w:val="28"/>
        </w:rPr>
        <w:t xml:space="preserve">PTS was defined as the interval from discontinuation of second-line treatment to death from any cause. (A) PTS in the overall evaluable population (n = 94; 17 patients in the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group and 77 in the </w:t>
      </w:r>
      <w:proofErr w:type="spellStart"/>
      <w:r w:rsidRPr="003542BB">
        <w:rPr>
          <w:rFonts w:ascii="Times New Roman" w:hAnsi="Times New Roman"/>
          <w:sz w:val="20"/>
          <w:szCs w:val="28"/>
        </w:rPr>
        <w:t>lenvatinib</w:t>
      </w:r>
      <w:proofErr w:type="spellEnd"/>
      <w:r w:rsidRPr="003542BB">
        <w:rPr>
          <w:rFonts w:ascii="Times New Roman" w:hAnsi="Times New Roman"/>
          <w:sz w:val="20"/>
          <w:szCs w:val="28"/>
        </w:rPr>
        <w:t xml:space="preserve"> group). The median PTS was 13.6 months with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and 5.8 months with </w:t>
      </w:r>
      <w:proofErr w:type="spellStart"/>
      <w:r w:rsidRPr="003542BB">
        <w:rPr>
          <w:rFonts w:ascii="Times New Roman" w:hAnsi="Times New Roman"/>
          <w:sz w:val="20"/>
          <w:szCs w:val="28"/>
        </w:rPr>
        <w:t>lenvatinib</w:t>
      </w:r>
      <w:proofErr w:type="spellEnd"/>
      <w:r w:rsidRPr="003542BB">
        <w:rPr>
          <w:rFonts w:ascii="Times New Roman" w:hAnsi="Times New Roman"/>
          <w:sz w:val="20"/>
          <w:szCs w:val="28"/>
        </w:rPr>
        <w:t xml:space="preserve"> (HR, 0.50; 95% CI, 0.20–1.16; p = 0.106). (B) Among </w:t>
      </w:r>
      <w:proofErr w:type="spellStart"/>
      <w:r w:rsidRPr="003542BB">
        <w:rPr>
          <w:rFonts w:ascii="Times New Roman" w:hAnsi="Times New Roman"/>
          <w:sz w:val="20"/>
          <w:szCs w:val="28"/>
        </w:rPr>
        <w:t>lenvatinib</w:t>
      </w:r>
      <w:proofErr w:type="spellEnd"/>
      <w:r w:rsidRPr="003542BB">
        <w:rPr>
          <w:rFonts w:ascii="Times New Roman" w:hAnsi="Times New Roman"/>
          <w:sz w:val="20"/>
          <w:szCs w:val="28"/>
        </w:rPr>
        <w:t xml:space="preserve">-treated patients with available subsequent-treatment information (n = 63), PTS is compared according to whether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was administered as a later-line treatment. The median PTS was 21.6 months in patients who subsequently received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and 3.7 months in those who did not (HR, 0.17; 95% CI, 0.07–0.38; p &lt; 0.001). Because </w:t>
      </w:r>
      <w:proofErr w:type="spellStart"/>
      <w:r w:rsidRPr="003542BB">
        <w:rPr>
          <w:rFonts w:ascii="Times New Roman" w:hAnsi="Times New Roman"/>
          <w:sz w:val="20"/>
          <w:szCs w:val="28"/>
        </w:rPr>
        <w:t>Dur+Tre</w:t>
      </w:r>
      <w:proofErr w:type="spellEnd"/>
      <w:r w:rsidRPr="003542BB">
        <w:rPr>
          <w:rFonts w:ascii="Times New Roman" w:hAnsi="Times New Roman"/>
          <w:sz w:val="20"/>
          <w:szCs w:val="28"/>
        </w:rPr>
        <w:t xml:space="preserve"> exposure was defined after the PTS time origin, this comparison is subject to immortal-time and treatment-selection bias and should not be interpreted causally.</w:t>
      </w:r>
    </w:p>
    <w:p w14:paraId="2D380349" w14:textId="77777777" w:rsidR="003542BB" w:rsidRDefault="003542BB">
      <w:pPr>
        <w:spacing w:after="20"/>
        <w:rPr>
          <w:rFonts w:ascii="Times New Roman" w:hAnsi="Times New Roman"/>
          <w:sz w:val="20"/>
          <w:szCs w:val="20"/>
        </w:rPr>
      </w:pPr>
      <w:r>
        <w:rPr>
          <w:noProof/>
        </w:rPr>
        <w:lastRenderedPageBreak/>
        <w:drawing>
          <wp:inline distT="0" distB="0" distL="0" distR="0" wp14:anchorId="3CC5025B" wp14:editId="6CF82703">
            <wp:extent cx="4251960" cy="6141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5).png"/>
                    <pic:cNvPicPr/>
                  </pic:nvPicPr>
                  <pic:blipFill>
                    <a:blip r:embed="rId9"/>
                    <a:stretch>
                      <a:fillRect/>
                    </a:stretch>
                  </pic:blipFill>
                  <pic:spPr>
                    <a:xfrm>
                      <a:off x="0" y="0"/>
                      <a:ext cx="4251960" cy="6141720"/>
                    </a:xfrm>
                    <a:prstGeom prst="rect">
                      <a:avLst/>
                    </a:prstGeom>
                  </pic:spPr>
                </pic:pic>
              </a:graphicData>
            </a:graphic>
          </wp:inline>
        </w:drawing>
      </w:r>
    </w:p>
    <w:p w14:paraId="7111B4A8" w14:textId="77777777" w:rsidR="003542BB" w:rsidRPr="003542BB" w:rsidRDefault="00000000">
      <w:pPr>
        <w:spacing w:after="20"/>
        <w:rPr>
          <w:rFonts w:ascii="Times New Roman" w:hAnsi="Times New Roman"/>
          <w:b/>
          <w:bCs/>
          <w:sz w:val="20"/>
          <w:szCs w:val="20"/>
        </w:rPr>
      </w:pPr>
      <w:r w:rsidRPr="003542BB">
        <w:rPr>
          <w:rFonts w:ascii="Times New Roman" w:hAnsi="Times New Roman"/>
          <w:b/>
          <w:bCs/>
          <w:sz w:val="20"/>
          <w:szCs w:val="20"/>
        </w:rPr>
        <w:t xml:space="preserve">Figure S3. Survival according to best overall response in patients treated with durvalumab plus </w:t>
      </w:r>
      <w:proofErr w:type="spellStart"/>
      <w:r w:rsidRPr="003542BB">
        <w:rPr>
          <w:rFonts w:ascii="Times New Roman" w:hAnsi="Times New Roman"/>
          <w:b/>
          <w:bCs/>
          <w:sz w:val="20"/>
          <w:szCs w:val="20"/>
        </w:rPr>
        <w:t>tremelimumab</w:t>
      </w:r>
      <w:proofErr w:type="spellEnd"/>
      <w:r w:rsidRPr="003542BB">
        <w:rPr>
          <w:rFonts w:ascii="Times New Roman" w:hAnsi="Times New Roman"/>
          <w:b/>
          <w:bCs/>
          <w:sz w:val="20"/>
          <w:szCs w:val="20"/>
        </w:rPr>
        <w:t xml:space="preserve"> (</w:t>
      </w:r>
      <w:proofErr w:type="spellStart"/>
      <w:r w:rsidRPr="003542BB">
        <w:rPr>
          <w:rFonts w:ascii="Times New Roman" w:hAnsi="Times New Roman"/>
          <w:b/>
          <w:bCs/>
          <w:sz w:val="20"/>
          <w:szCs w:val="20"/>
        </w:rPr>
        <w:t>Dur+Tre</w:t>
      </w:r>
      <w:proofErr w:type="spellEnd"/>
      <w:r w:rsidRPr="003542BB">
        <w:rPr>
          <w:rFonts w:ascii="Times New Roman" w:hAnsi="Times New Roman"/>
          <w:b/>
          <w:bCs/>
          <w:sz w:val="20"/>
          <w:szCs w:val="20"/>
        </w:rPr>
        <w:t>).</w:t>
      </w:r>
    </w:p>
    <w:p w14:paraId="5E30B78D" w14:textId="0F6000F7" w:rsidR="005C5E0E" w:rsidRPr="003542BB" w:rsidRDefault="00000000">
      <w:pPr>
        <w:spacing w:after="20"/>
        <w:rPr>
          <w:sz w:val="20"/>
          <w:szCs w:val="20"/>
        </w:rPr>
      </w:pPr>
      <w:r w:rsidRPr="003542BB">
        <w:rPr>
          <w:rFonts w:ascii="Times New Roman" w:hAnsi="Times New Roman"/>
          <w:sz w:val="20"/>
          <w:szCs w:val="20"/>
        </w:rPr>
        <w:t xml:space="preserve">Kaplan–Meier curves in the </w:t>
      </w:r>
      <w:proofErr w:type="spellStart"/>
      <w:r w:rsidRPr="003542BB">
        <w:rPr>
          <w:rFonts w:ascii="Times New Roman" w:hAnsi="Times New Roman"/>
          <w:sz w:val="20"/>
          <w:szCs w:val="20"/>
        </w:rPr>
        <w:t>Dur+Tre</w:t>
      </w:r>
      <w:proofErr w:type="spellEnd"/>
      <w:r w:rsidRPr="003542BB">
        <w:rPr>
          <w:rFonts w:ascii="Times New Roman" w:hAnsi="Times New Roman"/>
          <w:sz w:val="20"/>
          <w:szCs w:val="20"/>
        </w:rPr>
        <w:t xml:space="preserve"> group are stratified by best overall response (BOR) assessed per RECIST version 1.1: complete or partial response (CR/PR), stable disease (SD), progressive disease (PD), and not evaluable (NE). (A) Overall survival (OS) according to BOR. (B) Progression-free survival (PFS) according to BOR. Patients who achieved disease control (CR/PR or SD) had more favorable OS and PFS than those with progressive disease or who were not evaluable for response.</w:t>
      </w:r>
    </w:p>
    <w:p w14:paraId="0DFE82A7" w14:textId="77777777" w:rsidR="005C5E0E" w:rsidRPr="003542BB" w:rsidRDefault="00000000">
      <w:pPr>
        <w:rPr>
          <w:sz w:val="20"/>
          <w:szCs w:val="20"/>
        </w:rPr>
      </w:pPr>
      <w:r w:rsidRPr="003542BB">
        <w:rPr>
          <w:rFonts w:ascii="Times New Roman" w:hAnsi="Times New Roman"/>
          <w:sz w:val="20"/>
          <w:szCs w:val="20"/>
        </w:rPr>
        <w:t xml:space="preserve">Abbreviations: </w:t>
      </w:r>
      <w:proofErr w:type="spellStart"/>
      <w:r w:rsidRPr="003542BB">
        <w:rPr>
          <w:rFonts w:ascii="Times New Roman" w:hAnsi="Times New Roman"/>
          <w:sz w:val="20"/>
          <w:szCs w:val="20"/>
        </w:rPr>
        <w:t>Atezo+Bev</w:t>
      </w:r>
      <w:proofErr w:type="spellEnd"/>
      <w:r w:rsidRPr="003542BB">
        <w:rPr>
          <w:rFonts w:ascii="Times New Roman" w:hAnsi="Times New Roman"/>
          <w:sz w:val="20"/>
          <w:szCs w:val="20"/>
        </w:rPr>
        <w:t xml:space="preserve">, atezolizumab plus bevacizumab; BOR, best overall response; CI, confidence interval; CR, complete response; </w:t>
      </w:r>
      <w:proofErr w:type="spellStart"/>
      <w:r w:rsidRPr="003542BB">
        <w:rPr>
          <w:rFonts w:ascii="Times New Roman" w:hAnsi="Times New Roman"/>
          <w:sz w:val="20"/>
          <w:szCs w:val="20"/>
        </w:rPr>
        <w:t>Dur+Tre</w:t>
      </w:r>
      <w:proofErr w:type="spellEnd"/>
      <w:r w:rsidRPr="003542BB">
        <w:rPr>
          <w:rFonts w:ascii="Times New Roman" w:hAnsi="Times New Roman"/>
          <w:sz w:val="20"/>
          <w:szCs w:val="20"/>
        </w:rPr>
        <w:t xml:space="preserve">, durvalumab plus </w:t>
      </w:r>
      <w:proofErr w:type="spellStart"/>
      <w:r w:rsidRPr="003542BB">
        <w:rPr>
          <w:rFonts w:ascii="Times New Roman" w:hAnsi="Times New Roman"/>
          <w:sz w:val="20"/>
          <w:szCs w:val="20"/>
        </w:rPr>
        <w:t>tremelimumab</w:t>
      </w:r>
      <w:proofErr w:type="spellEnd"/>
      <w:r w:rsidRPr="003542BB">
        <w:rPr>
          <w:rFonts w:ascii="Times New Roman" w:hAnsi="Times New Roman"/>
          <w:sz w:val="20"/>
          <w:szCs w:val="20"/>
        </w:rPr>
        <w:t xml:space="preserve">; HR, hazard ratio; LEN, </w:t>
      </w:r>
      <w:proofErr w:type="spellStart"/>
      <w:r w:rsidRPr="003542BB">
        <w:rPr>
          <w:rFonts w:ascii="Times New Roman" w:hAnsi="Times New Roman"/>
          <w:sz w:val="20"/>
          <w:szCs w:val="20"/>
        </w:rPr>
        <w:t>lenvatinib</w:t>
      </w:r>
      <w:proofErr w:type="spellEnd"/>
      <w:r w:rsidRPr="003542BB">
        <w:rPr>
          <w:rFonts w:ascii="Times New Roman" w:hAnsi="Times New Roman"/>
          <w:sz w:val="20"/>
          <w:szCs w:val="20"/>
        </w:rPr>
        <w:t>; NE, not evaluable; OS, overall survival; PD, progressive disease; PFS, progression-free survival; PR, partial response; PTS, post-treatment survival; RECIST, Response Evaluation Criteria in Solid Tumors; SD, stable disease.</w:t>
      </w:r>
    </w:p>
    <w:sectPr w:rsidR="005C5E0E" w:rsidRPr="003542BB">
      <w:footerReference w:type="default" r:id="rId10"/>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18E34" w14:textId="77777777" w:rsidR="00A43DB3" w:rsidRDefault="00A43DB3">
      <w:r>
        <w:separator/>
      </w:r>
    </w:p>
  </w:endnote>
  <w:endnote w:type="continuationSeparator" w:id="0">
    <w:p w14:paraId="2AF35552" w14:textId="77777777" w:rsidR="00A43DB3" w:rsidRDefault="00A4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537C" w14:textId="77777777" w:rsidR="00036DA2" w:rsidRDefault="008635C2">
    <w:pPr>
      <w:pStyle w:val="ad"/>
      <w:jc w:val="center"/>
      <w:rPr>
        <w:rFonts w:ascii="游明朝" w:eastAsia="游明朝" w:hAnsi="游明朝" w:cs="游明朝"/>
      </w:rPr>
    </w:pPr>
    <w:r>
      <w:fldChar w:fldCharType="begin"/>
    </w:r>
    <w:r>
      <w:instrText>PAGE   \* MERGEFORMAT</w:instrText>
    </w:r>
    <w:r>
      <w:fldChar w:fldCharType="separate"/>
    </w:r>
    <w:r>
      <w:rPr>
        <w:rFonts w:ascii="游明朝" w:eastAsia="游明朝" w:hAnsi="游明朝" w:cs="游明朝"/>
      </w:rPr>
      <w:t>2</w:t>
    </w:r>
    <w:r>
      <w:rPr>
        <w:rFonts w:ascii="游明朝" w:eastAsia="游明朝" w:hAnsi="游明朝" w:cs="游明朝"/>
      </w:rPr>
      <w:fldChar w:fldCharType="end"/>
    </w:r>
  </w:p>
  <w:p w14:paraId="38D788C6" w14:textId="77777777" w:rsidR="00036DA2" w:rsidRDefault="00036DA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F6001" w14:textId="77777777" w:rsidR="00A43DB3" w:rsidRDefault="00A43DB3">
      <w:r>
        <w:separator/>
      </w:r>
    </w:p>
  </w:footnote>
  <w:footnote w:type="continuationSeparator" w:id="0">
    <w:p w14:paraId="608CF12E" w14:textId="77777777" w:rsidR="00A43DB3" w:rsidRDefault="00A43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5EAA"/>
    <w:multiLevelType w:val="hybridMultilevel"/>
    <w:tmpl w:val="00000000"/>
    <w:lvl w:ilvl="0" w:tplc="1286F26C">
      <w:start w:val="1"/>
      <w:numFmt w:val="decimal"/>
      <w:lvlText w:val=""/>
      <w:lvlJc w:val="left"/>
      <w:pPr>
        <w:ind w:left="440" w:hanging="440"/>
      </w:pPr>
      <w:rPr>
        <w:rFonts w:ascii="Wingdings" w:eastAsia="Wingdings" w:hAnsi="Wingdings" w:cs="Wingdings"/>
      </w:rPr>
    </w:lvl>
    <w:lvl w:ilvl="1" w:tplc="9CF02B10">
      <w:start w:val="1"/>
      <w:numFmt w:val="decimal"/>
      <w:lvlText w:val=""/>
      <w:lvlJc w:val="left"/>
    </w:lvl>
    <w:lvl w:ilvl="2" w:tplc="4B30CD2E">
      <w:start w:val="1"/>
      <w:numFmt w:val="decimal"/>
      <w:lvlText w:val=""/>
      <w:lvlJc w:val="left"/>
    </w:lvl>
    <w:lvl w:ilvl="3" w:tplc="FCEEDDBC">
      <w:start w:val="1"/>
      <w:numFmt w:val="decimal"/>
      <w:lvlText w:val=""/>
      <w:lvlJc w:val="left"/>
    </w:lvl>
    <w:lvl w:ilvl="4" w:tplc="18B88B5C">
      <w:start w:val="1"/>
      <w:numFmt w:val="decimal"/>
      <w:lvlText w:val=""/>
      <w:lvlJc w:val="left"/>
    </w:lvl>
    <w:lvl w:ilvl="5" w:tplc="BA1428E6">
      <w:start w:val="1"/>
      <w:numFmt w:val="decimal"/>
      <w:lvlText w:val=""/>
      <w:lvlJc w:val="left"/>
    </w:lvl>
    <w:lvl w:ilvl="6" w:tplc="5E6E1AD0">
      <w:start w:val="1"/>
      <w:numFmt w:val="decimal"/>
      <w:lvlText w:val=""/>
      <w:lvlJc w:val="left"/>
    </w:lvl>
    <w:lvl w:ilvl="7" w:tplc="E81E6FF8">
      <w:start w:val="1"/>
      <w:numFmt w:val="decimal"/>
      <w:lvlText w:val=""/>
      <w:lvlJc w:val="left"/>
    </w:lvl>
    <w:lvl w:ilvl="8" w:tplc="12C4563E">
      <w:start w:val="1"/>
      <w:numFmt w:val="decimal"/>
      <w:lvlText w:val=""/>
      <w:lvlJc w:val="left"/>
    </w:lvl>
  </w:abstractNum>
  <w:abstractNum w:abstractNumId="1" w15:restartNumberingAfterBreak="0">
    <w:nsid w:val="2E413160"/>
    <w:multiLevelType w:val="hybridMultilevel"/>
    <w:tmpl w:val="00000000"/>
    <w:lvl w:ilvl="0" w:tplc="048CDE28">
      <w:start w:val="1"/>
      <w:numFmt w:val="decimal"/>
      <w:lvlText w:val=""/>
      <w:lvlJc w:val="left"/>
      <w:pPr>
        <w:ind w:left="440" w:hanging="440"/>
      </w:pPr>
      <w:rPr>
        <w:rFonts w:ascii="Wingdings" w:eastAsia="Wingdings" w:hAnsi="Wingdings" w:cs="Wingdings"/>
      </w:rPr>
    </w:lvl>
    <w:lvl w:ilvl="1" w:tplc="4014A104">
      <w:start w:val="1"/>
      <w:numFmt w:val="decimal"/>
      <w:lvlText w:val=""/>
      <w:lvlJc w:val="left"/>
    </w:lvl>
    <w:lvl w:ilvl="2" w:tplc="C338D5C0">
      <w:start w:val="1"/>
      <w:numFmt w:val="decimal"/>
      <w:lvlText w:val=""/>
      <w:lvlJc w:val="left"/>
    </w:lvl>
    <w:lvl w:ilvl="3" w:tplc="C388E182">
      <w:start w:val="1"/>
      <w:numFmt w:val="decimal"/>
      <w:lvlText w:val=""/>
      <w:lvlJc w:val="left"/>
    </w:lvl>
    <w:lvl w:ilvl="4" w:tplc="C61EEEB4">
      <w:start w:val="1"/>
      <w:numFmt w:val="decimal"/>
      <w:lvlText w:val=""/>
      <w:lvlJc w:val="left"/>
    </w:lvl>
    <w:lvl w:ilvl="5" w:tplc="1A906944">
      <w:start w:val="1"/>
      <w:numFmt w:val="decimal"/>
      <w:lvlText w:val=""/>
      <w:lvlJc w:val="left"/>
    </w:lvl>
    <w:lvl w:ilvl="6" w:tplc="C0B46150">
      <w:start w:val="1"/>
      <w:numFmt w:val="decimal"/>
      <w:lvlText w:val=""/>
      <w:lvlJc w:val="left"/>
    </w:lvl>
    <w:lvl w:ilvl="7" w:tplc="BA0AC83E">
      <w:start w:val="1"/>
      <w:numFmt w:val="decimal"/>
      <w:lvlText w:val=""/>
      <w:lvlJc w:val="left"/>
    </w:lvl>
    <w:lvl w:ilvl="8" w:tplc="7BE0DD82">
      <w:start w:val="1"/>
      <w:numFmt w:val="decimal"/>
      <w:lvlText w:val=""/>
      <w:lvlJc w:val="left"/>
    </w:lvl>
  </w:abstractNum>
  <w:abstractNum w:abstractNumId="2" w15:restartNumberingAfterBreak="0">
    <w:nsid w:val="551B9E6F"/>
    <w:multiLevelType w:val="hybridMultilevel"/>
    <w:tmpl w:val="00000000"/>
    <w:lvl w:ilvl="0" w:tplc="7E3640C6">
      <w:start w:val="1"/>
      <w:numFmt w:val="bullet"/>
      <w:lvlText w:val=""/>
      <w:lvlJc w:val="left"/>
      <w:pPr>
        <w:ind w:left="1080" w:hanging="360"/>
      </w:pPr>
      <w:rPr>
        <w:rFonts w:ascii="Symbol" w:eastAsia="Symbol" w:hAnsi="Symbol" w:cs="Symbol"/>
      </w:rPr>
    </w:lvl>
    <w:lvl w:ilvl="1" w:tplc="67ACBC72">
      <w:start w:val="1"/>
      <w:numFmt w:val="bullet"/>
      <w:lvlText w:val=""/>
      <w:lvlJc w:val="left"/>
      <w:pPr>
        <w:ind w:left="1080" w:hanging="360"/>
      </w:pPr>
      <w:rPr>
        <w:rFonts w:ascii="Symbol" w:eastAsia="Symbol" w:hAnsi="Symbol" w:cs="Symbol"/>
      </w:rPr>
    </w:lvl>
    <w:lvl w:ilvl="2" w:tplc="F2288CEC">
      <w:start w:val="1"/>
      <w:numFmt w:val="bullet"/>
      <w:lvlText w:val=""/>
      <w:lvlJc w:val="left"/>
      <w:pPr>
        <w:ind w:left="1080" w:hanging="360"/>
      </w:pPr>
      <w:rPr>
        <w:rFonts w:ascii="Symbol" w:eastAsia="Symbol" w:hAnsi="Symbol" w:cs="Symbol"/>
      </w:rPr>
    </w:lvl>
    <w:lvl w:ilvl="3" w:tplc="B3A8E3D2">
      <w:start w:val="1"/>
      <w:numFmt w:val="bullet"/>
      <w:lvlText w:val=""/>
      <w:lvlJc w:val="left"/>
      <w:pPr>
        <w:ind w:left="1080" w:hanging="360"/>
      </w:pPr>
      <w:rPr>
        <w:rFonts w:ascii="Symbol" w:eastAsia="Symbol" w:hAnsi="Symbol" w:cs="Symbol"/>
      </w:rPr>
    </w:lvl>
    <w:lvl w:ilvl="4" w:tplc="72E075E2">
      <w:start w:val="1"/>
      <w:numFmt w:val="bullet"/>
      <w:lvlText w:val=""/>
      <w:lvlJc w:val="left"/>
      <w:pPr>
        <w:ind w:left="1080" w:hanging="360"/>
      </w:pPr>
      <w:rPr>
        <w:rFonts w:ascii="Symbol" w:eastAsia="Symbol" w:hAnsi="Symbol" w:cs="Symbol"/>
      </w:rPr>
    </w:lvl>
    <w:lvl w:ilvl="5" w:tplc="DA741630">
      <w:start w:val="1"/>
      <w:numFmt w:val="bullet"/>
      <w:lvlText w:val=""/>
      <w:lvlJc w:val="left"/>
      <w:pPr>
        <w:ind w:left="1080" w:hanging="360"/>
      </w:pPr>
      <w:rPr>
        <w:rFonts w:ascii="Symbol" w:eastAsia="Symbol" w:hAnsi="Symbol" w:cs="Symbol"/>
      </w:rPr>
    </w:lvl>
    <w:lvl w:ilvl="6" w:tplc="B69E45AE">
      <w:start w:val="1"/>
      <w:numFmt w:val="bullet"/>
      <w:lvlText w:val=""/>
      <w:lvlJc w:val="left"/>
      <w:pPr>
        <w:ind w:left="1080" w:hanging="360"/>
      </w:pPr>
      <w:rPr>
        <w:rFonts w:ascii="Symbol" w:eastAsia="Symbol" w:hAnsi="Symbol" w:cs="Symbol"/>
      </w:rPr>
    </w:lvl>
    <w:lvl w:ilvl="7" w:tplc="8FFC4E06">
      <w:start w:val="1"/>
      <w:numFmt w:val="bullet"/>
      <w:lvlText w:val=""/>
      <w:lvlJc w:val="left"/>
      <w:pPr>
        <w:ind w:left="1080" w:hanging="360"/>
      </w:pPr>
      <w:rPr>
        <w:rFonts w:ascii="Symbol" w:eastAsia="Symbol" w:hAnsi="Symbol" w:cs="Symbol"/>
      </w:rPr>
    </w:lvl>
    <w:lvl w:ilvl="8" w:tplc="9F1ED206">
      <w:start w:val="1"/>
      <w:numFmt w:val="bullet"/>
      <w:lvlText w:val=""/>
      <w:lvlJc w:val="left"/>
      <w:pPr>
        <w:ind w:left="1080" w:hanging="360"/>
      </w:pPr>
      <w:rPr>
        <w:rFonts w:ascii="Symbol" w:eastAsia="Symbol" w:hAnsi="Symbol" w:cs="Symbol"/>
      </w:rPr>
    </w:lvl>
  </w:abstractNum>
  <w:abstractNum w:abstractNumId="3" w15:restartNumberingAfterBreak="0">
    <w:nsid w:val="62B2BB58"/>
    <w:multiLevelType w:val="hybridMultilevel"/>
    <w:tmpl w:val="00000000"/>
    <w:lvl w:ilvl="0" w:tplc="9070A258">
      <w:start w:val="1"/>
      <w:numFmt w:val="decimal"/>
      <w:lvlText w:val=""/>
      <w:lvlJc w:val="left"/>
      <w:pPr>
        <w:ind w:left="440" w:hanging="440"/>
      </w:pPr>
      <w:rPr>
        <w:rFonts w:ascii="Wingdings" w:eastAsia="Wingdings" w:hAnsi="Wingdings" w:cs="Wingdings"/>
      </w:rPr>
    </w:lvl>
    <w:lvl w:ilvl="1" w:tplc="946EDB56">
      <w:start w:val="1"/>
      <w:numFmt w:val="decimal"/>
      <w:lvlText w:val=""/>
      <w:lvlJc w:val="left"/>
    </w:lvl>
    <w:lvl w:ilvl="2" w:tplc="0B18DC52">
      <w:start w:val="1"/>
      <w:numFmt w:val="decimal"/>
      <w:lvlText w:val=""/>
      <w:lvlJc w:val="left"/>
    </w:lvl>
    <w:lvl w:ilvl="3" w:tplc="EEC48F5C">
      <w:start w:val="1"/>
      <w:numFmt w:val="decimal"/>
      <w:lvlText w:val=""/>
      <w:lvlJc w:val="left"/>
    </w:lvl>
    <w:lvl w:ilvl="4" w:tplc="3720288A">
      <w:start w:val="1"/>
      <w:numFmt w:val="decimal"/>
      <w:lvlText w:val=""/>
      <w:lvlJc w:val="left"/>
    </w:lvl>
    <w:lvl w:ilvl="5" w:tplc="78B08094">
      <w:start w:val="1"/>
      <w:numFmt w:val="decimal"/>
      <w:lvlText w:val=""/>
      <w:lvlJc w:val="left"/>
    </w:lvl>
    <w:lvl w:ilvl="6" w:tplc="1EE6E1DA">
      <w:start w:val="1"/>
      <w:numFmt w:val="decimal"/>
      <w:lvlText w:val=""/>
      <w:lvlJc w:val="left"/>
    </w:lvl>
    <w:lvl w:ilvl="7" w:tplc="FCE4696A">
      <w:start w:val="1"/>
      <w:numFmt w:val="decimal"/>
      <w:lvlText w:val=""/>
      <w:lvlJc w:val="left"/>
    </w:lvl>
    <w:lvl w:ilvl="8" w:tplc="9A8C5D80">
      <w:start w:val="1"/>
      <w:numFmt w:val="decimal"/>
      <w:lvlText w:val=""/>
      <w:lvlJc w:val="left"/>
    </w:lvl>
  </w:abstractNum>
  <w:num w:numId="1" w16cid:durableId="900360648">
    <w:abstractNumId w:val="1"/>
  </w:num>
  <w:num w:numId="2" w16cid:durableId="1241526417">
    <w:abstractNumId w:val="3"/>
  </w:num>
  <w:num w:numId="3" w16cid:durableId="377510588">
    <w:abstractNumId w:val="2"/>
  </w:num>
  <w:num w:numId="4" w16cid:durableId="86671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A2"/>
    <w:rsid w:val="00013ABA"/>
    <w:rsid w:val="00036DA2"/>
    <w:rsid w:val="000555EA"/>
    <w:rsid w:val="00134C1D"/>
    <w:rsid w:val="001517B4"/>
    <w:rsid w:val="00212341"/>
    <w:rsid w:val="002351B4"/>
    <w:rsid w:val="002429F1"/>
    <w:rsid w:val="00292AA1"/>
    <w:rsid w:val="002C61BD"/>
    <w:rsid w:val="003313E3"/>
    <w:rsid w:val="003542BB"/>
    <w:rsid w:val="00437C18"/>
    <w:rsid w:val="005B4C02"/>
    <w:rsid w:val="005C5E0E"/>
    <w:rsid w:val="00663CF9"/>
    <w:rsid w:val="006872BC"/>
    <w:rsid w:val="008635C2"/>
    <w:rsid w:val="008A4786"/>
    <w:rsid w:val="00905307"/>
    <w:rsid w:val="009D4161"/>
    <w:rsid w:val="00A43DB3"/>
    <w:rsid w:val="00AC05D9"/>
    <w:rsid w:val="00DF067D"/>
    <w:rsid w:val="00E20BEB"/>
    <w:rsid w:val="00F05E1F"/>
    <w:rsid w:val="00F36B24"/>
    <w:rsid w:val="00F81E61"/>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DB38AF"/>
  <w15:docId w15:val="{C654D37C-2881-4C4A-9B8C-867E4BB46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uiPriority w:val="9"/>
    <w:qFormat/>
    <w:pPr>
      <w:widowControl/>
      <w:spacing w:before="100" w:beforeAutospacing="1" w:after="100" w:afterAutospacing="1"/>
      <w:jc w:val="left"/>
      <w:outlineLvl w:val="0"/>
    </w:pPr>
    <w:rPr>
      <w:rFonts w:ascii="ＭＳ Ｐゴシック" w:eastAsia="ＭＳ Ｐゴシック" w:hAnsi="ＭＳ Ｐゴシック" w:cs="ＭＳ Ｐゴシック"/>
      <w:b/>
      <w:sz w:val="48"/>
    </w:rPr>
  </w:style>
  <w:style w:type="paragraph" w:styleId="2">
    <w:name w:val="heading 2"/>
    <w:basedOn w:val="a"/>
    <w:next w:val="a"/>
    <w:uiPriority w:val="9"/>
    <w:semiHidden/>
    <w:unhideWhenUsed/>
    <w:qFormat/>
    <w:pPr>
      <w:keepNext/>
      <w:outlineLvl w:val="1"/>
    </w:pPr>
    <w:rPr>
      <w:rFonts w:ascii="游ゴシック Light" w:eastAsia="游ゴシック Light" w:hAnsi="游ゴシック Light" w:cs="游ゴシック Light"/>
    </w:rPr>
  </w:style>
  <w:style w:type="paragraph" w:styleId="3">
    <w:name w:val="heading 3"/>
    <w:basedOn w:val="a"/>
    <w:next w:val="a"/>
    <w:uiPriority w:val="9"/>
    <w:semiHidden/>
    <w:unhideWhenUsed/>
    <w:qFormat/>
    <w:pPr>
      <w:keepNext/>
      <w:keepLines/>
      <w:spacing w:before="160" w:after="80"/>
      <w:outlineLvl w:val="2"/>
    </w:pPr>
    <w:rPr>
      <w:color w:val="2F5496"/>
      <w:sz w:val="28"/>
    </w:rPr>
  </w:style>
  <w:style w:type="paragraph" w:styleId="4">
    <w:name w:val="heading 4"/>
    <w:basedOn w:val="a"/>
    <w:next w:val="a"/>
    <w:uiPriority w:val="9"/>
    <w:semiHidden/>
    <w:unhideWhenUsed/>
    <w:qFormat/>
    <w:pPr>
      <w:keepNext/>
      <w:keepLines/>
      <w:spacing w:before="80" w:after="40"/>
      <w:outlineLvl w:val="3"/>
    </w:pPr>
    <w:rPr>
      <w:i/>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outlineLvl w:val="5"/>
    </w:pPr>
    <w:rPr>
      <w:i/>
      <w:color w:val="595959"/>
    </w:rPr>
  </w:style>
  <w:style w:type="paragraph" w:styleId="7">
    <w:name w:val="heading 7"/>
    <w:basedOn w:val="a"/>
    <w:next w:val="a"/>
    <w:uiPriority w:val="9"/>
    <w:semiHidden/>
    <w:unhideWhenUsed/>
    <w:qFormat/>
    <w:pPr>
      <w:keepNext/>
      <w:keepLines/>
      <w:spacing w:before="40"/>
      <w:outlineLvl w:val="6"/>
    </w:pPr>
    <w:rPr>
      <w:color w:val="595959"/>
    </w:rPr>
  </w:style>
  <w:style w:type="paragraph" w:styleId="8">
    <w:name w:val="heading 8"/>
    <w:basedOn w:val="a"/>
    <w:next w:val="a"/>
    <w:uiPriority w:val="9"/>
    <w:semiHidden/>
    <w:unhideWhenUsed/>
    <w:qFormat/>
    <w:pPr>
      <w:keepNext/>
      <w:keepLines/>
      <w:outlineLvl w:val="7"/>
    </w:pPr>
    <w:rPr>
      <w:i/>
      <w:color w:val="272727"/>
    </w:rPr>
  </w:style>
  <w:style w:type="paragraph" w:styleId="9">
    <w:name w:val="heading 9"/>
    <w:basedOn w:val="a"/>
    <w:next w:val="a"/>
    <w:uiPriority w:val="9"/>
    <w:semiHidden/>
    <w:unhideWhenUsed/>
    <w:qFormat/>
    <w:pPr>
      <w:keepNext/>
      <w:keepLines/>
      <w:outlineLvl w:val="8"/>
    </w:pPr>
    <w:rPr>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after="80"/>
      <w:contextualSpacing/>
    </w:pPr>
    <w:rPr>
      <w:rFonts w:ascii="游ゴシック Light" w:eastAsia="游ゴシック Light" w:hAnsi="游ゴシック Light" w:cs="游ゴシック Light"/>
      <w:sz w:val="56"/>
    </w:rPr>
  </w:style>
  <w:style w:type="paragraph" w:styleId="a4">
    <w:name w:val="Subtitle"/>
    <w:basedOn w:val="a"/>
    <w:next w:val="a"/>
    <w:uiPriority w:val="11"/>
    <w:qFormat/>
    <w:pPr>
      <w:spacing w:after="160"/>
    </w:pPr>
    <w:rPr>
      <w:color w:val="595959"/>
      <w:sz w:val="28"/>
    </w:rPr>
  </w:style>
  <w:style w:type="paragraph" w:customStyle="1" w:styleId="Abstract">
    <w:name w:val="Abstract"/>
    <w:basedOn w:val="a"/>
    <w:uiPriority w:val="16"/>
    <w:semiHidden/>
    <w:unhideWhenUsed/>
    <w:pPr>
      <w:spacing w:after="160" w:line="360" w:lineRule="auto"/>
      <w:ind w:left="1440" w:right="1440"/>
    </w:pPr>
    <w:rPr>
      <w:rFonts w:ascii="Calibri" w:eastAsia="Calibri" w:hAnsi="Calibri" w:cs="Calibri"/>
      <w:sz w:val="22"/>
    </w:rPr>
  </w:style>
  <w:style w:type="paragraph" w:customStyle="1" w:styleId="AbstractSubheading">
    <w:name w:val="Abstract Subheading"/>
    <w:basedOn w:val="a"/>
    <w:next w:val="a"/>
    <w:uiPriority w:val="16"/>
    <w:semiHidden/>
    <w:unhideWhenUsed/>
    <w:pPr>
      <w:keepNext/>
      <w:keepLines/>
      <w:numPr>
        <w:ilvl w:val="8"/>
      </w:numPr>
      <w:ind w:left="1440"/>
      <w:outlineLvl w:val="8"/>
    </w:pPr>
    <w:rPr>
      <w:sz w:val="22"/>
    </w:rPr>
  </w:style>
  <w:style w:type="paragraph" w:customStyle="1" w:styleId="Acknowledgements">
    <w:name w:val="Acknowledgements"/>
    <w:basedOn w:val="a"/>
    <w:uiPriority w:val="16"/>
    <w:semiHidden/>
    <w:unhideWhenUsed/>
    <w:pPr>
      <w:shd w:val="clear" w:color="auto" w:fill="F9EDFF"/>
      <w:spacing w:after="160" w:line="396" w:lineRule="auto"/>
    </w:pPr>
    <w:rPr>
      <w:rFonts w:ascii="Calibri" w:eastAsia="Calibri" w:hAnsi="Calibri" w:cs="Calibri"/>
      <w:sz w:val="20"/>
    </w:rPr>
  </w:style>
  <w:style w:type="paragraph" w:customStyle="1" w:styleId="Affiliation">
    <w:name w:val="Affiliation"/>
    <w:basedOn w:val="a"/>
    <w:uiPriority w:val="16"/>
    <w:semiHidden/>
    <w:unhideWhenUsed/>
    <w:pPr>
      <w:shd w:val="clear" w:color="auto" w:fill="F4FFED"/>
      <w:spacing w:before="240" w:after="120" w:line="396" w:lineRule="auto"/>
      <w:ind w:left="400" w:hanging="400"/>
      <w:jc w:val="left"/>
    </w:pPr>
    <w:rPr>
      <w:rFonts w:ascii="Calibri" w:eastAsia="Calibri" w:hAnsi="Calibri" w:cs="Calibri"/>
      <w:sz w:val="20"/>
    </w:rPr>
  </w:style>
  <w:style w:type="paragraph" w:customStyle="1" w:styleId="Annotation">
    <w:name w:val="Annotation"/>
    <w:basedOn w:val="a"/>
    <w:uiPriority w:val="16"/>
    <w:semiHidden/>
    <w:unhideWhenUsed/>
    <w:pPr>
      <w:spacing w:after="160" w:line="360" w:lineRule="auto"/>
      <w:ind w:left="400"/>
      <w:jc w:val="left"/>
    </w:pPr>
    <w:rPr>
      <w:rFonts w:ascii="Calibri" w:eastAsia="Calibri" w:hAnsi="Calibri" w:cs="Calibri"/>
      <w:sz w:val="22"/>
    </w:rPr>
  </w:style>
  <w:style w:type="paragraph" w:customStyle="1" w:styleId="Authors">
    <w:name w:val="Authors"/>
    <w:basedOn w:val="a"/>
    <w:uiPriority w:val="16"/>
    <w:semiHidden/>
    <w:unhideWhenUsed/>
    <w:pPr>
      <w:spacing w:before="360" w:after="120" w:line="283" w:lineRule="auto"/>
      <w:jc w:val="left"/>
    </w:pPr>
    <w:rPr>
      <w:rFonts w:ascii="Calibri" w:eastAsia="Calibri" w:hAnsi="Calibri" w:cs="Calibri"/>
      <w:sz w:val="28"/>
    </w:rPr>
  </w:style>
  <w:style w:type="paragraph" w:customStyle="1" w:styleId="Biography">
    <w:name w:val="Biography"/>
    <w:basedOn w:val="a"/>
    <w:uiPriority w:val="16"/>
    <w:semiHidden/>
    <w:unhideWhenUsed/>
    <w:pPr>
      <w:shd w:val="clear" w:color="auto" w:fill="EEFEF4"/>
      <w:spacing w:after="160" w:line="396" w:lineRule="auto"/>
    </w:pPr>
    <w:rPr>
      <w:rFonts w:ascii="Calibri" w:eastAsia="Calibri" w:hAnsi="Calibri" w:cs="Calibri"/>
      <w:sz w:val="20"/>
    </w:rPr>
  </w:style>
  <w:style w:type="paragraph" w:styleId="a5">
    <w:name w:val="Block Text"/>
    <w:basedOn w:val="a"/>
    <w:uiPriority w:val="16"/>
    <w:semiHidden/>
    <w:unhideWhenUsed/>
    <w:pPr>
      <w:spacing w:after="160" w:line="360" w:lineRule="auto"/>
      <w:ind w:left="1200"/>
    </w:pPr>
    <w:rPr>
      <w:rFonts w:ascii="Calibri" w:eastAsia="Calibri" w:hAnsi="Calibri" w:cs="Calibri"/>
      <w:sz w:val="22"/>
    </w:rPr>
  </w:style>
  <w:style w:type="paragraph" w:customStyle="1" w:styleId="Caption1">
    <w:name w:val="Caption1"/>
    <w:basedOn w:val="a"/>
    <w:uiPriority w:val="16"/>
    <w:semiHidden/>
    <w:unhideWhenUsed/>
    <w:pPr>
      <w:shd w:val="clear" w:color="auto" w:fill="FFF5ED"/>
      <w:spacing w:before="240" w:line="349" w:lineRule="auto"/>
    </w:pPr>
    <w:rPr>
      <w:rFonts w:ascii="Calibri" w:eastAsia="Calibri" w:hAnsi="Calibri" w:cs="Calibri"/>
      <w:sz w:val="22"/>
    </w:rPr>
  </w:style>
  <w:style w:type="paragraph" w:customStyle="1" w:styleId="ChapterNumber">
    <w:name w:val="Chapter Number"/>
    <w:basedOn w:val="a"/>
    <w:uiPriority w:val="16"/>
    <w:semiHidden/>
    <w:unhideWhenUsed/>
    <w:rPr>
      <w:rFonts w:ascii="Calibri" w:eastAsia="Calibri" w:hAnsi="Calibri" w:cs="Calibri"/>
    </w:rPr>
  </w:style>
  <w:style w:type="paragraph" w:customStyle="1" w:styleId="Copyright">
    <w:name w:val="Copyright"/>
    <w:basedOn w:val="a"/>
    <w:uiPriority w:val="16"/>
    <w:semiHidden/>
    <w:unhideWhenUsed/>
    <w:pPr>
      <w:shd w:val="clear" w:color="auto" w:fill="E9F9FF"/>
    </w:pPr>
    <w:rPr>
      <w:rFonts w:ascii="Calibri" w:eastAsia="Calibri" w:hAnsi="Calibri" w:cs="Calibri"/>
      <w:sz w:val="18"/>
    </w:rPr>
  </w:style>
  <w:style w:type="paragraph" w:customStyle="1" w:styleId="Correspondence">
    <w:name w:val="Correspondence"/>
    <w:basedOn w:val="a"/>
    <w:uiPriority w:val="16"/>
    <w:semiHidden/>
    <w:unhideWhenUsed/>
    <w:pPr>
      <w:shd w:val="clear" w:color="auto" w:fill="F3F7F9"/>
      <w:spacing w:before="240" w:after="120" w:line="396" w:lineRule="auto"/>
      <w:ind w:left="400" w:hanging="400"/>
      <w:jc w:val="left"/>
    </w:pPr>
    <w:rPr>
      <w:rFonts w:ascii="Calibri" w:eastAsia="Calibri" w:hAnsi="Calibri" w:cs="Calibri"/>
      <w:sz w:val="20"/>
    </w:rPr>
  </w:style>
  <w:style w:type="paragraph" w:customStyle="1" w:styleId="Formula">
    <w:name w:val="Formula"/>
    <w:basedOn w:val="a"/>
    <w:uiPriority w:val="16"/>
    <w:semiHidden/>
    <w:unhideWhenUsed/>
    <w:pPr>
      <w:shd w:val="clear" w:color="auto" w:fill="FFF5ED"/>
      <w:spacing w:before="120" w:after="120" w:line="360" w:lineRule="auto"/>
      <w:jc w:val="left"/>
    </w:pPr>
    <w:rPr>
      <w:rFonts w:ascii="Calibri" w:eastAsia="Calibri" w:hAnsi="Calibri" w:cs="Calibri"/>
      <w:sz w:val="22"/>
    </w:rPr>
  </w:style>
  <w:style w:type="paragraph" w:customStyle="1" w:styleId="Glossary">
    <w:name w:val="Glossary"/>
    <w:basedOn w:val="a"/>
    <w:uiPriority w:val="16"/>
    <w:semiHidden/>
    <w:unhideWhenUsed/>
    <w:pPr>
      <w:shd w:val="clear" w:color="auto" w:fill="FFEDF0"/>
      <w:spacing w:before="120" w:after="120" w:line="432" w:lineRule="auto"/>
    </w:pPr>
    <w:rPr>
      <w:rFonts w:ascii="Calibri" w:eastAsia="Calibri" w:hAnsi="Calibri" w:cs="Calibri"/>
      <w:sz w:val="20"/>
    </w:rPr>
  </w:style>
  <w:style w:type="paragraph" w:customStyle="1" w:styleId="Keywords">
    <w:name w:val="Keywords"/>
    <w:basedOn w:val="a"/>
    <w:uiPriority w:val="16"/>
    <w:semiHidden/>
    <w:unhideWhenUsed/>
    <w:pPr>
      <w:spacing w:line="396" w:lineRule="auto"/>
      <w:ind w:left="1000"/>
      <w:jc w:val="left"/>
    </w:pPr>
    <w:rPr>
      <w:rFonts w:ascii="Calibri" w:eastAsia="Calibri" w:hAnsi="Calibri" w:cs="Calibri"/>
      <w:sz w:val="20"/>
    </w:rPr>
  </w:style>
  <w:style w:type="paragraph" w:customStyle="1" w:styleId="Note">
    <w:name w:val="Note"/>
    <w:basedOn w:val="a"/>
    <w:uiPriority w:val="16"/>
    <w:semiHidden/>
    <w:unhideWhenUsed/>
    <w:pPr>
      <w:shd w:val="clear" w:color="auto" w:fill="EDF0FF"/>
      <w:spacing w:line="432" w:lineRule="auto"/>
    </w:pPr>
    <w:rPr>
      <w:rFonts w:ascii="Calibri" w:eastAsia="Calibri" w:hAnsi="Calibri" w:cs="Calibri"/>
      <w:sz w:val="20"/>
    </w:rPr>
  </w:style>
  <w:style w:type="paragraph" w:customStyle="1" w:styleId="Quotation">
    <w:name w:val="Quotation"/>
    <w:basedOn w:val="a"/>
    <w:uiPriority w:val="16"/>
    <w:semiHidden/>
    <w:unhideWhenUsed/>
    <w:pPr>
      <w:spacing w:after="160" w:line="360" w:lineRule="auto"/>
      <w:ind w:left="1200" w:right="1200"/>
    </w:pPr>
    <w:rPr>
      <w:rFonts w:ascii="Calibri" w:eastAsia="Calibri" w:hAnsi="Calibri" w:cs="Calibri"/>
      <w:sz w:val="22"/>
    </w:rPr>
  </w:style>
  <w:style w:type="paragraph" w:customStyle="1" w:styleId="QuotationSource">
    <w:name w:val="Quotation Source"/>
    <w:basedOn w:val="a"/>
    <w:uiPriority w:val="16"/>
    <w:semiHidden/>
    <w:unhideWhenUsed/>
    <w:pPr>
      <w:spacing w:after="170" w:line="360" w:lineRule="auto"/>
      <w:ind w:left="1200"/>
      <w:jc w:val="right"/>
    </w:pPr>
    <w:rPr>
      <w:rFonts w:ascii="Calibri" w:eastAsia="Calibri" w:hAnsi="Calibri" w:cs="Calibri"/>
      <w:sz w:val="22"/>
    </w:rPr>
  </w:style>
  <w:style w:type="paragraph" w:customStyle="1" w:styleId="Reference">
    <w:name w:val="Reference"/>
    <w:basedOn w:val="a"/>
    <w:uiPriority w:val="16"/>
    <w:semiHidden/>
    <w:unhideWhenUsed/>
    <w:pPr>
      <w:spacing w:after="320" w:line="360" w:lineRule="auto"/>
      <w:ind w:left="400" w:hanging="400"/>
    </w:pPr>
    <w:rPr>
      <w:rFonts w:ascii="Calibri" w:eastAsia="Calibri" w:hAnsi="Calibri" w:cs="Calibri"/>
      <w:sz w:val="22"/>
    </w:rPr>
  </w:style>
  <w:style w:type="paragraph" w:customStyle="1" w:styleId="Statement">
    <w:name w:val="Statement"/>
    <w:basedOn w:val="a"/>
    <w:uiPriority w:val="16"/>
    <w:semiHidden/>
    <w:unhideWhenUsed/>
    <w:pPr>
      <w:ind w:left="900"/>
    </w:pPr>
    <w:rPr>
      <w:rFonts w:ascii="Calibri" w:eastAsia="Calibri" w:hAnsi="Calibri" w:cs="Calibri"/>
      <w:sz w:val="22"/>
    </w:rPr>
  </w:style>
  <w:style w:type="paragraph" w:customStyle="1" w:styleId="Surtitle">
    <w:name w:val="Surtitle"/>
    <w:basedOn w:val="a"/>
    <w:uiPriority w:val="16"/>
    <w:semiHidden/>
    <w:unhideWhenUsed/>
    <w:pPr>
      <w:spacing w:after="160" w:line="208" w:lineRule="auto"/>
      <w:jc w:val="left"/>
    </w:pPr>
    <w:rPr>
      <w:rFonts w:ascii="Calibri" w:eastAsia="Calibri" w:hAnsi="Calibri" w:cs="Calibri"/>
      <w:sz w:val="38"/>
    </w:rPr>
  </w:style>
  <w:style w:type="paragraph" w:customStyle="1" w:styleId="TableBody">
    <w:name w:val="Table Body"/>
    <w:basedOn w:val="a"/>
    <w:uiPriority w:val="16"/>
    <w:semiHidden/>
    <w:unhideWhenUsed/>
    <w:pPr>
      <w:spacing w:after="160" w:line="396" w:lineRule="auto"/>
      <w:jc w:val="left"/>
    </w:pPr>
    <w:rPr>
      <w:rFonts w:ascii="Calibri" w:eastAsia="Calibri" w:hAnsi="Calibri" w:cs="Calibri"/>
      <w:sz w:val="20"/>
    </w:rPr>
  </w:style>
  <w:style w:type="paragraph" w:customStyle="1" w:styleId="TableHead">
    <w:name w:val="Table Head"/>
    <w:basedOn w:val="a"/>
    <w:uiPriority w:val="16"/>
    <w:semiHidden/>
    <w:unhideWhenUsed/>
    <w:pPr>
      <w:shd w:val="clear" w:color="auto" w:fill="FFEDFA"/>
      <w:jc w:val="left"/>
    </w:pPr>
    <w:rPr>
      <w:rFonts w:ascii="Calibri" w:eastAsia="Calibri" w:hAnsi="Calibri" w:cs="Calibri"/>
      <w:sz w:val="20"/>
    </w:rPr>
  </w:style>
  <w:style w:type="paragraph" w:customStyle="1" w:styleId="TableList">
    <w:name w:val="Table List"/>
    <w:basedOn w:val="a"/>
    <w:uiPriority w:val="16"/>
    <w:semiHidden/>
    <w:unhideWhenUsed/>
    <w:pPr>
      <w:ind w:left="300" w:hanging="300"/>
      <w:jc w:val="left"/>
    </w:pPr>
    <w:rPr>
      <w:sz w:val="20"/>
    </w:rPr>
  </w:style>
  <w:style w:type="paragraph" w:customStyle="1" w:styleId="TableNote">
    <w:name w:val="Table Note"/>
    <w:basedOn w:val="a"/>
    <w:uiPriority w:val="16"/>
    <w:semiHidden/>
    <w:unhideWhenUsed/>
    <w:rPr>
      <w:rFonts w:ascii="Calibri" w:eastAsia="Calibri" w:hAnsi="Calibri" w:cs="Calibri"/>
      <w:sz w:val="18"/>
    </w:rPr>
  </w:style>
  <w:style w:type="character" w:customStyle="1" w:styleId="ArticleTitle">
    <w:name w:val="Article Title"/>
    <w:basedOn w:val="a0"/>
    <w:uiPriority w:val="17"/>
    <w:semiHidden/>
    <w:unhideWhenUsed/>
    <w:rPr>
      <w:shd w:val="clear" w:color="auto" w:fill="E9F9FF"/>
    </w:rPr>
  </w:style>
  <w:style w:type="character" w:customStyle="1" w:styleId="City">
    <w:name w:val="City"/>
    <w:basedOn w:val="a0"/>
    <w:uiPriority w:val="17"/>
    <w:semiHidden/>
    <w:unhideWhenUsed/>
    <w:rPr>
      <w:shd w:val="clear" w:color="auto" w:fill="D7D7D7"/>
    </w:rPr>
  </w:style>
  <w:style w:type="character" w:customStyle="1" w:styleId="Conference">
    <w:name w:val="Conference"/>
    <w:basedOn w:val="a0"/>
    <w:uiPriority w:val="17"/>
    <w:semiHidden/>
    <w:unhideWhenUsed/>
    <w:rPr>
      <w:shd w:val="clear" w:color="auto" w:fill="FFAFBC"/>
    </w:rPr>
  </w:style>
  <w:style w:type="character" w:customStyle="1" w:styleId="Country">
    <w:name w:val="Country"/>
    <w:basedOn w:val="a0"/>
    <w:uiPriority w:val="17"/>
    <w:semiHidden/>
    <w:unhideWhenUsed/>
    <w:rPr>
      <w:shd w:val="clear" w:color="auto" w:fill="97C5D1"/>
    </w:rPr>
  </w:style>
  <w:style w:type="character" w:customStyle="1" w:styleId="Cross-reference">
    <w:name w:val="Cross-reference"/>
    <w:basedOn w:val="a0"/>
    <w:uiPriority w:val="17"/>
    <w:semiHidden/>
    <w:unhideWhenUsed/>
    <w:rPr>
      <w:shd w:val="clear" w:color="auto" w:fill="FFE3C9"/>
    </w:rPr>
  </w:style>
  <w:style w:type="character" w:customStyle="1" w:styleId="DatabaseLink">
    <w:name w:val="Database Link"/>
    <w:basedOn w:val="a0"/>
    <w:uiPriority w:val="17"/>
    <w:semiHidden/>
    <w:unhideWhenUsed/>
    <w:rPr>
      <w:shd w:val="clear" w:color="auto" w:fill="AFBEFF"/>
    </w:rPr>
  </w:style>
  <w:style w:type="character" w:customStyle="1" w:styleId="Edition">
    <w:name w:val="Edition"/>
    <w:basedOn w:val="a0"/>
    <w:uiPriority w:val="17"/>
    <w:semiHidden/>
    <w:unhideWhenUsed/>
    <w:rPr>
      <w:shd w:val="clear" w:color="auto" w:fill="FFF6A4"/>
    </w:rPr>
  </w:style>
  <w:style w:type="character" w:customStyle="1" w:styleId="FamilyName">
    <w:name w:val="Family Name"/>
    <w:basedOn w:val="a0"/>
    <w:uiPriority w:val="17"/>
    <w:semiHidden/>
    <w:unhideWhenUsed/>
    <w:rPr>
      <w:shd w:val="clear" w:color="auto" w:fill="88F4BE"/>
    </w:rPr>
  </w:style>
  <w:style w:type="character" w:customStyle="1" w:styleId="GeneSequence">
    <w:name w:val="Gene Sequence"/>
    <w:basedOn w:val="a0"/>
    <w:uiPriority w:val="17"/>
    <w:semiHidden/>
    <w:unhideWhenUsed/>
    <w:rPr>
      <w:shd w:val="clear" w:color="auto" w:fill="FFCDF2"/>
    </w:rPr>
  </w:style>
  <w:style w:type="character" w:customStyle="1" w:styleId="GivenName">
    <w:name w:val="Given Name"/>
    <w:basedOn w:val="a0"/>
    <w:uiPriority w:val="17"/>
    <w:semiHidden/>
    <w:unhideWhenUsed/>
    <w:rPr>
      <w:shd w:val="clear" w:color="auto" w:fill="D0FCE2"/>
    </w:rPr>
  </w:style>
  <w:style w:type="character" w:customStyle="1" w:styleId="GlossaryTerm">
    <w:name w:val="Glossary Term"/>
    <w:basedOn w:val="a0"/>
    <w:uiPriority w:val="17"/>
    <w:semiHidden/>
    <w:unhideWhenUsed/>
    <w:rPr>
      <w:shd w:val="clear" w:color="auto" w:fill="FFCFD7"/>
    </w:rPr>
  </w:style>
  <w:style w:type="character" w:customStyle="1" w:styleId="GrantID">
    <w:name w:val="Grant ID"/>
    <w:basedOn w:val="a0"/>
    <w:uiPriority w:val="17"/>
    <w:semiHidden/>
    <w:unhideWhenUsed/>
    <w:rPr>
      <w:shd w:val="clear" w:color="auto" w:fill="DDA5FF"/>
    </w:rPr>
  </w:style>
  <w:style w:type="character" w:customStyle="1" w:styleId="Heading">
    <w:name w:val="Heading:"/>
    <w:basedOn w:val="a0"/>
    <w:uiPriority w:val="17"/>
    <w:semiHidden/>
    <w:unhideWhenUsed/>
    <w:rPr>
      <w:color w:val="5B89C1"/>
    </w:rPr>
  </w:style>
  <w:style w:type="character" w:customStyle="1" w:styleId="IssueNumber">
    <w:name w:val="Issue Number"/>
    <w:basedOn w:val="a0"/>
    <w:uiPriority w:val="17"/>
    <w:semiHidden/>
    <w:unhideWhenUsed/>
    <w:rPr>
      <w:shd w:val="clear" w:color="auto" w:fill="CDD5FF"/>
    </w:rPr>
  </w:style>
  <w:style w:type="character" w:customStyle="1" w:styleId="Label">
    <w:name w:val="Label"/>
    <w:basedOn w:val="a0"/>
    <w:uiPriority w:val="17"/>
    <w:semiHidden/>
    <w:unhideWhenUsed/>
    <w:rPr>
      <w:shd w:val="clear" w:color="auto" w:fill="FFC391"/>
      <w:vertAlign w:val="baseline"/>
    </w:rPr>
  </w:style>
  <w:style w:type="character" w:customStyle="1" w:styleId="Location">
    <w:name w:val="Location"/>
    <w:basedOn w:val="a0"/>
    <w:uiPriority w:val="17"/>
    <w:semiHidden/>
    <w:unhideWhenUsed/>
    <w:rPr>
      <w:shd w:val="clear" w:color="auto" w:fill="F9EDFF"/>
    </w:rPr>
  </w:style>
  <w:style w:type="character" w:customStyle="1" w:styleId="Miscellaneous">
    <w:name w:val="Miscellaneous"/>
    <w:basedOn w:val="a0"/>
    <w:uiPriority w:val="17"/>
    <w:semiHidden/>
    <w:unhideWhenUsed/>
    <w:rPr>
      <w:shd w:val="clear" w:color="auto" w:fill="F0F0F0"/>
    </w:rPr>
  </w:style>
  <w:style w:type="character" w:customStyle="1" w:styleId="NameScientific">
    <w:name w:val="Name Scientific"/>
    <w:basedOn w:val="a0"/>
    <w:uiPriority w:val="17"/>
    <w:semiHidden/>
    <w:unhideWhenUsed/>
    <w:rPr>
      <w:shd w:val="clear" w:color="auto" w:fill="91E0FF"/>
    </w:rPr>
  </w:style>
  <w:style w:type="character" w:customStyle="1" w:styleId="Organization">
    <w:name w:val="Organization"/>
    <w:basedOn w:val="a0"/>
    <w:uiPriority w:val="17"/>
    <w:semiHidden/>
    <w:unhideWhenUsed/>
    <w:rPr>
      <w:shd w:val="clear" w:color="auto" w:fill="D1FFB5"/>
    </w:rPr>
  </w:style>
  <w:style w:type="character" w:customStyle="1" w:styleId="PageNumbers">
    <w:name w:val="Page Numbers"/>
    <w:basedOn w:val="a0"/>
    <w:uiPriority w:val="17"/>
    <w:semiHidden/>
    <w:unhideWhenUsed/>
    <w:rPr>
      <w:shd w:val="clear" w:color="auto" w:fill="FFEDF0"/>
    </w:rPr>
  </w:style>
  <w:style w:type="character" w:customStyle="1" w:styleId="Postcode">
    <w:name w:val="Postcode"/>
    <w:basedOn w:val="a0"/>
    <w:uiPriority w:val="17"/>
    <w:semiHidden/>
    <w:unhideWhenUsed/>
    <w:rPr>
      <w:shd w:val="clear" w:color="auto" w:fill="BEBEBE"/>
    </w:rPr>
  </w:style>
  <w:style w:type="character" w:customStyle="1" w:styleId="Publisher">
    <w:name w:val="Publisher"/>
    <w:basedOn w:val="a0"/>
    <w:uiPriority w:val="17"/>
    <w:semiHidden/>
    <w:unhideWhenUsed/>
    <w:rPr>
      <w:shd w:val="clear" w:color="auto" w:fill="F2DDFF"/>
    </w:rPr>
  </w:style>
  <w:style w:type="character" w:customStyle="1" w:styleId="Region">
    <w:name w:val="Region"/>
    <w:basedOn w:val="a0"/>
    <w:uiPriority w:val="17"/>
    <w:semiHidden/>
    <w:unhideWhenUsed/>
    <w:rPr>
      <w:shd w:val="clear" w:color="auto" w:fill="D8E9EE"/>
    </w:rPr>
  </w:style>
  <w:style w:type="character" w:customStyle="1" w:styleId="Source">
    <w:name w:val="Source"/>
    <w:basedOn w:val="a0"/>
    <w:uiPriority w:val="17"/>
    <w:semiHidden/>
    <w:unhideWhenUsed/>
    <w:rPr>
      <w:shd w:val="clear" w:color="auto" w:fill="C1EDFF"/>
    </w:rPr>
  </w:style>
  <w:style w:type="character" w:customStyle="1" w:styleId="VolumeNumber">
    <w:name w:val="Volume Number"/>
    <w:basedOn w:val="a0"/>
    <w:uiPriority w:val="17"/>
    <w:semiHidden/>
    <w:unhideWhenUsed/>
    <w:rPr>
      <w:shd w:val="clear" w:color="auto" w:fill="EDF0FF"/>
    </w:rPr>
  </w:style>
  <w:style w:type="character" w:customStyle="1" w:styleId="Year">
    <w:name w:val="Year"/>
    <w:basedOn w:val="a0"/>
    <w:uiPriority w:val="17"/>
    <w:semiHidden/>
    <w:unhideWhenUsed/>
    <w:rPr>
      <w:shd w:val="clear" w:color="auto" w:fill="FFF9C9"/>
    </w:rPr>
  </w:style>
  <w:style w:type="character" w:styleId="20">
    <w:name w:val="Intense Emphasis"/>
    <w:basedOn w:val="a0"/>
    <w:uiPriority w:val="21"/>
    <w:qFormat/>
    <w:rPr>
      <w:i/>
      <w:color w:val="2F5496"/>
    </w:rPr>
  </w:style>
  <w:style w:type="paragraph" w:styleId="a6">
    <w:name w:val="Quote"/>
    <w:basedOn w:val="a"/>
    <w:next w:val="a"/>
    <w:uiPriority w:val="29"/>
    <w:qFormat/>
    <w:pPr>
      <w:spacing w:before="160" w:after="160"/>
      <w:jc w:val="center"/>
    </w:pPr>
    <w:rPr>
      <w:i/>
      <w:color w:val="404040"/>
    </w:rPr>
  </w:style>
  <w:style w:type="paragraph" w:styleId="21">
    <w:name w:val="Intense Quote"/>
    <w:basedOn w:val="a"/>
    <w:next w:val="a"/>
    <w:uiPriority w:val="30"/>
    <w:qFormat/>
    <w:pPr>
      <w:pBdr>
        <w:top w:val="single" w:sz="4" w:space="10" w:color="2F5496"/>
        <w:bottom w:val="single" w:sz="4" w:space="10" w:color="2F5496"/>
      </w:pBdr>
      <w:spacing w:before="360" w:after="360"/>
      <w:ind w:left="864" w:right="864"/>
      <w:jc w:val="center"/>
    </w:pPr>
    <w:rPr>
      <w:i/>
      <w:color w:val="2F5496"/>
    </w:rPr>
  </w:style>
  <w:style w:type="character" w:styleId="22">
    <w:name w:val="Intense Reference"/>
    <w:basedOn w:val="a0"/>
    <w:uiPriority w:val="32"/>
    <w:qFormat/>
    <w:rPr>
      <w:b/>
      <w:caps w:val="0"/>
      <w:smallCaps/>
      <w:color w:val="2F5496"/>
    </w:rPr>
  </w:style>
  <w:style w:type="paragraph" w:styleId="a7">
    <w:name w:val="List Paragraph"/>
    <w:basedOn w:val="a"/>
    <w:uiPriority w:val="34"/>
    <w:qFormat/>
    <w:pPr>
      <w:ind w:left="840"/>
    </w:p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a"/>
    <w:uiPriority w:val="39"/>
    <w:semiHidden/>
    <w:unhideWhenUsed/>
    <w:pPr>
      <w:spacing w:line="305" w:lineRule="auto"/>
    </w:pPr>
    <w:rPr>
      <w:rFonts w:ascii="Calibri" w:eastAsia="Calibri" w:hAnsi="Calibri" w:cs="Calibri"/>
      <w:sz w:val="26"/>
    </w:rPr>
  </w:style>
  <w:style w:type="paragraph" w:customStyle="1" w:styleId="TOC21">
    <w:name w:val="TOC 21"/>
    <w:basedOn w:val="a"/>
    <w:uiPriority w:val="39"/>
    <w:semiHidden/>
    <w:unhideWhenUsed/>
    <w:pPr>
      <w:spacing w:line="330" w:lineRule="auto"/>
    </w:pPr>
    <w:rPr>
      <w:rFonts w:ascii="Calibri" w:eastAsia="Calibri" w:hAnsi="Calibri" w:cs="Calibri"/>
      <w:sz w:val="24"/>
    </w:rPr>
  </w:style>
  <w:style w:type="paragraph" w:customStyle="1" w:styleId="TOC31">
    <w:name w:val="TOC 31"/>
    <w:basedOn w:val="a"/>
    <w:uiPriority w:val="39"/>
    <w:semiHidden/>
    <w:unhideWhenUsed/>
    <w:pPr>
      <w:spacing w:line="360" w:lineRule="auto"/>
    </w:pPr>
    <w:rPr>
      <w:rFonts w:ascii="Calibri" w:eastAsia="Calibri" w:hAnsi="Calibri" w:cs="Calibri"/>
      <w:sz w:val="22"/>
    </w:rPr>
  </w:style>
  <w:style w:type="paragraph" w:customStyle="1" w:styleId="TOC41">
    <w:name w:val="TOC 41"/>
    <w:basedOn w:val="a"/>
    <w:uiPriority w:val="39"/>
    <w:semiHidden/>
    <w:unhideWhenUsed/>
    <w:pPr>
      <w:spacing w:line="330" w:lineRule="exact"/>
    </w:pPr>
    <w:rPr>
      <w:rFonts w:ascii="Calibri" w:eastAsia="Calibri" w:hAnsi="Calibri" w:cs="Calibri"/>
    </w:rPr>
  </w:style>
  <w:style w:type="paragraph" w:customStyle="1" w:styleId="TOC51">
    <w:name w:val="TOC 51"/>
    <w:basedOn w:val="a"/>
    <w:uiPriority w:val="39"/>
    <w:semiHidden/>
    <w:unhideWhenUsed/>
    <w:pPr>
      <w:spacing w:line="330" w:lineRule="exact"/>
    </w:pPr>
    <w:rPr>
      <w:rFonts w:ascii="Calibri" w:eastAsia="Calibri" w:hAnsi="Calibri" w:cs="Calibri"/>
    </w:rPr>
  </w:style>
  <w:style w:type="paragraph" w:customStyle="1" w:styleId="TOC61">
    <w:name w:val="TOC 61"/>
    <w:basedOn w:val="a"/>
    <w:uiPriority w:val="39"/>
    <w:semiHidden/>
    <w:unhideWhenUsed/>
    <w:pPr>
      <w:spacing w:line="330" w:lineRule="exact"/>
    </w:pPr>
    <w:rPr>
      <w:rFonts w:ascii="Calibri" w:eastAsia="Calibri" w:hAnsi="Calibri" w:cs="Calibri"/>
    </w:rPr>
  </w:style>
  <w:style w:type="paragraph" w:customStyle="1" w:styleId="TOC71">
    <w:name w:val="TOC 71"/>
    <w:basedOn w:val="a"/>
    <w:uiPriority w:val="39"/>
    <w:semiHidden/>
    <w:unhideWhenUsed/>
    <w:pPr>
      <w:spacing w:line="330" w:lineRule="exact"/>
    </w:pPr>
    <w:rPr>
      <w:rFonts w:ascii="Calibri" w:eastAsia="Calibri" w:hAnsi="Calibri" w:cs="Calibri"/>
    </w:rPr>
  </w:style>
  <w:style w:type="paragraph" w:customStyle="1" w:styleId="TOC81">
    <w:name w:val="TOC 81"/>
    <w:basedOn w:val="a"/>
    <w:uiPriority w:val="39"/>
    <w:semiHidden/>
    <w:unhideWhenUsed/>
    <w:pPr>
      <w:spacing w:line="330" w:lineRule="exact"/>
    </w:pPr>
    <w:rPr>
      <w:rFonts w:ascii="Calibri" w:eastAsia="Calibri" w:hAnsi="Calibri" w:cs="Calibri"/>
    </w:rPr>
  </w:style>
  <w:style w:type="paragraph" w:customStyle="1" w:styleId="TOC91">
    <w:name w:val="TOC 91"/>
    <w:basedOn w:val="a"/>
    <w:uiPriority w:val="39"/>
    <w:semiHidden/>
    <w:unhideWhenUsed/>
    <w:pPr>
      <w:spacing w:line="330" w:lineRule="exact"/>
    </w:pPr>
    <w:rPr>
      <w:rFonts w:ascii="Calibri" w:eastAsia="Calibri" w:hAnsi="Calibri" w:cs="Calibri"/>
    </w:rPr>
  </w:style>
  <w:style w:type="character" w:styleId="a9">
    <w:name w:val="annotation reference"/>
    <w:basedOn w:val="a0"/>
    <w:uiPriority w:val="99"/>
    <w:semiHidden/>
    <w:unhideWhenUsed/>
    <w:rPr>
      <w:sz w:val="18"/>
    </w:rPr>
  </w:style>
  <w:style w:type="paragraph" w:styleId="aa">
    <w:name w:val="annotation subject"/>
    <w:basedOn w:val="ab"/>
    <w:uiPriority w:val="99"/>
    <w:semiHidden/>
    <w:unhideWhenUsed/>
    <w:rPr>
      <w:b/>
    </w:rPr>
  </w:style>
  <w:style w:type="paragraph" w:styleId="ab">
    <w:name w:val="annotation text"/>
    <w:basedOn w:val="a"/>
    <w:uiPriority w:val="99"/>
    <w:unhideWhenUsed/>
    <w:pPr>
      <w:jc w:val="left"/>
    </w:pPr>
  </w:style>
  <w:style w:type="character" w:customStyle="1" w:styleId="CommentReference0">
    <w:name w:val="Comment Reference_0"/>
    <w:basedOn w:val="a0"/>
    <w:uiPriority w:val="99"/>
    <w:semiHidden/>
    <w:unhideWhenUsed/>
    <w:rPr>
      <w:sz w:val="16"/>
    </w:rPr>
  </w:style>
  <w:style w:type="paragraph" w:customStyle="1" w:styleId="CommentText0">
    <w:name w:val="Comment Text_0"/>
    <w:basedOn w:val="a"/>
    <w:uiPriority w:val="99"/>
    <w:semiHidden/>
    <w:unhideWhenUsed/>
    <w:pPr>
      <w:jc w:val="left"/>
    </w:pPr>
    <w:rPr>
      <w:rFonts w:ascii="Calibri" w:eastAsia="Calibri" w:hAnsi="Calibri" w:cs="Calibri"/>
      <w:sz w:val="20"/>
    </w:rPr>
  </w:style>
  <w:style w:type="character" w:customStyle="1" w:styleId="EndnoteReference1">
    <w:name w:val="Endnote Reference1"/>
    <w:basedOn w:val="a0"/>
    <w:uiPriority w:val="99"/>
    <w:semiHidden/>
    <w:unhideWhenUsed/>
    <w:rPr>
      <w:vertAlign w:val="superscript"/>
    </w:rPr>
  </w:style>
  <w:style w:type="paragraph" w:customStyle="1" w:styleId="EndnoteText1">
    <w:name w:val="Endnote Text1"/>
    <w:basedOn w:val="a"/>
    <w:uiPriority w:val="99"/>
    <w:semiHidden/>
    <w:unhideWhenUsed/>
    <w:rPr>
      <w:rFonts w:ascii="Calibri" w:eastAsia="Calibri" w:hAnsi="Calibri" w:cs="Calibri"/>
    </w:rPr>
  </w:style>
  <w:style w:type="character" w:styleId="ac">
    <w:name w:val="FollowedHyperlink"/>
    <w:basedOn w:val="a0"/>
    <w:uiPriority w:val="99"/>
    <w:semiHidden/>
    <w:unhideWhenUsed/>
    <w:rPr>
      <w:color w:val="954F72"/>
      <w:u w:val="single"/>
    </w:rPr>
  </w:style>
  <w:style w:type="paragraph" w:styleId="ad">
    <w:name w:val="footer"/>
    <w:basedOn w:val="a"/>
    <w:uiPriority w:val="99"/>
    <w:unhideWhenUsed/>
    <w:pPr>
      <w:tabs>
        <w:tab w:val="center" w:pos="4252"/>
        <w:tab w:val="right" w:pos="8504"/>
      </w:tabs>
      <w:snapToGrid w:val="0"/>
    </w:pPr>
  </w:style>
  <w:style w:type="character" w:customStyle="1" w:styleId="FootnoteReference1">
    <w:name w:val="Footnote Reference1"/>
    <w:basedOn w:val="a0"/>
    <w:uiPriority w:val="99"/>
    <w:semiHidden/>
    <w:unhideWhenUsed/>
    <w:rPr>
      <w:vertAlign w:val="superscript"/>
    </w:rPr>
  </w:style>
  <w:style w:type="paragraph" w:customStyle="1" w:styleId="FootnoteText1">
    <w:name w:val="Footnote Text1"/>
    <w:basedOn w:val="a"/>
    <w:uiPriority w:val="99"/>
    <w:semiHidden/>
    <w:unhideWhenUsed/>
    <w:rPr>
      <w:rFonts w:ascii="Calibri" w:eastAsia="Calibri" w:hAnsi="Calibri" w:cs="Calibri"/>
    </w:rPr>
  </w:style>
  <w:style w:type="paragraph" w:styleId="ae">
    <w:name w:val="header"/>
    <w:basedOn w:val="a"/>
    <w:uiPriority w:val="99"/>
    <w:unhideWhenUsed/>
    <w:pPr>
      <w:tabs>
        <w:tab w:val="center" w:pos="4252"/>
        <w:tab w:val="right" w:pos="8504"/>
      </w:tabs>
      <w:snapToGrid w:val="0"/>
    </w:pPr>
  </w:style>
  <w:style w:type="character" w:styleId="af">
    <w:name w:val="Hyperlink"/>
    <w:basedOn w:val="a0"/>
    <w:uiPriority w:val="99"/>
    <w:unhideWhenUsed/>
    <w:rPr>
      <w:color w:val="0563C1"/>
      <w:u w:val="single"/>
    </w:rPr>
  </w:style>
  <w:style w:type="character" w:styleId="af0">
    <w:name w:val="line number"/>
    <w:basedOn w:val="a0"/>
    <w:uiPriority w:val="99"/>
    <w:semiHidden/>
    <w:unhideWhenUsed/>
  </w:style>
  <w:style w:type="paragraph" w:styleId="af1">
    <w:name w:val="List"/>
    <w:basedOn w:val="a"/>
    <w:uiPriority w:val="99"/>
    <w:semiHidden/>
    <w:unhideWhenUsed/>
    <w:pPr>
      <w:spacing w:line="360" w:lineRule="auto"/>
      <w:ind w:left="400" w:hanging="400"/>
    </w:pPr>
    <w:rPr>
      <w:rFonts w:ascii="Calibri" w:eastAsia="Calibri" w:hAnsi="Calibri" w:cs="Calibri"/>
      <w:sz w:val="22"/>
    </w:rPr>
  </w:style>
  <w:style w:type="paragraph" w:customStyle="1" w:styleId="List1">
    <w:name w:val="List 1"/>
    <w:basedOn w:val="a"/>
    <w:uiPriority w:val="99"/>
    <w:semiHidden/>
    <w:unhideWhenUsed/>
    <w:pPr>
      <w:ind w:left="1200" w:hanging="600"/>
    </w:pPr>
    <w:rPr>
      <w:rFonts w:ascii="Times New Roman" w:eastAsia="Times New Roman" w:hAnsi="Times New Roman" w:cs="Times New Roman"/>
      <w:sz w:val="22"/>
    </w:rPr>
  </w:style>
  <w:style w:type="paragraph" w:styleId="23">
    <w:name w:val="List 2"/>
    <w:basedOn w:val="a"/>
    <w:uiPriority w:val="99"/>
    <w:semiHidden/>
    <w:unhideWhenUsed/>
    <w:pPr>
      <w:spacing w:line="360" w:lineRule="auto"/>
      <w:ind w:left="800" w:hanging="400"/>
    </w:pPr>
    <w:rPr>
      <w:rFonts w:ascii="Calibri" w:eastAsia="Calibri" w:hAnsi="Calibri" w:cs="Calibri"/>
      <w:sz w:val="22"/>
    </w:rPr>
  </w:style>
  <w:style w:type="paragraph" w:styleId="30">
    <w:name w:val="List 3"/>
    <w:basedOn w:val="a"/>
    <w:uiPriority w:val="99"/>
    <w:semiHidden/>
    <w:unhideWhenUsed/>
    <w:pPr>
      <w:spacing w:line="360" w:lineRule="auto"/>
      <w:ind w:left="1200" w:hanging="400"/>
    </w:pPr>
    <w:rPr>
      <w:rFonts w:ascii="Calibri" w:eastAsia="Calibri" w:hAnsi="Calibri" w:cs="Calibri"/>
      <w:sz w:val="22"/>
    </w:rPr>
  </w:style>
  <w:style w:type="paragraph" w:styleId="40">
    <w:name w:val="List 4"/>
    <w:basedOn w:val="a"/>
    <w:uiPriority w:val="99"/>
    <w:semiHidden/>
    <w:unhideWhenUsed/>
    <w:pPr>
      <w:spacing w:line="360" w:lineRule="auto"/>
      <w:ind w:left="1600" w:hanging="400"/>
    </w:pPr>
    <w:rPr>
      <w:rFonts w:ascii="Calibri" w:eastAsia="Calibri" w:hAnsi="Calibri" w:cs="Calibri"/>
      <w:sz w:val="22"/>
    </w:rPr>
  </w:style>
  <w:style w:type="paragraph" w:styleId="50">
    <w:name w:val="List 5"/>
    <w:basedOn w:val="a"/>
    <w:uiPriority w:val="99"/>
    <w:semiHidden/>
    <w:unhideWhenUsed/>
    <w:pPr>
      <w:spacing w:line="360" w:lineRule="auto"/>
      <w:ind w:left="1800" w:hanging="400"/>
    </w:pPr>
    <w:rPr>
      <w:rFonts w:ascii="Calibri" w:eastAsia="Calibri" w:hAnsi="Calibri" w:cs="Calibri"/>
      <w:sz w:val="22"/>
    </w:rPr>
  </w:style>
  <w:style w:type="paragraph" w:customStyle="1" w:styleId="List6">
    <w:name w:val="List 6"/>
    <w:basedOn w:val="a"/>
    <w:uiPriority w:val="99"/>
    <w:semiHidden/>
    <w:unhideWhenUsed/>
    <w:pPr>
      <w:spacing w:line="360" w:lineRule="auto"/>
      <w:ind w:left="1860" w:hanging="400"/>
    </w:pPr>
    <w:rPr>
      <w:rFonts w:ascii="Calibri" w:eastAsia="Calibri" w:hAnsi="Calibri" w:cs="Calibri"/>
      <w:sz w:val="22"/>
    </w:rPr>
  </w:style>
  <w:style w:type="paragraph" w:customStyle="1" w:styleId="List7">
    <w:name w:val="List 7"/>
    <w:basedOn w:val="a"/>
    <w:uiPriority w:val="99"/>
    <w:semiHidden/>
    <w:unhideWhenUsed/>
    <w:pPr>
      <w:spacing w:line="360" w:lineRule="auto"/>
      <w:ind w:left="1920" w:hanging="400"/>
    </w:pPr>
    <w:rPr>
      <w:rFonts w:ascii="Calibri" w:eastAsia="Calibri" w:hAnsi="Calibri" w:cs="Calibri"/>
      <w:sz w:val="22"/>
    </w:rPr>
  </w:style>
  <w:style w:type="paragraph" w:customStyle="1" w:styleId="List8">
    <w:name w:val="List 8"/>
    <w:basedOn w:val="a"/>
    <w:uiPriority w:val="99"/>
    <w:semiHidden/>
    <w:unhideWhenUsed/>
    <w:pPr>
      <w:spacing w:line="360" w:lineRule="auto"/>
      <w:ind w:left="1980" w:hanging="400"/>
    </w:pPr>
    <w:rPr>
      <w:rFonts w:ascii="Calibri" w:eastAsia="Calibri" w:hAnsi="Calibri" w:cs="Calibri"/>
      <w:sz w:val="22"/>
    </w:rPr>
  </w:style>
  <w:style w:type="paragraph" w:customStyle="1" w:styleId="List9">
    <w:name w:val="List 9"/>
    <w:basedOn w:val="a"/>
    <w:uiPriority w:val="99"/>
    <w:semiHidden/>
    <w:unhideWhenUsed/>
    <w:pPr>
      <w:ind w:left="1200" w:hanging="600"/>
    </w:pPr>
    <w:rPr>
      <w:rFonts w:ascii="Times New Roman" w:eastAsia="Times New Roman" w:hAnsi="Times New Roman" w:cs="Times New Roman"/>
      <w:sz w:val="22"/>
    </w:rPr>
  </w:style>
  <w:style w:type="character" w:styleId="af2">
    <w:name w:val="Placeholder Text"/>
    <w:basedOn w:val="a0"/>
    <w:uiPriority w:val="99"/>
    <w:semiHidden/>
    <w:rPr>
      <w:color w:val="808080"/>
    </w:rPr>
  </w:style>
  <w:style w:type="paragraph" w:styleId="af3">
    <w:name w:val="Revision"/>
    <w:hidden/>
    <w:uiPriority w:val="99"/>
    <w:semiHidden/>
  </w:style>
  <w:style w:type="character" w:styleId="af4">
    <w:name w:val="Unresolved Mention"/>
    <w:basedOn w:val="a0"/>
    <w:uiPriority w:val="99"/>
    <w:semiHidden/>
    <w:unhideWhenUsed/>
    <w:rPr>
      <w:color w:val="605E5C"/>
    </w:rPr>
  </w:style>
  <w:style w:type="character" w:customStyle="1" w:styleId="UnresolvedMention1">
    <w:name w:val="Unresolved Mention1"/>
    <w:basedOn w:val="a0"/>
    <w:uiPriority w:val="99"/>
    <w:semiHidden/>
    <w:unhideWhenUsed/>
    <w:rPr>
      <w:color w:val="605E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25D15-07FA-4F8D-8D24-CD900D029691}">
  <we:reference id="wa104382081" version="1.55.1.0" store="ja-JP" storeType="omex"/>
  <we:alternateReferences>
    <we:reference id="wa104382081" version="1.55.1.0" store="" storeType="omex"/>
  </we:alternateReferences>
  <we:properties>
    <we:property name="MENDELEY_BIBLIOGRAPHY_IS_DIRTY" value="true"/>
    <we:property name="MENDELEY_BIBLIOGRAPHY_LAST_MODIFIED" value="1779718733661"/>
    <we:property name="MENDELEY_CITATIONS" value="[{&quot;citationID&quot;:&quot;MENDELEY_CITATION_94c91513-a1b7-4714-94d2-c9877fec95c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&quot;,&quot;citationItems&quot;:[{&quot;id&quot;:&quot;7b6f2a5a-807f-35dd-8836-a040234692d9&quot;,&quot;itemData&quot;:{&quot;type&quot;:&quot;article-journal&quot;,&quot;id&quot;:&quot;7b6f2a5a-807f-35dd-8836-a040234692d9&quot;,&quot;title&quot;:&quot;Global cancer statistics 2022: GLOBOCAN estimates of incidence and mortality worldwide for 36 cancers in 185 countries&quot;,&quot;author&quot;:[{&quot;family&quot;:&quot;Bray&quot;,&quot;given&quot;:&quot;Freddie&quot;,&quot;parse-names&quot;:false,&quot;dropping-particle&quot;:&quot;&quot;,&quot;non-dropping-particle&quot;:&quot;&quot;},{&quot;family&quot;:&quot;Laversanne&quot;,&quot;given&quot;:&quot;Mathieu&quot;,&quot;parse-names&quot;:false,&quot;dropping-particle&quot;:&quot;&quot;,&quot;non-dropping-particle&quot;:&quot;&quot;},{&quot;family&quot;:&quot;Sung&quot;,&quot;given&quot;:&quot;Hyuna&quot;,&quot;parse-names&quot;:false,&quot;dropping-particle&quot;:&quot;&quot;,&quot;non-dropping-particle&quot;:&quot;&quot;},{&quot;family&quot;:&quot;Ferlay&quot;,&quot;given&quot;:&quot;Jacques&quot;,&quot;parse-names&quot;:false,&quot;dropping-particle&quot;:&quot;&quot;,&quot;non-dropping-particle&quot;:&quot;&quot;},{&quot;family&quot;:&quot;Siegel&quot;,&quot;given&quot;:&quot;Rebecca L.&quot;,&quot;parse-names&quot;:false,&quot;dropping-particle&quot;:&quot;&quot;,&quot;non-dropping-particle&quot;:&quot;&quot;},{&quot;family&quot;:&quot;Soerjomataram&quot;,&quot;given&quot;:&quot;Isabelle&quot;,&quot;parse-names&quot;:false,&quot;dropping-particle&quot;:&quot;&quot;,&quot;non-dropping-particle&quot;:&quot;&quot;},{&quot;family&quot;:&quot;Jemal&quot;,&quot;given&quot;:&quot;Ahmedin&quot;,&quot;parse-names&quot;:false,&quot;dropping-particle&quot;:&quot;&quot;,&quot;non-dropping-particle&quot;:&quot;&quot;}],&quot;container-title&quot;:&quot;CA: A Cancer Journal for Clinicians&quot;,&quot;container-title-short&quot;:&quot;CA Cancer J. Clin.&quot;,&quot;DOI&quot;:&quot;10.3322/caac.21834&quot;,&quot;ISSN&quot;:&quot;0007-9235&quot;,&quot;PMID&quot;:&quot;38572751&quot;,&quot;issued&quot;:{&quot;date-parts&quot;:[[2024,5]]},&quot;page&quot;:&quot;229-263&quot;,&quot;abstract&quot;:&quot;This article presents global cancer statistics by world region for the year 2022 based on updated estimates from the International Agency for Research on Cancer (IARC). There were close to 20 million new cases of cancer in the year 2022 (including nonmelanoma skin cancers [NMSCs]) alongside 9.7 million deaths from cancer (including NMSC). The estimates suggest that approximately one in five men or women develop cancer in a lifetime, whereas around one in nine men and one in 12 women die from it. Lung cancer was the most frequently diagnosed cancer in 2022, responsible for almost 2.5 million new cases, or one in eight cancers worldwide (12.4% of all cancers globally), followed by cancers of the female breast (11.6%), colorectum (9.6%), prostate (7.3%), and stomach (4.9%). Lung cancer was also the leading cause of cancer death, with an estimated 1.8 million deaths (18.7%), followed by colorectal (9.3%), liver (7.8%), female breast (6.9%), and stomach (6.8%) cancers. Breast cancer and lung cancer were the most frequent cancers in women and men, respectively (both cases and deaths). Incidence rates (including NMSC) varied from four‐fold to five‐fold across world regions, from over 500 in Australia/New Zealand (507.9 per 100,000) to under 100 in Western Africa (97.1 per 100,000) among men, and from over 400 in Australia/New Zealand (410.5 per 100,000) to close to 100 in South‐Central Asia (103.3 per 100,000) among women. The authors examine the geographic variability across 20 world regions for the 10 leading cancer types, discussing recent trends, the underlying determinants, and the prospects for global cancer prevention and control. With demographics‐based predictions indicating that the number of new cases of cancer will reach 35 million by 2050, investments in prevention, including the targeting of key risk factors for cancer (including smoking, overweight and obesity, and infection), could avert millions of future cancer diagnoses and save many lives worldwide, bringing huge economic as well as societal dividends to countries over the forthcoming decades.&quot;,&quot;publisher&quot;:&quot;Wiley&quot;,&quot;issue&quot;:&quot;3&quot;,&quot;volume&quot;:&quot;74&quot;},&quot;isTemporary&quot;:false}]},{&quot;citationID&quot;:&quot;MENDELEY_CITATION_825cc32f-3d53-450c-a269-986ad6179ee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&quot;,&quot;citationItems&quot;:[{&quot;id&quot;:&quot;4f2e7c47-cc6c-3f1a-925c-de49e2860ce4&quot;,&quot;itemData&quot;:{&quot;type&quot;:&quot;article&quot;,&quot;id&quot;:&quot;4f2e7c47-cc6c-3f1a-925c-de49e2860ce4&quot;,&quot;title&quot;:&quot;Hepatocellular carcinoma&quot;,&quot;author&quot;:[{&quot;family&quot;:&quot;Llovet&quot;,&quot;given&quot;:&quot;Josep M.&quot;,&quot;parse-names&quot;:false,&quot;dropping-particle&quot;:&quot;&quot;,&quot;non-dropping-particle&quot;:&quot;&quot;},{&quot;family&quot;:&quot;Kelley&quot;,&quot;given&quot;:&quot;Robin Kate&quot;,&quot;parse-names&quot;:false,&quot;dropping-particle&quot;:&quot;&quot;,&quot;non-dropping-particle&quot;:&quot;&quot;},{&quot;family&quot;:&quot;Villanueva&quot;,&quot;given&quot;:&quot;Augusto&quot;,&quot;parse-names&quot;:false,&quot;dropping-particle&quot;:&quot;&quot;,&quot;non-dropping-particle&quot;:&quot;&quot;},{&quot;family&quot;:&quot;Singal&quot;,&quot;given&quot;:&quot;Amit G.&quot;,&quot;parse-names&quot;:false,&quot;dropping-particle&quot;:&quot;&quot;,&quot;non-dropping-particle&quot;:&quot;&quot;},{&quot;family&quot;:&quot;Pikarsky&quot;,&quot;given&quot;:&quot;Eli&quot;,&quot;parse-names&quot;:false,&quot;dropping-particle&quot;:&quot;&quot;,&quot;non-dropping-particle&quot;:&quot;&quot;},{&quot;family&quot;:&quot;Roayaie&quot;,&quot;given&quot;:&quot;Sasan&quot;,&quot;parse-names&quot;:false,&quot;dropping-particle&quot;:&quot;&quot;,&quot;non-dropping-particle&quot;:&quot;&quot;},{&quot;family&quot;:&quot;Lencioni&quot;,&quot;given&quot;:&quot;Riccardo&quot;,&quot;parse-names&quot;:false,&quot;dropping-particle&quot;:&quot;&quot;,&quot;non-dropping-particle&quot;:&quot;&quot;},{&quot;family&quot;:&quot;Koike&quot;,&quot;given&quot;:&quot;Kazuhiko&quot;,&quot;parse-names&quot;:false,&quot;dropping-particle&quot;:&quot;&quot;,&quot;non-dropping-particle&quot;:&quot;&quot;},{&quot;family&quot;:&quot;Zucman-Rossi&quot;,&quot;given&quot;:&quot;Jessica&quot;,&quot;parse-names&quot;:false,&quot;dropping-particle&quot;:&quot;&quot;,&quot;non-dropping-particle&quot;:&quot;&quot;},{&quot;family&quot;:&quot;Finn&quot;,&quot;given&quot;:&quot;Richard S.&quot;,&quot;parse-names&quot;:false,&quot;dropping-particle&quot;:&quot;&quot;,&quot;non-dropping-particle&quot;:&quot;&quot;}],&quot;container-title&quot;:&quot;Nature Reviews Disease Primers&quot;,&quot;container-title-short&quot;:&quot;Nat. Rev. Dis. Primers&quot;,&quot;DOI&quot;:&quot;10.1038/s41572-020-00240-3&quot;,&quot;ISSN&quot;:&quot;2056676X&quot;,&quot;PMID&quot;:&quot;33479224&quot;,&quot;issued&quot;:{&quot;date-parts&quot;:[[2021,12,1]]},&quot;abstract&quot;:&quot;Liver cancer remains a global health challenge, with an estimated incidence of &gt;1 million cases by 2025. Hepatocellular carcinoma (HCC) is the most common form of liver cancer and accounts for ~90% of cases. Infection by hepatitis B virus and hepatitis C virus are the main risk factors for HCC development, although non-alcoholic steatohepatitis associated with metabolic syndrome or diabetes mellitus is becoming a more frequent risk factor in the West. Moreover, non-alcoholic steatohepatitis-associated HCC has a unique molecular pathogenesis. Approximately 25% of all HCCs present with potentially actionable mutations, which are yet to be translated into the clinical practice. Diagnosis based upon non-invasive criteria is currently challenged by the need for molecular information that requires tissue or liquid biopsies. The current major advancements have impacted the management of patients with advanced HCC. Six systemic therapies have been approved based on phase III trials (atezolizumab plus bevacizumab, sorafenib, lenvatinib, regorafenib, cabozantinib and ramucirumab) and three additional therapies have obtained accelerated FDA approval owing to evidence of efficacy. New trials are exploring combination therapies, including checkpoint inhibitors and tyrosine kinase inhibitors or anti-VEGF therapies, or even combinations of two immunotherapy regimens. The outcomes of these trials are expected to change the landscape of HCC management at all evolutionary stages.&quot;,&quot;publisher&quot;:&quot;Nature Research&quot;,&quot;issue&quot;:&quot;1&quot;,&quot;volume&quot;:&quot;7&quot;},&quot;isTemporary&quot;:false}]},{&quot;citationID&quot;:&quot;MENDELEY_CITATION_5416245f-76e0-4c9d-8c9e-e8ec2aee87f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&quot;,&quot;citationItems&quot;:[{&quot;id&quot;:&quot;777c1fc2-48fd-3007-a567-e292cfd511ec&quot;,&quot;itemData&quot;:{&quot;type&quot;:&quot;article-journal&quot;,&quot;id&quot;:&quot;777c1fc2-48fd-3007-a567-e292cfd511ec&quot;,&quot;title&quot;:&quot;Lenvatinib versus sorafenib in first-line treatment of patients with unresectable hepatocellular carcinoma: a randomised phase 3 non-inferiority trial&quot;,&quot;author&quot;:[{&quot;family&quot;:&quot;Kudo&quot;,&quot;given&quot;:&quot;Masatoshi&quot;,&quot;parse-names&quot;:false,&quot;dropping-particle&quot;:&quot;&quot;,&quot;non-dropping-particle&quot;:&quot;&quot;},{&quot;family&quot;:&quot;Finn&quot;,&quot;given&quot;:&quot;Richard S.&quot;,&quot;parse-names&quot;:false,&quot;dropping-particle&quot;:&quot;&quot;,&quot;non-dropping-particle&quot;:&quot;&quot;},{&quot;family&quot;:&quot;Qin&quot;,&quot;given&quot;:&quot;Shukui&quot;,&quot;parse-names&quot;:false,&quot;dropping-particle&quot;:&quot;&quot;,&quot;non-dropping-particle&quot;:&quot;&quot;},{&quot;family&quot;:&quot;Han&quot;,&quot;given&quot;:&quot;Kwang Hyub&quot;,&quot;parse-names&quot;:false,&quot;dropping-particle&quot;:&quot;&quot;,&quot;non-dropping-particle&quot;:&quot;&quot;},{&quot;family&quot;:&quot;Ikeda&quot;,&quot;given&quot;:&quot;Kenji&quot;,&quot;parse-names&quot;:false,&quot;dropping-particle&quot;:&quot;&quot;,&quot;non-dropping-particle&quot;:&quot;&quot;},{&quot;family&quot;:&quot;Piscaglia&quot;,&quot;given&quot;:&quot;Fabio&quot;,&quot;parse-names&quot;:false,&quot;dropping-particle&quot;:&quot;&quot;,&quot;non-dropping-particle&quot;:&quot;&quot;},{&quot;family&quot;:&quot;Baron&quot;,&quot;given&quot;:&quot;Ari&quot;,&quot;parse-names&quot;:false,&quot;dropping-particle&quot;:&quot;&quot;,&quot;non-dropping-particle&quot;:&quot;&quot;},{&quot;family&quot;:&quot;Park&quot;,&quot;given&quot;:&quot;Joong Won&quot;,&quot;parse-names&quot;:false,&quot;dropping-particle&quot;:&quot;&quot;,&quot;non-dropping-particle&quot;:&quot;&quot;},{&quot;family&quot;:&quot;Han&quot;,&quot;given&quot;:&quot;Guohong&quot;,&quot;parse-names&quot;:false,&quot;dropping-particle&quot;:&quot;&quot;,&quot;non-dropping-particle&quot;:&quot;&quot;},{&quot;family&quot;:&quot;Jassem&quot;,&quot;given&quot;:&quot;Jacek&quot;,&quot;parse-names&quot;:false,&quot;dropping-particle&quot;:&quot;&quot;,&quot;non-dropping-particle&quot;:&quot;&quot;},{&quot;family&quot;:&quot;Blanc&quot;,&quot;given&quot;:&quot;Jean Frederic&quot;,&quot;parse-names&quot;:false,&quot;dropping-particle&quot;:&quot;&quot;,&quot;non-dropping-particle&quot;:&quot;&quot;},{&quot;family&quot;:&quot;Vogel&quot;,&quot;given&quot;:&quot;Arndt&quot;,&quot;parse-names&quot;:false,&quot;dropping-particle&quot;:&quot;&quot;,&quot;non-dropping-particle&quot;:&quot;&quot;},{&quot;family&quot;:&quot;Komov&quot;,&quot;given&quot;:&quot;Dmitry&quot;,&quot;parse-names&quot;:false,&quot;dropping-particle&quot;:&quot;&quot;,&quot;non-dropping-particle&quot;:&quot;&quot;},{&quot;family&quot;:&quot;Evans&quot;,&quot;given&quot;:&quot;T. R.Jeffry&quot;,&quot;parse-names&quot;:false,&quot;dropping-particle&quot;:&quot;&quot;,&quot;non-dropping-particle&quot;:&quot;&quot;},{&quot;family&quot;:&quot;Lopez&quot;,&quot;given&quot;:&quot;Carlos&quot;,&quot;parse-names&quot;:false,&quot;dropping-particle&quot;:&quot;&quot;,&quot;non-dropping-particle&quot;:&quot;&quot;},{&quot;family&quot;:&quot;Dutcus&quot;,&quot;given&quot;:&quot;Corina&quot;,&quot;parse-names&quot;:false,&quot;dropping-particle&quot;:&quot;&quot;,&quot;non-dropping-particle&quot;:&quot;&quot;},{&quot;family&quot;:&quot;Guo&quot;,&quot;given&quot;:&quot;Matthew&quot;,&quot;parse-names&quot;:false,&quot;dropping-particle&quot;:&quot;&quot;,&quot;non-dropping-particle&quot;:&quot;&quot;},{&quot;family&quot;:&quot;Saito&quot;,&quot;given&quot;:&quot;Kenichi&quot;,&quot;parse-names&quot;:false,&quot;dropping-particle&quot;:&quot;&quot;,&quot;non-dropping-particle&quot;:&quot;&quot;},{&quot;family&quot;:&quot;Kraljevic&quot;,&quot;given&quot;:&quot;Silvija&quot;,&quot;parse-names&quot;:false,&quot;dropping-particle&quot;:&quot;&quot;,&quot;non-dropping-particle&quot;:&quot;&quot;},{&quot;family&quot;:&quot;Tamai&quot;,&quot;given&quot;:&quot;Toshiyuki&quot;,&quot;parse-names&quot;:false,&quot;dropping-particle&quot;:&quot;&quot;,&quot;non-dropping-particle&quot;:&quot;&quot;},{&quot;family&quot;:&quot;Ren&quot;,&quot;given&quot;:&quot;Min&quot;,&quot;parse-names&quot;:false,&quot;dropping-particle&quot;:&quot;&quot;,&quot;non-dropping-particle&quot;:&quot;&quot;},{&quot;family&quot;:&quot;Cheng&quot;,&quot;given&quot;:&quot;Ann Lii&quot;,&quot;parse-names&quot;:false,&quot;dropping-particle&quot;:&quot;&quot;,&quot;non-dropping-particle&quot;:&quot;&quot;}],&quot;container-title&quot;:&quot;The Lancet&quot;,&quot;DOI&quot;:&quot;10.1016/S0140-6736(18)30207-1&quot;,&quot;ISSN&quot;:&quot;1474547X&quot;,&quot;PMID&quot;:&quot;29433850&quot;,&quot;issued&quot;:{&quot;date-parts&quot;:[[2018,3,24]]},&quot;page&quot;:&quot;1163-1173&quot;,&quot;abstract&quot;:&quot;Background: In a phase 2 trial, lenvatinib, an inhibitor of VEGF receptors 1–3, FGF receptors 1–4, PDGF receptor α RET, and KIT, showed activity in hepatocellular carcinoma. We aimed to compare overall survival in patients treated with lenvatinib versus sorafenib as a first-line treatment for unresectable hepatocellular carcinoma. Methods: This was an open-label, phase 3, multicentre, non-inferiority trial that recruited patients with unresectable hepatocellular carcinoma, who had not received treatment for advanced disease, at 154 sites in 20 countries throughout the Asia-Pacific, European, and North American regions. Patients were randomly assigned (1:1) via an interactive voice–web response system—with region; macroscopic portal vein invasion, extrahepatic spread, or both; Eastern Cooperative Oncology Group performance status; and bodyweight as stratification factors—to receive oral lenvatinib (12 mg/day for bodyweight ≥60 kg or 8 mg/day for bodyweight &lt;60 kg) or sorafenib 400 mg twice-daily in 28-day cycles. The primary endpoint was overall survival, measured from the date of randomisation until the date of death from any cause. The efficacy analysis followed the intention-to-treat principle, and only patients who received treatment were included in the safety analysis. The non-inferiority margin was set at 1·08. The trial is registered with ClinicalTrials.gov, number NCT01761266. Findings: Between March 1, 2013 and July 30, 2015, 1492 patients were recruited. 954 eligible patients were randomly assigned to lenvatinib (n=478) or sorafenib (n=476). Median survival time for lenvatinib of 13·6 months (95% CI 12·1–14·9) was non-inferior to sorafenib (12·3 months, 10·4–13·9; hazard ratio 0·92, 95% CI 0·79–1·06), meeting criteria for non-inferiority. The most common any-grade adverse events were hypertension (201 [42%]), diarrhoea (184 [39%]), decreased appetite (162 [34%]), and decreased weight (147 [31%]) for lenvatinib, and palmar-plantar erythrodysaesthesia (249 [52%]), diarrhoea (220 [46%]), hypertension (144 [30%]), and decreased appetite (127 [27%]) for sorafenib. Interpretation: Lenvatinib was non-inferior to sorafenib in overall survival in untreated advanced hepatocellular carcinoma. The safety and tolerability profiles of lenvatinib were consistent with those previously observed. Funding: Eisai Inc.&quot;,&quot;publisher&quot;:&quot;Lancet Publishing Group&quot;,&quot;issue&quot;:&quot;10126&quot;,&quot;volume&quot;:&quot;391&quot;,&quot;container-title-short&quot;:&quot;&quot;},&quot;isTemporary&quot;:false}]},{&quot;citationID&quot;:&quot;MENDELEY_CITATION_e390027b-9363-4c30-9d7e-2cc7337c7c96&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&quot;,&quot;citationItems&quot;:[{&quot;id&quot;:&quot;23ea7671-7cfd-3fda-add9-50f1bcbf49ff&quot;,&quot;itemData&quot;:{&quot;type&quot;:&quot;article-journal&quot;,&quot;id&quot;:&quot;23ea7671-7cfd-3fda-add9-50f1bcbf49ff&quot;,&quot;title&quot;:&quot;Atezolizumab plus Bevacizumab in Unresectable Hepatocellular Carcinoma&quot;,&quot;author&quot;:[{&quot;family&quot;:&quot;Finn&quot;,&quot;given&quot;:&quot;Richard S.&quot;,&quot;parse-names&quot;:false,&quot;dropping-particle&quot;:&quot;&quot;,&quot;non-dropping-particle&quot;:&quot;&quot;},{&quot;family&quot;:&quot;Qin&quot;,&quot;given&quot;:&quot;Shukui&quot;,&quot;parse-names&quot;:false,&quot;dropping-particle&quot;:&quot;&quot;,&quot;non-dropping-particle&quot;:&quot;&quot;},{&quot;family&quot;:&quot;Ikeda&quot;,&quot;given&quot;:&quot;Masafumi&quot;,&quot;parse-names&quot;:false,&quot;dropping-particle&quot;:&quot;&quot;,&quot;non-dropping-particle&quot;:&quot;&quot;},{&quot;family&quot;:&quot;Galle&quot;,&quot;given&quot;:&quot;Peter R.&quot;,&quot;parse-names&quot;:false,&quot;dropping-particle&quot;:&quot;&quot;,&quot;non-dropping-particle&quot;:&quot;&quot;},{&quot;family&quot;:&quot;Ducreux&quot;,&quot;given&quot;:&quot;Michel&quot;,&quot;parse-names&quot;:false,&quot;dropping-particle&quot;:&quot;&quot;,&quot;non-dropping-particle&quot;:&quot;&quot;},{&quot;family&quot;:&quot;Kim&quot;,&quot;given&quot;:&quot;Tae-You&quot;,&quot;parse-names&quot;:false,&quot;dropping-particle&quot;:&quot;&quot;,&quot;non-dropping-particle&quot;:&quot;&quot;},{&quot;family&quot;:&quot;Kudo&quot;,&quot;given&quot;:&quot;Masatoshi&quot;,&quot;parse-names&quot;:false,&quot;dropping-particle&quot;:&quot;&quot;,&quot;non-dropping-particle&quot;:&quot;&quot;},{&quot;family&quot;:&quot;Breder&quot;,&quot;given&quot;:&quot;Valeriy&quot;,&quot;parse-names&quot;:false,&quot;dropping-particle&quot;:&quot;&quot;,&quot;non-dropping-particle&quot;:&quot;&quot;},{&quot;family&quot;:&quot;Merle&quot;,&quot;given&quot;:&quot;Philippe&quot;,&quot;parse-names&quot;:false,&quot;dropping-particle&quot;:&quot;&quot;,&quot;non-dropping-particle&quot;:&quot;&quot;},{&quot;family&quot;:&quot;Kaseb&quot;,&quot;given&quot;:&quot;Ahmed O.&quot;,&quot;parse-names&quot;:false,&quot;dropping-particle&quot;:&quot;&quot;,&quot;non-dropping-particle&quot;:&quot;&quot;},{&quot;family&quot;:&quot;Li&quot;,&quot;given&quot;:&quot;Daneng&quot;,&quot;parse-names&quot;:false,&quot;dropping-particle&quot;:&quot;&quot;,&quot;non-dropping-particle&quot;:&quot;&quot;},{&quot;family&quot;:&quot;Verret&quot;,&quot;given&quot;:&quot;Wendy&quot;,&quot;parse-names&quot;:false,&quot;dropping-particle&quot;:&quot;&quot;,&quot;non-dropping-particle&quot;:&quot;&quot;},{&quot;family&quot;:&quot;Xu&quot;,&quot;given&quot;:&quot;Derek-Zhen&quot;,&quot;parse-names&quot;:false,&quot;dropping-particle&quot;:&quot;&quot;,&quot;non-dropping-particle&quot;:&quot;&quot;},{&quot;family&quot;:&quot;Hernandez&quot;,&quot;given&quot;:&quot;Sairy&quot;,&quot;parse-names&quot;:false,&quot;dropping-particle&quot;:&quot;&quot;,&quot;non-dropping-particle&quot;:&quot;&quot;},{&quot;family&quot;:&quot;Liu&quot;,&quot;given&quot;:&quot;Juan&quot;,&quot;parse-names&quot;:false,&quot;dropping-particle&quot;:&quot;&quot;,&quot;non-dropping-particle&quot;:&quot;&quot;},{&quot;family&quot;:&quot;Huang&quot;,&quot;given&quot;:&quot;Chen&quot;,&quot;parse-names&quot;:false,&quot;dropping-particle&quot;:&quot;&quot;,&quot;non-dropping-particle&quot;:&quot;&quot;},{&quot;family&quot;:&quot;Mulla&quot;,&quot;given&quot;:&quot;Sohail&quot;,&quot;parse-names&quot;:false,&quot;dropping-particle&quot;:&quot;&quot;,&quot;non-dropping-particle&quot;:&quot;&quot;},{&quot;family&quot;:&quot;Wang&quot;,&quot;given&quot;:&quot;Yulei&quot;,&quot;parse-names&quot;:false,&quot;dropping-particle&quot;:&quot;&quot;,&quot;non-dropping-particle&quot;:&quot;&quot;},{&quot;family&quot;:&quot;Lim&quot;,&quot;given&quot;:&quot;Ho Yeong&quot;,&quot;parse-names&quot;:false,&quot;dropping-particle&quot;:&quot;&quot;,&quot;non-dropping-particle&quot;:&quot;&quot;},{&quot;family&quot;:&quot;Zhu&quot;,&quot;given&quot;:&quot;Andrew X.&quot;,&quot;parse-names&quot;:false,&quot;dropping-particle&quot;:&quot;&quot;,&quot;non-dropping-particle&quot;:&quot;&quot;},{&quot;family&quot;:&quot;Cheng&quot;,&quot;given&quot;:&quot;Ann-Lii&quot;,&quot;parse-names&quot;:false,&quot;dropping-particle&quot;:&quot;&quot;,&quot;non-dropping-particle&quot;:&quot;&quot;}],&quot;container-title&quot;:&quot;New England Journal of Medicine&quot;,&quot;DOI&quot;:&quot;10.1056/nejmoa1915745&quot;,&quot;ISSN&quot;:&quot;0028-4793&quot;,&quot;PMID&quot;:&quot;32402160&quot;,&quot;issued&quot;:{&quot;date-parts&quot;:[[2020,5,14]]},&quot;page&quot;:&quot;1894-1905&quot;,&quot;abstract&quot;:&quot;BACKGROUND: The combination of atezolizumab and bevacizumab showed encouraging antitumor activity and safety in a phase 1b trial involving patients with unresectable hepatocellular carcinoma. METHODS: In a global, open-label, phase 3 trial, patients with unresectable hepatocellular carcinoma who had not previously received systemic treatment were randomly assigned in a 2:1 ratio to receive either atezolizumab plus bevacizumab or sorafenib until unacceptable toxic effects occurred or there was a loss of clinical benefit. The coprimary end points were overall survival and progression-free survival in the intention-to-treat population, as assessed at an independent review facility according to Response Evaluation Criteria in Solid Tumors, version 1.1 (RECIST 1.1). RESULTS: The intention-to-treat population included 336 patients in the atezolizumab-bevacizumab group and 165 patients in the sorafenib group. At the time of the primary analysis (August 29, 2019), the hazard ratio for death with atezolizumab-bevacizumab as compared with sorafenib was 0.58 (95% confidence interval [CI], 0.42 to 0.79; P&lt;0.001). Overall survival at 12 months was 67.2% (95% CI, 61.3 to 73.1) with atezolizumab-bevacizumab and 54.6% (95% CI, 45.2 to 64.0) with sorafenib. Median progression-free survival was 6.8 months (95% CI, 5.7 to 8.3) and 4.3 months (95% CI, 4.0 to 5.6) in the respective groups (hazard ratio for disease progression or death, 0.59; 95% CI, 0.47 to 0.76; P&lt;0.001). Grade 3 or 4 adverse events occurred in 56.5% of 329 patients who received at least one dose of atezolizumab-bevacizumab and in 55.1% of 156 patients who received at least one dose of sorafenib. Grade 3 or 4 hypertension occurred in 15.2% of patients in the atezolizumab-bevacizumab group; however, other high-grade toxic effects were infrequent. CONCLUSIONS: In patients with unresectable hepatocellular carcinoma, atezolizumab combined with bevacizumab resulted in better overall and progression-free survival outcomes than sorafenib. (Funded by F. Hoffmann-La Roche/Genentech; ClinicalTrials.gov number, NCT03434379.).&quot;,&quot;publisher&quot;:&quot;Massachusetts Medical Society&quot;,&quot;issue&quot;:&quot;20&quot;,&quot;volume&quot;:&quot;382&quot;,&quot;container-title-short&quot;:&quot;&quot;},&quot;isTemporary&quot;:false},{&quot;id&quot;:&quot;f3ce362e-46fc-33d5-a3ae-da2803eeefba&quot;,&quot;itemData&quot;:{&quot;type&quot;:&quot;article-journal&quot;,&quot;id&quot;:&quot;f3ce362e-46fc-33d5-a3ae-da2803eeefba&quot;,&quot;title&quot;:&quot;Tremelimumab plus Durvalumab in Unresectable Hepatocellular Carcinoma&quot;,&quot;author&quot;:[{&quot;family&quot;:&quot;Abou-Alfa&quot;,&quot;given&quot;:&quot;Ghassan K.&quot;,&quot;parse-names&quot;:false,&quot;dropping-particle&quot;:&quot;&quot;,&quot;non-dropping-particle&quot;:&quot;&quot;},{&quot;family&quot;:&quot;Lau&quot;,&quot;given&quot;:&quot;George&quot;,&quot;parse-names&quot;:false,&quot;dropping-particle&quot;:&quot;&quot;,&quot;non-dropping-particle&quot;:&quot;&quot;},{&quot;family&quot;:&quot;Kudo&quot;,&quot;given&quot;:&quot;Masatoshi&quot;,&quot;parse-names&quot;:false,&quot;dropping-particle&quot;:&quot;&quot;,&quot;non-dropping-particle&quot;:&quot;&quot;},{&quot;family&quot;:&quot;Chan&quot;,&quot;given&quot;:&quot;Stephen L.&quot;,&quot;parse-names&quot;:false,&quot;dropping-particle&quot;:&quot;&quot;,&quot;non-dropping-particle&quot;:&quot;&quot;},{&quot;family&quot;:&quot;Kelley&quot;,&quot;given&quot;:&quot;Robin Kate&quot;,&quot;parse-names&quot;:false,&quot;dropping-particle&quot;:&quot;&quot;,&quot;non-dropping-particle&quot;:&quot;&quot;},{&quot;family&quot;:&quot;Furuse&quot;,&quot;given&quot;:&quot;Junji&quot;,&quot;parse-names&quot;:false,&quot;dropping-particle&quot;:&quot;&quot;,&quot;non-dropping-particle&quot;:&quot;&quot;},{&quot;family&quot;:&quot;Sukeepaisarnjaroen&quot;,&quot;given&quot;:&quot;Wattana&quot;,&quot;parse-names&quot;:false,&quot;dropping-particle&quot;:&quot;&quot;,&quot;non-dropping-particle&quot;:&quot;&quot;},{&quot;family&quot;:&quot;Kang&quot;,&quot;given&quot;:&quot;Yoon-Koo&quot;,&quot;parse-names&quot;:false,&quot;dropping-particle&quot;:&quot;&quot;,&quot;non-dropping-particle&quot;:&quot;&quot;},{&quot;family&quot;:&quot;Dao&quot;,&quot;given&quot;:&quot;Tu&quot;,&quot;parse-names&quot;:false,&quot;dropping-particle&quot;:&quot;&quot;,&quot;non-dropping-particle&quot;:&quot;Van&quot;},{&quot;family&quot;:&quot;Toni&quot;,&quot;given&quot;:&quot;Enrico N.&quot;,&quot;parse-names&quot;:false,&quot;dropping-particle&quot;:&quot;&quot;,&quot;non-dropping-particle&quot;:&quot;De&quot;},{&quot;family&quot;:&quot;Rimassa&quot;,&quot;given&quot;:&quot;Lorenza&quot;,&quot;parse-names&quot;:false,&quot;dropping-particle&quot;:&quot;&quot;,&quot;non-dropping-particle&quot;:&quot;&quot;},{&quot;family&quot;:&quot;Breder&quot;,&quot;given&quot;:&quot;Valeriy&quot;,&quot;parse-names&quot;:false,&quot;dropping-particle&quot;:&quot;&quot;,&quot;non-dropping-particle&quot;:&quot;&quot;},{&quot;family&quot;:&quot;Vasilyev&quot;,&quot;given&quot;:&quot;Alexander&quot;,&quot;parse-names&quot;:false,&quot;dropping-particle&quot;:&quot;&quot;,&quot;non-dropping-particle&quot;:&quot;&quot;},{&quot;family&quot;:&quot;Heurgué&quot;,&quot;given&quot;:&quot;Alexandra&quot;,&quot;parse-names&quot;:false,&quot;dropping-particle&quot;:&quot;&quot;,&quot;non-dropping-particle&quot;:&quot;&quot;},{&quot;family&quot;:&quot;Tam&quot;,&quot;given&quot;:&quot;Vincent C.&quot;,&quot;parse-names&quot;:false,&quot;dropping-particle&quot;:&quot;&quot;,&quot;non-dropping-particle&quot;:&quot;&quot;},{&quot;family&quot;:&quot;Mody&quot;,&quot;given&quot;:&quot;Kabir&quot;,&quot;parse-names&quot;:false,&quot;dropping-particle&quot;:&quot;&quot;,&quot;non-dropping-particle&quot;:&quot;&quot;},{&quot;family&quot;:&quot;Thungappa&quot;,&quot;given&quot;:&quot;Satheesh Chiradoni&quot;,&quot;parse-names&quot;:false,&quot;dropping-particle&quot;:&quot;&quot;,&quot;non-dropping-particle&quot;:&quot;&quot;},{&quot;family&quot;:&quot;Ostapenko&quot;,&quot;given&quot;:&quot;Yuriy&quot;,&quot;parse-names&quot;:false,&quot;dropping-particle&quot;:&quot;&quot;,&quot;non-dropping-particle&quot;:&quot;&quot;},{&quot;family&quot;:&quot;Yau&quot;,&quot;given&quot;:&quot;Thomas&quot;,&quot;parse-names&quot;:false,&quot;dropping-particle&quot;:&quot;&quot;,&quot;non-dropping-particle&quot;:&quot;&quot;},{&quot;family&quot;:&quot;Azevedo&quot;,&quot;given&quot;:&quot;Sergio&quot;,&quot;parse-names&quot;:false,&quot;dropping-particle&quot;:&quot;&quot;,&quot;non-dropping-particle&quot;:&quot;&quot;},{&quot;family&quot;:&quot;Varela&quot;,&quot;given&quot;:&quot;María&quot;,&quot;parse-names&quot;:false,&quot;dropping-particle&quot;:&quot;&quot;,&quot;non-dropping-particle&quot;:&quot;&quot;},{&quot;family&quot;:&quot;Cheng&quot;,&quot;given&quot;:&quot;Ann-Lii&quot;,&quot;parse-names&quot;:false,&quot;dropping-particle&quot;:&quot;&quot;,&quot;non-dropping-particle&quot;:&quot;&quot;},{&quot;family&quot;:&quot;Qin&quot;,&quot;given&quot;:&quot;Shukui&quot;,&quot;parse-names&quot;:false,&quot;dropping-particle&quot;:&quot;&quot;,&quot;non-dropping-particle&quot;:&quot;&quot;},{&quot;family&quot;:&quot;Galle&quot;,&quot;given&quot;:&quot;Peter R.&quot;,&quot;parse-names&quot;:false,&quot;dropping-particle&quot;:&quot;&quot;,&quot;non-dropping-particle&quot;:&quot;&quot;},{&quot;family&quot;:&quot;Ali&quot;,&quot;given&quot;:&quot;Sajid&quot;,&quot;parse-names&quot;:false,&quot;dropping-particle&quot;:&quot;&quot;,&quot;non-dropping-particle&quot;:&quot;&quot;},{&quot;family&quot;:&quot;Marcovitz&quot;,&quot;given&quot;:&quot;Michelle&quot;,&quot;parse-names&quot;:false,&quot;dropping-particle&quot;:&quot;&quot;,&quot;non-dropping-particle&quot;:&quot;&quot;},{&quot;family&quot;:&quot;Makowsky&quot;,&quot;given&quot;:&quot;Mallory&quot;,&quot;parse-names&quot;:false,&quot;dropping-particle&quot;:&quot;&quot;,&quot;non-dropping-particle&quot;:&quot;&quot;},{&quot;family&quot;:&quot;He&quot;,&quot;given&quot;:&quot;Philip&quot;,&quot;parse-names&quot;:false,&quot;dropping-particle&quot;:&quot;&quot;,&quot;non-dropping-particle&quot;:&quot;&quot;},{&quot;family&quot;:&quot;Kurland&quot;,&quot;given&quot;:&quot;John F.&quot;,&quot;parse-names&quot;:false,&quot;dropping-particle&quot;:&quot;&quot;,&quot;non-dropping-particle&quot;:&quot;&quot;},{&quot;family&quot;:&quot;Negro&quot;,&quot;given&quot;:&quot;Alejandra&quot;,&quot;parse-names&quot;:false,&quot;dropping-particle&quot;:&quot;&quot;,&quot;non-dropping-particle&quot;:&quot;&quot;},{&quot;family&quot;:&quot;Sangro&quot;,&quot;given&quot;:&quot;Bruno&quot;,&quot;parse-names&quot;:false,&quot;dropping-particle&quot;:&quot;&quot;,&quot;non-dropping-particle&quot;:&quot;&quot;}],&quot;container-title&quot;:&quot;NEJM Evidence&quot;,&quot;DOI&quot;:&quot;10.1056/evidoa2100070&quot;,&quot;ISSN&quot;:&quot;2766-5526&quot;,&quot;issued&quot;:{&quot;date-parts&quot;:[[2022,7,26]]},&quot;abstract&quot;:&quot;BACKGROUND: A single, high priming dose of tremelimumab (anti-cytotoxic T lymphocyte–associated antigen 4) plus durvalumab (anti–programmed cell death ligand-1), an infusion regimen termed STRIDE (Single Tremelimumab Regular Interval Durvalumab), showed encouraging clinical activity and safety in a phase 2 trial of unresectable hepatocellular carcinoma. METHODS: In this global, open-label, phase 3 trial, the majority of the patients we enrolled with unresectable hepatocellular carcinoma and no previous systemic treatment were randomly assigned to receive one of three regimens: tremelimumab (300 mg, one dose) plus durvalumab (1500 mg every 4 weeks; STRIDE), durvalumab (1500 mg every 4 weeks), or sorafenib (400 mg twice daily). The primary objective was overall survival for STRIDE versus sorafenib. Noninferiority for overall survival for durvalumab versus sorafenib was a secondary objective. RESULTS: In total, 1171 patients were randomly assigned to STRIDE (n=393), durvalumab (n=389), or sorafenib (n=389). The median overall survival was 16.43 months (95% confidence interval [CI], 14.16 to 19.58) with STRIDE, 16.56 months (95% CI, 14.06 to 19.12) with durvalumab, and 13.77 months (95% CI, 12.25 to 16.13) with sorafenib. Overall survival at 36 months was 30.7%, 24.7%, and 20.2%, respectively. The overall survival hazard ratio for STRIDE versus sorafenib was 0.78 (96.02% CI, 0.65 to 0.93; P=0.0035). Overall survival with durvalumab monotherapy was noninferior to sorafenib (hazard ratio, 0.86; 95.67% CI, 0.73 to 1.03; noninferiority margin, 1.08). Median progression-free survival was not significantly different among all three groups. Grade 3/4 treatment-emergent adverse events occurred for 50.5% of patients with STRIDE, 37.1% with durvalumab, and 52.4% with sorafenib. CONCLUSIONS: STRIDE significantly improved overall survival versus sorafenib. Durvalumab monotherapy was noninferior to sorafenib for patients with unresectable hepatocellular carcinoma. (Funded by AstraZeneca; ClinicalTrials.gov number, NCT03298451.)&quot;,&quot;publisher&quot;:&quot;Massachusetts Medical Society&quot;,&quot;issue&quot;:&quot;8&quot;,&quot;volume&quot;:&quot;1&quot;,&quot;container-title-short&quot;:&quot;&quot;},&quot;isTemporary&quot;:false},{&quot;id&quot;:&quot;f59d7484-0097-37de-aba0-bd76f318c7c0&quot;,&quot;itemData&quot;:{&quot;type&quot;:&quot;article-journal&quot;,&quot;id&quot;:&quot;f59d7484-0097-37de-aba0-bd76f318c7c0&quot;,&quot;title&quot;:&quot;Nivolumab plus ipilimumab versus lenvatinib or sorafenib as first-line treatment for unresectable hepatocellular carcinoma (CheckMate 9DW): an open-label, randomised, phase 3 trial&quot;,&quot;author&quot;:[{&quot;family&quot;:&quot;Yau&quot;,&quot;given&quot;:&quot;Thomas&quot;,&quot;parse-names&quot;:false,&quot;dropping-particle&quot;:&quot;&quot;,&quot;non-dropping-particle&quot;:&quot;&quot;},{&quot;family&quot;:&quot;Galle&quot;,&quot;given&quot;:&quot;Peter R.&quot;,&quot;parse-names&quot;:false,&quot;dropping-particle&quot;:&quot;&quot;,&quot;non-dropping-particle&quot;:&quot;&quot;},{&quot;family&quot;:&quot;Decaens&quot;,&quot;given&quot;:&quot;Thomas&quot;,&quot;parse-names&quot;:false,&quot;dropping-particle&quot;:&quot;&quot;,&quot;non-dropping-particle&quot;:&quot;&quot;},{&quot;family&quot;:&quot;Sangro&quot;,&quot;given&quot;:&quot;Bruno&quot;,&quot;parse-names&quot;:false,&quot;dropping-particle&quot;:&quot;&quot;,&quot;non-dropping-particle&quot;:&quot;&quot;},{&quot;family&quot;:&quot;Qin&quot;,&quot;given&quot;:&quot;Shukui&quot;,&quot;parse-names&quot;:false,&quot;dropping-particle&quot;:&quot;&quot;,&quot;non-dropping-particle&quot;:&quot;&quot;},{&quot;family&quot;:&quot;Fonseca&quot;,&quot;given&quot;:&quot;Leonardo G.&quot;,&quot;parse-names&quot;:false,&quot;dropping-particle&quot;:&quot;&quot;,&quot;non-dropping-particle&quot;:&quot;da&quot;},{&quot;family&quot;:&quot;Karachiwala&quot;,&quot;given&quot;:&quot;Hatim&quot;,&quot;parse-names&quot;:false,&quot;dropping-particle&quot;:&quot;&quot;,&quot;non-dropping-particle&quot;:&quot;&quot;},{&quot;family&quot;:&quot;Blanc&quot;,&quot;given&quot;:&quot;Jean Frederic&quot;,&quot;parse-names&quot;:false,&quot;dropping-particle&quot;:&quot;&quot;,&quot;non-dropping-particle&quot;:&quot;&quot;},{&quot;family&quot;:&quot;Park&quot;,&quot;given&quot;:&quot;Joong Won&quot;,&quot;parse-names&quot;:false,&quot;dropping-particle&quot;:&quot;&quot;,&quot;non-dropping-particle&quot;:&quot;&quot;},{&quot;family&quot;:&quot;Gane&quot;,&quot;given&quot;:&quot;Edward&quot;,&quot;parse-names&quot;:false,&quot;dropping-particle&quot;:&quot;&quot;,&quot;non-dropping-particle&quot;:&quot;&quot;},{&quot;family&quot;:&quot;Pinter&quot;,&quot;given&quot;:&quot;Matthias&quot;,&quot;parse-names&quot;:false,&quot;dropping-particle&quot;:&quot;&quot;,&quot;non-dropping-particle&quot;:&quot;&quot;},{&quot;family&quot;:&quot;Peña&quot;,&quot;given&quot;:&quot;Ana Matilla&quot;,&quot;parse-names&quot;:false,&quot;dropping-particle&quot;:&quot;&quot;,&quot;non-dropping-particle&quot;:&quot;&quot;},{&quot;family&quot;:&quot;Ikeda&quot;,&quot;given&quot;:&quot;Masafumi&quot;,&quot;parse-names&quot;:false,&quot;dropping-particle&quot;:&quot;&quot;,&quot;non-dropping-particle&quot;:&quot;&quot;},{&quot;family&quot;:&quot;Tai&quot;,&quot;given&quot;:&quot;David&quot;,&quot;parse-names&quot;:false,&quot;dropping-particle&quot;:&quot;&quot;,&quot;non-dropping-particle&quot;:&quot;&quot;},{&quot;family&quot;:&quot;Santoro&quot;,&quot;given&quot;:&quot;Armando&quot;,&quot;parse-names&quot;:false,&quot;dropping-particle&quot;:&quot;&quot;,&quot;non-dropping-particle&quot;:&quot;&quot;},{&quot;family&quot;:&quot;Pizarro&quot;,&quot;given&quot;:&quot;Gonzalo&quot;,&quot;parse-names&quot;:false,&quot;dropping-particle&quot;:&quot;&quot;,&quot;non-dropping-particle&quot;:&quot;&quot;},{&quot;family&quot;:&quot;Chiu&quot;,&quot;given&quot;:&quot;Chang Fang&quot;,&quot;parse-names&quot;:false,&quot;dropping-particle&quot;:&quot;&quot;,&quot;non-dropping-particle&quot;:&quot;&quot;},{&quot;family&quot;:&quot;Schenker&quot;,&quot;given&quot;:&quot;Michael&quot;,&quot;parse-names&quot;:false,&quot;dropping-particle&quot;:&quot;&quot;,&quot;non-dropping-particle&quot;:&quot;&quot;},{&quot;family&quot;:&quot;He&quot;,&quot;given&quot;:&quot;Aiwu&quot;,&quot;parse-names&quot;:false,&quot;dropping-particle&quot;:&quot;&quot;,&quot;non-dropping-particle&quot;:&quot;&quot;},{&quot;family&quot;:&quot;Chon&quot;,&quot;given&quot;:&quot;Hong Jae&quot;,&quot;parse-names&quot;:false,&quot;dropping-particle&quot;:&quot;&quot;,&quot;non-dropping-particle&quot;:&quot;&quot;},{&quot;family&quot;:&quot;Wojcik-Tomaszewska&quot;,&quot;given&quot;:&quot;Joanna&quot;,&quot;parse-names&quot;:false,&quot;dropping-particle&quot;:&quot;&quot;,&quot;non-dropping-particle&quot;:&quot;&quot;},{&quot;family&quot;:&quot;Verset&quot;,&quot;given&quot;:&quot;Gontran&quot;,&quot;parse-names&quot;:false,&quot;dropping-particle&quot;:&quot;&quot;,&quot;non-dropping-particle&quot;:&quot;&quot;},{&quot;family&quot;:&quot;Wang&quot;,&quot;given&quot;:&quot;Qi Qi&quot;,&quot;parse-names&quot;:false,&quot;dropping-particle&quot;:&quot;&quot;,&quot;non-dropping-particle&quot;:&quot;&quot;},{&quot;family&quot;:&quot;Stromko&quot;,&quot;given&quot;:&quot;Caitlyn&quot;,&quot;parse-names&quot;:false,&quot;dropping-particle&quot;:&quot;&quot;,&quot;non-dropping-particle&quot;:&quot;&quot;},{&quot;family&quot;:&quot;Neely&quot;,&quot;given&quot;:&quot;Jaclyn&quot;,&quot;parse-names&quot;:false,&quot;dropping-particle&quot;:&quot;&quot;,&quot;non-dropping-particle&quot;:&quot;&quot;},{&quot;family&quot;:&quot;Singh&quot;,&quot;given&quot;:&quot;Prianka&quot;,&quot;parse-names&quot;:false,&quot;dropping-particle&quot;:&quot;&quot;,&quot;non-dropping-particle&quot;:&quot;&quot;},{&quot;family&quot;:&quot;Jimenez Exposito&quot;,&quot;given&quot;:&quot;Maria Jesus&quot;,&quot;parse-names&quot;:false,&quot;dropping-particle&quot;:&quot;&quot;,&quot;non-dropping-particle&quot;:&quot;&quot;},{&quot;family&quot;:&quot;Kudo&quot;,&quot;given&quot;:&quot;Masatoshi&quot;,&quot;parse-names&quot;:false,&quot;dropping-particle&quot;:&quot;&quot;,&quot;non-dropping-particle&quot;:&quot;&quot;}],&quot;container-title&quot;:&quot;The Lancet&quot;,&quot;DOI&quot;:&quot;10.1016/S0140-6736(25)00403-9&quot;,&quot;ISSN&quot;:&quot;1474547X&quot;,&quot;PMID&quot;:&quot;40349714&quot;,&quot;issued&quot;:{&quot;date-parts&quot;:[[2025,5,24]]},&quot;page&quot;:&quot;1851-1864&quot;,&quot;abstract&quot;:&quot;Background: Patients with unresectable hepatocellular carcinoma have a poor prognosis, and treatments with long-term benefits are needed. We report results from the preplanned interim analysis of the CheckMate 9DW trial assessing nivolumab plus ipilimumab versus lenvatinib or sorafenib for unresectable hepatocellular carcinoma in the first-line setting. Methods: This open-label, randomised, phase 3 trial enrolled patients aged 18 years or older with unresectable hepatocellular carcinoma without previous systemic therapy at 163 hospitals and cancer centres across 25 countries in Asia, Australia, Europe, North America, and South America. Patients had at least one measurable untreated lesion per Response Evaluation Criteria in Solid Tumours (RECIST) version 1.1, a Child–Pugh score of 5 or 6, and an Eastern Cooperative Oncology Group performance status of 0 or 1. Patients were randomly assigned (1:1) via an interactive response technology system to receive nivolumab (1 mg/kg) plus ipilimumab (3 mg/kg) intravenously every 3 weeks for up to four doses, followed by nivolumab 480 mg every 4 weeks or investigator's choice of either oral lenvatinib (8 mg or 12 mg mg daily depending on bodyweight) or oral sorafenib (400 mg twice daily). Randomisation was stratified by aetiology; the presence of macrovascular invasion, extrahepatic spread, or both; and baseline alpha-fetoprotein concentration. The primary endpoint was overall survival, which was assessed in all randomly assigned patients; safety was an exploratory endpoint and was assessed in all randomly assigned patients who received at least one dose of study medication. This trial is registered with ClinicalTrials.gov, NCT04039607 (ongoing). Findings: Between Jan 6, 2020, and Nov 8, 2021, 668 patients were randomly assigned to nivolumab plus ipilimumab (n=335) or lenvatinib or sorafenib (n=333). Early crossing of the overall survival Kaplan–Meier curves reflected a higher number of deaths during the first 6 months after randomisation with nivolumab plus ipilimumab (hazard ratio 1·65 [95% CI 1·12–2·43]) but was followed by a sustained separation of the curves thereafter in favour of nivolumab plus ipilimumab (0·61 [0·48–0·77]). After a median follow-up of 35·2 months (IQR 31·1–39·9), overall survival was significantly improved with nivolumab plus ipilimumab versus lenvatinib or sorafenib (median 23·7 months [95% CI 18·8–29·4] vs 20·6 months [17·5–22·5]; hazard ratio 0·79 [0·65–0·96]; two-sided stratified log-rank p=0·018); respective overall survival rates were 49% (95% CI 44–55) versus 39% (34–45) at 24 months and 38% (32–43) versus 24% (19–30) at 36 months. Overall, 137 (41%) of 332 patients receiving nivolumab plus ipilimumab and 138 (42%) of 325 patients receiving lenvatinib or sorafenib had grade 3–4 treatment-related adverse events. 12 deaths were attributed to treatment with nivolumab plus ipilimumab and three were attributed to treatment with lenvatinib or sorafenib. Interpretation: Nivolumab plus ipilimumab showed a significant overall survival benefit versus lenvatinib or sorafenib and manageable safety in patients with previously untreated unresectable hepatocellular carcinoma. These results support nivolumab plus ipilimumab as a first-line treatment in this setting. Funding: Bristol Myers Squibb.&quot;,&quot;publisher&quot;:&quot;Elsevier B.V.&quot;,&quot;issue&quot;:&quot;10492&quot;,&quot;volume&quot;:&quot;405&quot;,&quot;container-title-short&quot;:&quot;&quot;},&quot;isTemporary&quot;:false}]},{&quot;citationID&quot;:&quot;MENDELEY_CITATION_9dd34f4f-1667-46f9-b16f-b968ae3886af&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&quot;,&quot;citationItems&quot;:[{&quot;id&quot;:&quot;403e44e4-118b-314b-939e-569a4f71088b&quot;,&quot;itemData&quot;:{&quot;type&quot;:&quot;article-journal&quot;,&quot;id&quot;:&quot;403e44e4-118b-314b-939e-569a4f71088b&quot;,&quot;title&quot;:&quot;A Newly Launched Nationwide Database Revealed Real-World Evidence on Systemic Therapy for Unresectable Hepatocellular Carcinoma in Japan: Hepatoma Registry of Integrating and Aggregating Electronic Health Record (HERITAGE)&quot;,&quot;author&quot;:[{&quot;family&quot;:&quot;Asaoka&quot;,&quot;given&quot;:&quot;Yoshinari&quot;,&quot;parse-names&quot;:false,&quot;dropping-particle&quot;:&quot;&quot;,&quot;non-dropping-particle&quot;:&quot;&quot;},{&quot;family&quot;:&quot;Tateishi&quot;,&quot;given&quot;:&quot;Ryosuke&quot;,&quot;parse-names&quot;:false,&quot;dropping-particle&quot;:&quot;&quot;,&quot;non-dropping-particle&quot;:&quot;&quot;},{&quot;family&quot;:&quot;Yamada&quot;,&quot;given&quot;:&quot;Yasuhide&quot;,&quot;parse-names&quot;:false,&quot;dropping-particle&quot;:&quot;&quot;,&quot;non-dropping-particle&quot;:&quot;&quot;},{&quot;family&quot;:&quot;Kokudo&quot;,&quot;given&quot;:&quot;Takashi&quot;,&quot;parse-names&quot;:false,&quot;dropping-particle&quot;:&quot;&quot;,&quot;non-dropping-particle&quot;:&quot;&quot;},{&quot;family&quot;:&quot;Saito&quot;,&quot;given&quot;:&quot;Akiko&quot;,&quot;parse-names&quot;:false,&quot;dropping-particle&quot;:&quot;&quot;,&quot;non-dropping-particle&quot;:&quot;&quot;},{&quot;family&quot;:&quot;Hasegawa&quot;,&quot;given&quot;:&quot;Kiyoshi&quot;,&quot;parse-names&quot;:false,&quot;dropping-particle&quot;:&quot;&quot;,&quot;non-dropping-particle&quot;:&quot;&quot;},{&quot;family&quot;:&quot;Iijima&quot;,&quot;given&quot;:&quot;Hiroko&quot;,&quot;parse-names&quot;:false,&quot;dropping-particle&quot;:&quot;&quot;,&quot;non-dropping-particle&quot;:&quot;&quot;},{&quot;family&quot;:&quot;Kato&quot;,&quot;given&quot;:&quot;Naoya&quot;,&quot;parse-names&quot;:false,&quot;dropping-particle&quot;:&quot;&quot;,&quot;non-dropping-particle&quot;:&quot;&quot;},{&quot;family&quot;:&quot;Shimada&quot;,&quot;given&quot;:&quot;Mitsuo&quot;,&quot;parse-names&quot;:false,&quot;dropping-particle&quot;:&quot;&quot;,&quot;non-dropping-particle&quot;:&quot;&quot;},{&quot;family&quot;:&quot;Hatano&quot;,&quot;given&quot;:&quot;Etsuro&quot;,&quot;parse-names&quot;:false,&quot;dropping-particle&quot;:&quot;&quot;,&quot;non-dropping-particle&quot;:&quot;&quot;},{&quot;family&quot;:&quot;Fukumoto&quot;,&quot;given&quot;:&quot;Takumi&quot;,&quot;parse-names&quot;:false,&quot;dropping-particle&quot;:&quot;&quot;,&quot;non-dropping-particle&quot;:&quot;&quot;},{&quot;family&quot;:&quot;Murakami&quot;,&quot;given&quot;:&quot;Takamichi&quot;,&quot;parse-names&quot;:false,&quot;dropping-particle&quot;:&quot;&quot;,&quot;non-dropping-particle&quot;:&quot;&quot;},{&quot;family&quot;:&quot;Yano&quot;,&quot;given&quot;:&quot;Hirohisa&quot;,&quot;parse-names&quot;:false,&quot;dropping-particle&quot;:&quot;&quot;,&quot;non-dropping-particle&quot;:&quot;&quot;},{&quot;family&quot;:&quot;Yoshimitsu&quot;,&quot;given&quot;:&quot;Kengo&quot;,&quot;parse-names&quot;:false,&quot;dropping-particle&quot;:&quot;&quot;,&quot;non-dropping-particle&quot;:&quot;&quot;},{&quot;family&quot;:&quot;Kurosaki&quot;,&quot;given&quot;:&quot;Masayuki&quot;,&quot;parse-names&quot;:false,&quot;dropping-particle&quot;:&quot;&quot;,&quot;non-dropping-particle&quot;:&quot;&quot;},{&quot;family&quot;:&quot;Sakamoto&quot;,&quot;given&quot;:&quot;Michiie&quot;,&quot;parse-names&quot;:false,&quot;dropping-particle&quot;:&quot;&quot;,&quot;non-dropping-particle&quot;:&quot;&quot;},{&quot;family&quot;:&quot;Matsuyama&quot;,&quot;given&quot;:&quot;Yutaka&quot;,&quot;parse-names&quot;:false,&quot;dropping-particle&quot;:&quot;&quot;,&quot;non-dropping-particle&quot;:&quot;&quot;},{&quot;family&quot;:&quot;Kudo&quot;,&quot;given&quot;:&quot;Masatoshi&quot;,&quot;parse-names&quot;:false,&quot;dropping-particle&quot;:&quot;&quot;,&quot;non-dropping-particle&quot;:&quot;&quot;},{&quot;family&quot;:&quot;Miyata&quot;,&quot;given&quot;:&quot;Hiroaki&quot;,&quot;parse-names&quot;:false,&quot;dropping-particle&quot;:&quot;&quot;,&quot;non-dropping-particle&quot;:&quot;&quot;},{&quot;family&quot;:&quot;Kokudo&quot;,&quot;given&quot;:&quot;Norihiro&quot;,&quot;parse-names&quot;:false,&quot;dropping-particle&quot;:&quot;&quot;,&quot;non-dropping-particle&quot;:&quot;&quot;}],&quot;container-title&quot;:&quot;Liver Cancer&quot;,&quot;container-title-short&quot;:&quot;Liver Cancer&quot;,&quot;DOI&quot;:&quot;10.1159/000546862&quot;,&quot;ISSN&quot;:&quot;16645553&quot;,&quot;issued&quot;:{&quot;date-parts&quot;:[[2025]]},&quot;abstract&quot;:&quot;Background and Aims: As systemic therapy for hepatocellular carcinoma (HCC) rapidly advances, eight treatment regimens are currently approved in Japan. However, the limited settings of phase III clinical trials necessitate large-scale real-world data to evaluate effective treatment sequences. To address this, we established a nationwide registry called the Hepatoma Registry of Integrating and Aggregating Electronic Health Record (HERITAGE). Approach and Results: HERITAGE, associated with a nationwide follow-up survey by the Japan Liver Cancer Association, included cases where first-line systemic therapy commenced between April 2015 and December 2022. We collected data on treatment regimens, patient demographics, effectiveness, and duration and assessed changes in regimens, trends in patient characteristics, efficacy per regimen, and cross-resistance in combinations of first- and second-line treatments. The study enrolled over 8,000 treatment lines from 5,525 cases. Chronological analysis revealed a progression in first-line treatments from sorafenib to lenvatinib and then to atezolizumab plus bevacizumab. These regimens were frequently reused in second and subsequent lines. There was an increase in older patients and those with nonviral etiologies and robust liver function. Treatments were generally initiated at earlier disease stages. Cross-resistance studies indicated that responses to second-line treatments were significantly influenced by the efficacy of first-line therapies, particularly in tyrosine kinase inhibitor sequences. Conclusions: Through establishing a comprehensive registry, this study unveiled evolving patterns in treatment regimens and shifts in patient demographics for systemic HCC therapy in Japan.&quot;,&quot;publisher&quot;:&quot;S. Karger AG&quot;},&quot;isTemporary&quot;:false}]},{&quot;citationID&quot;:&quot;MENDELEY_CITATION_b27e135f-75cb-401f-bb7b-1f83a787174d&quot;,&quot;properties&quot;:{&quot;noteIndex&quot;:0},&quot;isEdited&quot;:false,&quot;manualOverride&quot;:{&quot;isManuallyOverridden&quot;:false,&quot;citeprocText&quot;:&quot;&lt;sup&gt;8–10&lt;/sup&gt;&quot;,&quot;manualOverrideText&quot;:&quot;&quot;},&quot;citationTag&quot;:&quot;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&quot;,&quot;citationItems&quot;:[{&quot;id&quot;:&quot;a1048c43-3c3a-3efb-afb1-4670c2167e8a&quot;,&quot;itemData&quot;:{&quot;type&quot;:&quot;article-journal&quot;,&quot;id&quot;:&quot;a1048c43-3c3a-3efb-afb1-4670c2167e8a&quot;,&quot;title&quot;:&quot;Regorafenib for patients with hepatocellular carcinoma who progressed on sorafenib treatment (RESORCE): a randomised, double-blind, placebo-controlled, phase 3 trial&quot;,&quot;author&quot;:[{&quot;family&quot;:&quot;Bruix&quot;,&quot;given&quot;:&quot;Jordi&quot;,&quot;parse-names&quot;:false,&quot;dropping-particle&quot;:&quot;&quot;,&quot;non-dropping-particle&quot;:&quot;&quot;},{&quot;family&quot;:&quot;Qin&quot;,&quot;given&quot;:&quot;Shukui&quot;,&quot;parse-names&quot;:false,&quot;dropping-particle&quot;:&quot;&quot;,&quot;non-dropping-particle&quot;:&quot;&quot;},{&quot;family&quot;:&quot;Merle&quot;,&quot;given&quot;:&quot;Philippe&quot;,&quot;parse-names&quot;:false,&quot;dropping-particle&quot;:&quot;&quot;,&quot;non-dropping-particle&quot;:&quot;&quot;},{&quot;family&quot;:&quot;Granito&quot;,&quot;given&quot;:&quot;Alessandro&quot;,&quot;parse-names&quot;:false,&quot;dropping-particle&quot;:&quot;&quot;,&quot;non-dropping-particle&quot;:&quot;&quot;},{&quot;family&quot;:&quot;Huang&quot;,&quot;given&quot;:&quot;Yi Hsiang&quot;,&quot;parse-names&quot;:false,&quot;dropping-particle&quot;:&quot;&quot;,&quot;non-dropping-particle&quot;:&quot;&quot;},{&quot;family&quot;:&quot;Bodoky&quot;,&quot;given&quot;:&quot;György&quot;,&quot;parse-names&quot;:false,&quot;dropping-particle&quot;:&quot;&quot;,&quot;non-dropping-particle&quot;:&quot;&quot;},{&quot;family&quot;:&quot;Pracht&quot;,&quot;given&quot;:&quot;Marc&quot;,&quot;parse-names&quot;:false,&quot;dropping-particle&quot;:&quot;&quot;,&quot;non-dropping-particle&quot;:&quot;&quot;},{&quot;family&quot;:&quot;Yokosuka&quot;,&quot;given&quot;:&quot;Osamu&quot;,&quot;parse-names&quot;:false,&quot;dropping-particle&quot;:&quot;&quot;,&quot;non-dropping-particle&quot;:&quot;&quot;},{&quot;family&quot;:&quot;Rosmorduc&quot;,&quot;given&quot;:&quot;Olivier&quot;,&quot;parse-names&quot;:false,&quot;dropping-particle&quot;:&quot;&quot;,&quot;non-dropping-particle&quot;:&quot;&quot;},{&quot;family&quot;:&quot;Breder&quot;,&quot;given&quot;:&quot;Valeriy&quot;,&quot;parse-names&quot;:false,&quot;dropping-particle&quot;:&quot;&quot;,&quot;non-dropping-particle&quot;:&quot;&quot;},{&quot;family&quot;:&quot;Gerolami&quot;,&quot;given&quot;:&quot;René&quot;,&quot;parse-names&quot;:false,&quot;dropping-particle&quot;:&quot;&quot;,&quot;non-dropping-particle&quot;:&quot;&quot;},{&quot;family&quot;:&quot;Masi&quot;,&quot;given&quot;:&quot;Gianluca&quot;,&quot;parse-names&quot;:false,&quot;dropping-particle&quot;:&quot;&quot;,&quot;non-dropping-particle&quot;:&quot;&quot;},{&quot;family&quot;:&quot;Ross&quot;,&quot;given&quot;:&quot;Paul J.&quot;,&quot;parse-names&quot;:false,&quot;dropping-particle&quot;:&quot;&quot;,&quot;non-dropping-particle&quot;:&quot;&quot;},{&quot;family&quot;:&quot;Song&quot;,&quot;given&quot;:&quot;Tianqiang&quot;,&quot;parse-names&quot;:false,&quot;dropping-particle&quot;:&quot;&quot;,&quot;non-dropping-particle&quot;:&quot;&quot;},{&quot;family&quot;:&quot;Bronowicki&quot;,&quot;given&quot;:&quot;Jean Pierre&quot;,&quot;parse-names&quot;:false,&quot;dropping-particle&quot;:&quot;&quot;,&quot;non-dropping-particle&quot;:&quot;&quot;},{&quot;family&quot;:&quot;Ollivier-Hourmand&quot;,&quot;given&quot;:&quot;Isabelle&quot;,&quot;parse-names&quot;:false,&quot;dropping-particle&quot;:&quot;&quot;,&quot;non-dropping-particle&quot;:&quot;&quot;},{&quot;family&quot;:&quot;Kudo&quot;,&quot;given&quot;:&quot;Masatoshi&quot;,&quot;parse-names&quot;:false,&quot;dropping-particle&quot;:&quot;&quot;,&quot;non-dropping-particle&quot;:&quot;&quot;},{&quot;family&quot;:&quot;Cheng&quot;,&quot;given&quot;:&quot;Ann Lii&quot;,&quot;parse-names&quot;:false,&quot;dropping-particle&quot;:&quot;&quot;,&quot;non-dropping-particle&quot;:&quot;&quot;},{&quot;family&quot;:&quot;Llovet&quot;,&quot;given&quot;:&quot;Josep M.&quot;,&quot;parse-names&quot;:false,&quot;dropping-particle&quot;:&quot;&quot;,&quot;non-dropping-particle&quot;:&quot;&quot;},{&quot;family&quot;:&quot;Finn&quot;,&quot;given&quot;:&quot;Richard S.&quot;,&quot;parse-names&quot;:false,&quot;dropping-particle&quot;:&quot;&quot;,&quot;non-dropping-particle&quot;:&quot;&quot;},{&quot;family&quot;:&quot;LeBerre&quot;,&quot;given&quot;:&quot;Marie Aude&quot;,&quot;parse-names&quot;:false,&quot;dropping-particle&quot;:&quot;&quot;,&quot;non-dropping-particle&quot;:&quot;&quot;},{&quot;family&quot;:&quot;Baumhauer&quot;,&quot;given&quot;:&quot;Annette&quot;,&quot;parse-names&quot;:false,&quot;dropping-particle&quot;:&quot;&quot;,&quot;non-dropping-particle&quot;:&quot;&quot;},{&quot;family&quot;:&quot;Meinhardt&quot;,&quot;given&quot;:&quot;Gerold&quot;,&quot;parse-names&quot;:false,&quot;dropping-particle&quot;:&quot;&quot;,&quot;non-dropping-particle&quot;:&quot;&quot;},{&quot;family&quot;:&quot;Han&quot;,&quot;given&quot;:&quot;Guohong&quot;,&quot;parse-names&quot;:false,&quot;dropping-particle&quot;:&quot;&quot;,&quot;non-dropping-particle&quot;:&quot;&quot;}],&quot;container-title&quot;:&quot;The Lancet&quot;,&quot;DOI&quot;:&quot;10.1016/S0140-6736(16)32453-9&quot;,&quot;ISSN&quot;:&quot;1474547X&quot;,&quot;PMID&quot;:&quot;27932229&quot;,&quot;issued&quot;:{&quot;date-parts&quot;:[[2017,1,7]]},&quot;page&quot;:&quot;56-66&quot;,&quot;abstract&quot;:&quot;Background There are no systemic treatments for patients with hepatocellular carcinoma (HCC) whose disease progresses during sorafenib treatment. We aimed to assess the efficacy and safety of regorafenib in patients with HCC who have progressed during sorafenib treatment. Methods In this randomised, double-blind, parallel-group, phase 3 trial done at 152 sites in 21 countries, adults with HCC who tolerated sorafenib (≥400 mg/day for ≥20 of last 28 days of treatment), progressed on sorafenib, and had Child-Pugh A liver function were enrolled. Participants were randomly assigned (2:1) by a computer-generated randomisation list and interactive voice response system and stratified by geographical region, Eastern Cooperative Oncology Group performance status, macrovascular invasion, extrahepatic disease, and α-fetoprotein level to best supportive care plus oral regorafenib 160 mg or placebo once daily during weeks 1–3 of each 4-week cycle. Investigators, patients, and the funder were masked to treatment assignment. The primary endpoint was overall survival (defined as time from randomisation to death due to any cause) and analysed by intention to treat. This trial is registered with ClinicalTrials.gov, number NCT01774344. Findings Between May 14, 2013, and Dec 31, 2015, 843 patients were screened, of whom 573 were enrolled and randomised (379 to regorafenib and 194 to placebo; population for efficacy analyses), and 567 initiated treatment (374 received regorafenib and 193 received placebo; population for safety analyses). Regorafenib improved overall survival with a hazard ratio of 0·63 (95% CI 0·50–0·79; one-sided p&lt;0·0001); median survival was 10·6 months (95% CI 9·1–12·1) for regorafenib versus 7·8 months (6·3–8·8) for placebo. Adverse events were reported in all regorafenib recipients (374 [100%] of 374) and 179 (93%) of 193 placebo recipients. The most common clinically relevant grade 3 or 4 treatment-emergent events were hypertension (57 patients [15%] in the regorafenib group vs nine patients [5%] in the placebo group), hand–foot skin reaction (47 patients [13%] vs one [1%]), fatigue (34 patients [9%] vs nine patients [5%]), and diarrhoea (12 patients [3%] vs no patients). Of the 88 deaths (grade 5 adverse events) reported during the study (50 patients [13%] assigned to regorafenib and 38 [20%] assigned to placebo), seven (2%) were considered by the investigator to be related to study drug in the regorafenib group and two (1%) in the placebo group, including two patients (1%) with hepatic failure in the placebo group. Interpretation Regorafenib is the only systemic treatment shown to provide survival benefit in HCC patients progressing on sorafenib treatment. Future trials should explore combinations of regorafenib with other systemic agents and third-line treatments for patients who fail or who do not tolerate the sequence of sorafenib and regorafenib. Funding Bayer.&quot;,&quot;publisher&quot;:&quot;Lancet Publishing Group&quot;,&quot;issue&quot;:&quot;10064&quot;,&quot;volume&quot;:&quot;389&quot;,&quot;container-title-short&quot;:&quot;&quot;},&quot;isTemporary&quot;:false},{&quot;id&quot;:&quot;8263c2b5-5397-3eec-80e1-352920fe967b&quot;,&quot;itemData&quot;:{&quot;type&quot;:&quot;article-journal&quot;,&quot;id&quot;:&quot;8263c2b5-5397-3eec-80e1-352920fe967b&quot;,&quot;title&quot;:&quot;Ramucirumab after sorafenib in patients with advanced hepatocellular carcinoma and increased α-fetoprotein concentrations (REACH-2): a randomised, double-blind, placebo-controlled, phase 3 trial&quot;,&quot;author&quot;:[{&quot;family&quot;:&quot;Zhu&quot;,&quot;given&quot;:&quot;Andrew X.&quot;,&quot;parse-names&quot;:false,&quot;dropping-particle&quot;:&quot;&quot;,&quot;non-dropping-particle&quot;:&quot;&quot;},{&quot;family&quot;:&quot;Kang&quot;,&quot;given&quot;:&quot;Yoon Koo&quot;,&quot;parse-names&quot;:false,&quot;dropping-particle&quot;:&quot;&quot;,&quot;non-dropping-particle&quot;:&quot;&quot;},{&quot;family&quot;:&quot;Yen&quot;,&quot;given&quot;:&quot;Chia Jui&quot;,&quot;parse-names&quot;:false,&quot;dropping-particle&quot;:&quot;&quot;,&quot;non-dropping-particle&quot;:&quot;&quot;},{&quot;family&quot;:&quot;Finn&quot;,&quot;given&quot;:&quot;Richard S.&quot;,&quot;parse-names&quot;:false,&quot;dropping-particle&quot;:&quot;&quot;,&quot;non-dropping-particle&quot;:&quot;&quot;},{&quot;family&quot;:&quot;Galle&quot;,&quot;given&quot;:&quot;Peter R.&quot;,&quot;parse-names&quot;:false,&quot;dropping-particle&quot;:&quot;&quot;,&quot;non-dropping-particle&quot;:&quot;&quot;},{&quot;family&quot;:&quot;Llovet&quot;,&quot;given&quot;:&quot;Josep M.&quot;,&quot;parse-names&quot;:false,&quot;dropping-particle&quot;:&quot;&quot;,&quot;non-dropping-particle&quot;:&quot;&quot;},{&quot;family&quot;:&quot;Assenat&quot;,&quot;given&quot;:&quot;Eric&quot;,&quot;parse-names&quot;:false,&quot;dropping-particle&quot;:&quot;&quot;,&quot;non-dropping-particle&quot;:&quot;&quot;},{&quot;family&quot;:&quot;Brandi&quot;,&quot;given&quot;:&quot;Giovanni&quot;,&quot;parse-names&quot;:false,&quot;dropping-particle&quot;:&quot;&quot;,&quot;non-dropping-particle&quot;:&quot;&quot;},{&quot;family&quot;:&quot;Pracht&quot;,&quot;given&quot;:&quot;Marc&quot;,&quot;parse-names&quot;:false,&quot;dropping-particle&quot;:&quot;&quot;,&quot;non-dropping-particle&quot;:&quot;&quot;},{&quot;family&quot;:&quot;Lim&quot;,&quot;given&quot;:&quot;Ho Yeong&quot;,&quot;parse-names&quot;:false,&quot;dropping-particle&quot;:&quot;&quot;,&quot;non-dropping-particle&quot;:&quot;&quot;},{&quot;family&quot;:&quot;Rau&quot;,&quot;given&quot;:&quot;Kun Ming&quot;,&quot;parse-names&quot;:false,&quot;dropping-particle&quot;:&quot;&quot;,&quot;non-dropping-particle&quot;:&quot;&quot;},{&quot;family&quot;:&quot;Motomura&quot;,&quot;given&quot;:&quot;Kenta&quot;,&quot;parse-names&quot;:false,&quot;dropping-particle&quot;:&quot;&quot;,&quot;non-dropping-particle&quot;:&quot;&quot;},{&quot;family&quot;:&quot;Ohno&quot;,&quot;given&quot;:&quot;Izumi&quot;,&quot;parse-names&quot;:false,&quot;dropping-particle&quot;:&quot;&quot;,&quot;non-dropping-particle&quot;:&quot;&quot;},{&quot;family&quot;:&quot;Merle&quot;,&quot;given&quot;:&quot;Philippe&quot;,&quot;parse-names&quot;:false,&quot;dropping-particle&quot;:&quot;&quot;,&quot;non-dropping-particle&quot;:&quot;&quot;},{&quot;family&quot;:&quot;Daniele&quot;,&quot;given&quot;:&quot;Bruno&quot;,&quot;parse-names&quot;:false,&quot;dropping-particle&quot;:&quot;&quot;,&quot;non-dropping-particle&quot;:&quot;&quot;},{&quot;family&quot;:&quot;Shin&quot;,&quot;given&quot;:&quot;Dong Bok&quot;,&quot;parse-names&quot;:false,&quot;dropping-particle&quot;:&quot;&quot;,&quot;non-dropping-particle&quot;:&quot;&quot;},{&quot;family&quot;:&quot;Gerken&quot;,&quot;given&quot;:&quot;Guido&quot;,&quot;parse-names&quot;:false,&quot;dropping-particle&quot;:&quot;&quot;,&quot;non-dropping-particle&quot;:&quot;&quot;},{&quot;family&quot;:&quot;Borg&quot;,&quot;given&quot;:&quot;Christophe&quot;,&quot;parse-names&quot;:false,&quot;dropping-particle&quot;:&quot;&quot;,&quot;non-dropping-particle&quot;:&quot;&quot;},{&quot;family&quot;:&quot;Hiriart&quot;,&quot;given&quot;:&quot;Jean Baptiste&quot;,&quot;parse-names&quot;:false,&quot;dropping-particle&quot;:&quot;&quot;,&quot;non-dropping-particle&quot;:&quot;&quot;},{&quot;family&quot;:&quot;Okusaka&quot;,&quot;given&quot;:&quot;Takuji&quot;,&quot;parse-names&quot;:false,&quot;dropping-particle&quot;:&quot;&quot;,&quot;non-dropping-particle&quot;:&quot;&quot;},{&quot;family&quot;:&quot;Morimoto&quot;,&quot;given&quot;:&quot;Manabu&quot;,&quot;parse-names&quot;:false,&quot;dropping-particle&quot;:&quot;&quot;,&quot;non-dropping-particle&quot;:&quot;&quot;},{&quot;family&quot;:&quot;Hsu&quot;,&quot;given&quot;:&quot;Yanzhi&quot;,&quot;parse-names&quot;:false,&quot;dropping-particle&quot;:&quot;&quot;,&quot;non-dropping-particle&quot;:&quot;&quot;},{&quot;family&quot;:&quot;Abada&quot;,&quot;given&quot;:&quot;Paolo B.&quot;,&quot;parse-names&quot;:false,&quot;dropping-particle&quot;:&quot;&quot;,&quot;non-dropping-particle&quot;:&quot;&quot;},{&quot;family&quot;:&quot;Kudo&quot;,&quot;given&quot;:&quot;Masatoshi&quot;,&quot;parse-names&quot;:false,&quot;dropping-particle&quot;:&quot;&quot;,&quot;non-dropping-particle&quot;:&quot;&quot;}],&quot;container-title&quot;:&quot;The Lancet Oncology&quot;,&quot;container-title-short&quot;:&quot;Lancet Oncol.&quot;,&quot;DOI&quot;:&quot;10.1016/S1470-2045(18)30937-9&quot;,&quot;ISSN&quot;:&quot;14745488&quot;,&quot;PMID&quot;:&quot;30665869&quot;,&quot;issued&quot;:{&quot;date-parts&quot;:[[2019,2,1]]},&quot;page&quot;:&quot;282-296&quot;,&quot;abstract&quot;:&quot;Background: Patients with advanced hepatocellular carcinoma and increased α-fetoprotein concentrations have poor prognosis. We aimed to establish the efficacy of ramucirumab in patients with advanced hepatocellular carcinoma and α-fetoprotein concentrations of 400 ng/mL or higher. Methods: REACH-2 was a randomised, double-blind, placebo-controlled, phase 3 trial done at 92 hospitals, clinics, and medical centres in 20 countries. Eligible patients were aged 18 years or older and had histologically or cytologically confirmed hepatocellular carcinoma, or diagnosed cirrhosis and hepatocellular carcinoma, Barcelona Clinic Liver Cancer stage B or C disease, Child-Pugh class A liver disease, Eastern Cooperative Oncology Group (ECOG) performance statuses of 0 or 1, α-fetoprotein concentrations of 400 ng/mL or greater, and had previously received first-line sorafenib. Participants were randomly assigned (2:1) via an interactive web response system with a computer-generated random sequence to 8 mg/kg intravenous ramucirumab every 2 weeks or placebo. All patients received best supportive care. The primary endpoint was overall survival. Secondary endpoints were progression-free survival, proportion of patients achieving an objective response, time to radiographic progression, safety, time to deterioration in scores on the Functional Assessment of Cancer Therapy Hepatobiliary Symptom Index 8 (FHSI-8), and time to deterioration in ECOG performance status. We also pooled individual patient data from REACH-2 with data from REACH (NCT01140347) for patients with α-fetoprotein concentrations of 400 ng/mL or greater. Efficacy analyses were by intention to treat, whereas safety analyses were done in all patients who received at least one dose of study drug. This trial is registered with ClinicalTrials.gov, number NCT02435433. Findings: Between July 26, 2015, and Aug 30, 2017, 292 patients were randomly assigned, 197 to the ramucirumab group and 95 to the placebo group. At a median follow-up of 7·6 months (IQR 4·0–12·5), median overall survival (8·5 months [95% CI 7·0–10·6] vs 7·3 months [5·4–9·1]; hazard ratio [HR] 0·710 [95% CI 0·531–0·949]; p=0·0199) and progression-free survival (2·8 months [2·8–4·1] vs 1·6 months [1·5–2·7]; 0·452 [0·339–0·603]; p&lt;0·0001) were significantly improved in the ramucirumab group compared with the placebo group. The proportion of patients with an objective response did not differ significantly between groups (nine [5%] of 197 vs one [1%] of 95; p=0·1697). Median time to deterioration in FHSI-8 total scores (3·7 months [95% CI 2·8–4·4] vs 2·8 months [1·6–2·9]; HR 0·799 [95% CI 0·545–1·171]; p=0·238) and ECOG performance statuses (HR 1·082 [95% CI 0·639–1·832]; p=0·77) did not differ between groups. Grade 3 or worse treatment-emergent adverse events that occurred in at least 5% of patients in either group were hypertension (25 [13%] in the ramucirumab group vs five [5%] in the placebo group), hyponatraemia (11 [6%] vs 0) and increased aspartate aminotransferase (six [3%] vs five [5%]). Serious adverse events of any grade and cause occurred in 68 (35%) patients in the ramucirumab group and 28 (29%) patients in the placebo group. Three patients in the ramucirumab group died from treatment-emergent adverse events that were judged to be related to study treatment (one had acute kidney injury, one had hepatorenal syndrome, and one had renal failure). Interpretation: REACH-2 met its primary endpoint, showing improved overall survival for ramucirumab compared with placebo in patients with hepatocellular carcinoma and α-fetoprotein concentrations of at least 400 ng/mL who had previously received sorafenib. Ramucirumab was well tolerated, with a manageable safety profile. To our knowledge, REACH-2 is the first positive phase 3 trial done in a biomarker-selected patient population with hepatocellular carcinoma. Funding: Eli Lilly.&quot;,&quot;publisher&quot;:&quot;Lancet Publishing Group&quot;,&quot;issue&quot;:&quot;2&quot;,&quot;volume&quot;:&quot;20&quot;},&quot;isTemporary&quot;:false},{&quot;id&quot;:&quot;ebfb164d-866a-3629-a249-1604827c9418&quot;,&quot;itemData&quot;:{&quot;type&quot;:&quot;article-journal&quot;,&quot;id&quot;:&quot;ebfb164d-866a-3629-a249-1604827c9418&quot;,&quot;title&quot;:&quot;Cabozantinib in Patients with Advanced and Progressing Hepatocellular Carcinoma&quot;,&quot;author&quot;:[{&quot;family&quot;:&quot;Abou-Alfa&quot;,&quot;given&quot;:&quot;Ghassan K.&quot;,&quot;parse-names&quot;:false,&quot;dropping-particle&quot;:&quot;&quot;,&quot;non-dropping-particle&quot;:&quot;&quot;},{&quot;family&quot;:&quot;Meyer&quot;,&quot;given&quot;:&quot;Tim&quot;,&quot;parse-names&quot;:false,&quot;dropping-particle&quot;:&quot;&quot;,&quot;non-dropping-particle&quot;:&quot;&quot;},{&quot;family&quot;:&quot;Cheng&quot;,&quot;given&quot;:&quot;Ann-Lii&quot;,&quot;parse-names&quot;:false,&quot;dropping-particle&quot;:&quot;&quot;,&quot;non-dropping-particle&quot;:&quot;&quot;},{&quot;family&quot;:&quot;El-Khoueiry&quot;,&quot;given&quot;:&quot;Anthony B.&quot;,&quot;parse-names&quot;:false,&quot;dropping-particle&quot;:&quot;&quot;,&quot;non-dropping-particle&quot;:&quot;&quot;},{&quot;family&quot;:&quot;Rimassa&quot;,&quot;given&quot;:&quot;Lorenza&quot;,&quot;parse-names&quot;:false,&quot;dropping-particle&quot;:&quot;&quot;,&quot;non-dropping-particle&quot;:&quot;&quot;},{&quot;family&quot;:&quot;Ryoo&quot;,&quot;given&quot;:&quot;Baek-Yeol&quot;,&quot;parse-names&quot;:false,&quot;dropping-particle&quot;:&quot;&quot;,&quot;non-dropping-particle&quot;:&quot;&quot;},{&quot;family&quot;:&quot;Cicin&quot;,&quot;given&quot;:&quot;Irfan&quot;,&quot;parse-names&quot;:false,&quot;dropping-particle&quot;:&quot;&quot;,&quot;non-dropping-particle&quot;:&quot;&quot;},{&quot;family&quot;:&quot;Merle&quot;,&quot;given&quot;:&quot;Philippe&quot;,&quot;parse-names&quot;:false,&quot;dropping-particle&quot;:&quot;&quot;,&quot;non-dropping-particle&quot;:&quot;&quot;},{&quot;family&quot;:&quot;Chen&quot;,&quot;given&quot;:&quot;YenHsun&quot;,&quot;parse-names&quot;:false,&quot;dropping-particle&quot;:&quot;&quot;,&quot;non-dropping-particle&quot;:&quot;&quot;},{&quot;family&quot;:&quot;Park&quot;,&quot;given&quot;:&quot;Joong-Won&quot;,&quot;parse-names&quot;:false,&quot;dropping-particle&quot;:&quot;&quot;,&quot;non-dropping-particle&quot;:&quot;&quot;},{&quot;family&quot;:&quot;Blanc&quot;,&quot;given&quot;:&quot;Jean-Frederic&quot;,&quot;parse-names&quot;:false,&quot;dropping-particle&quot;:&quot;&quot;,&quot;non-dropping-particle&quot;:&quot;&quot;},{&quot;family&quot;:&quot;Bolondi&quot;,&quot;given&quot;:&quot;Luigi&quot;,&quot;parse-names&quot;:false,&quot;dropping-particle&quot;:&quot;&quot;,&quot;non-dropping-particle&quot;:&quot;&quot;},{&quot;family&quot;:&quot;Klümpen&quot;,&quot;given&quot;:&quot;Heinz-Josef&quot;,&quot;parse-names&quot;:false,&quot;dropping-particle&quot;:&quot;&quot;,&quot;non-dropping-particle&quot;:&quot;&quot;},{&quot;family&quot;:&quot;Chan&quot;,&quot;given&quot;:&quot;Stephen L.&quot;,&quot;parse-names&quot;:false,&quot;dropping-particle&quot;:&quot;&quot;,&quot;non-dropping-particle&quot;:&quot;&quot;},{&quot;family&quot;:&quot;Zagonel&quot;,&quot;given&quot;:&quot;Vittorina&quot;,&quot;parse-names&quot;:false,&quot;dropping-particle&quot;:&quot;&quot;,&quot;non-dropping-particle&quot;:&quot;&quot;},{&quot;family&quot;:&quot;Pressiani&quot;,&quot;given&quot;:&quot;Tiziana&quot;,&quot;parse-names&quot;:false,&quot;dropping-particle&quot;:&quot;&quot;,&quot;non-dropping-particle&quot;:&quot;&quot;},{&quot;family&quot;:&quot;Ryu&quot;,&quot;given&quot;:&quot;Min-Hee&quot;,&quot;parse-names&quot;:false,&quot;dropping-particle&quot;:&quot;&quot;,&quot;non-dropping-particle&quot;:&quot;&quot;},{&quot;family&quot;:&quot;Venook&quot;,&quot;given&quot;:&quot;Alan P.&quot;,&quot;parse-names&quot;:false,&quot;dropping-particle&quot;:&quot;&quot;,&quot;non-dropping-particle&quot;:&quot;&quot;},{&quot;family&quot;:&quot;Hessel&quot;,&quot;given&quot;:&quot;Colin&quot;,&quot;parse-names&quot;:false,&quot;dropping-particle&quot;:&quot;&quot;,&quot;non-dropping-particle&quot;:&quot;&quot;},{&quot;family&quot;:&quot;Borgman-Hagey&quot;,&quot;given&quot;:&quot;Anne E.&quot;,&quot;parse-names&quot;:false,&quot;dropping-particle&quot;:&quot;&quot;,&quot;non-dropping-particle&quot;:&quot;&quot;},{&quot;family&quot;:&quot;Schwab&quot;,&quot;given&quot;:&quot;Gisela&quot;,&quot;parse-names&quot;:false,&quot;dropping-particle&quot;:&quot;&quot;,&quot;non-dropping-particle&quot;:&quot;&quot;},{&quot;family&quot;:&quot;Kelley&quot;,&quot;given&quot;:&quot;Robin K.&quot;,&quot;parse-names&quot;:false,&quot;dropping-particle&quot;:&quot;&quot;,&quot;non-dropping-particle&quot;:&quot;&quot;}],&quot;container-title&quot;:&quot;New England Journal of Medicine&quot;,&quot;DOI&quot;:&quot;10.1056/NEJMoa1717002&quot;,&quot;ISSN&quot;:&quot;0028-4793&quot;,&quot;URL&quot;:&quot;http://www.nejm.org/doi/10.1056/NEJMoa1717002&quot;,&quot;issued&quot;:{&quot;date-parts&quot;:[[2018,7,5]]},&quot;page&quot;:&quot;54-63&quot;,&quot;abstract&quot;:&quot;BACKGROUND Cabozantinib inhibits tyrosine kinases, including vascular endothelial growth factor receptors 1, 2, and 3, MET, and AXL, which are implicated in the progression of hepatocellular carcinoma and the development of resistance to sorafenib, the standard initial treatment for advanced disease. This randomized, double-blind, phase 3 trial evaluated cabozantinib as compared with placebo in previously treated patients with advanced hepatocellular carcinoma. METHODS A total of 707 patients were randomly assigned in a 2:1 ratio to receive cabozantinib (60 mg once daily) or matching placebo. Eligible patients had received previous treatment with sorafenib, had disease progression after at least one systemic treatment for hepatocellular carcinoma, and may have received up to two previous systemic regimens for advanced hepatocellular carcinoma. The primary end point was overall survival. Secondary end points were progression-free survival and the objective response rate. RESULTS At the second planned interim analysis, the trial showed significantly longer overall survival with cabozantinib than with placebo. Median overall survival was 10.2 months with cabozantinib and 8.0 months with placebo (hazard ratio for death, 0.76; 95% confidence interval [CI], 0.63 to 0.92; P=0.005). Median progression-free survival was 5.2 months with cabozantinib and 1.9 months with placebo (hazard ratio for disease progression or death, 0.44; 95% CI, 0.36 to 0.52; P&lt;0.001), and the objective response rates were 4% and less than 1%, respectively (P=0.009). Grade 3 or 4 adverse events occurred in 68% of patients in the cabozantinib group and in 36% in the placebo group. The most common high-grade events were palmar-plantar erythrodysesthesia (17% with cabozantinib vs. 0% with placebo), hypertension (16% vs. 2%), increased aspartate aminotransferase level (12% vs. 7%), fatigue (10% vs. 4%), and diarrhea (10% vs. 2%). CONCLUSIONS Among patients with previously treated advanced hepatocellular carcinoma, treatment with cabozantinib resulted in longer overall survival and progression-free survival than placebo. The rate of high-grade adverse events in the cabozantinib group was approximately twice that observed in the placebo group. (Funded by Exelixis; CELESTIAL ClinicalTrials.gov number, NCT01908426 .).&quot;,&quot;publisher&quot;:&quot;Massachusetts Medical Society&quot;,&quot;issue&quot;:&quot;1&quot;,&quot;volume&quot;:&quot;379&quot;},&quot;isTemporary&quot;:false}]},{&quot;citationID&quot;:&quot;MENDELEY_CITATION_09a11081-82da-429e-a401-93d19abcf93e&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&quot;,&quot;citationItems&quot;:[{&quot;id&quot;:&quot;7967c682-2224-301f-af19-0cf86e72749f&quot;,&quot;itemData&quot;:{&quot;type&quot;:&quot;article-journal&quot;,&quot;id&quot;:&quot;7967c682-2224-301f-af19-0cf86e72749f&quot;,&quot;title&quot;:&quot;Multicenter single-arm phase II trial of lenvatinib in patients with advanced hepatocellular carcinoma after progression on first-line atezolizumab plus bevacizumab&quot;,&quot;author&quot;:[{&quot;family&quot;:&quot;Kim&quot;,&quot;given&quot;:&quot;Hyung Don&quot;,&quot;parse-names&quot;:false,&quot;dropping-particle&quot;:&quot;&quot;,&quot;non-dropping-particle&quot;:&quot;&quot;},{&quot;family&quot;:&quot;Sym&quot;,&quot;given&quot;:&quot;Sun Jin&quot;,&quot;parse-names&quot;:false,&quot;dropping-particle&quot;:&quot;&quot;,&quot;non-dropping-particle&quot;:&quot;&quot;},{&quot;family&quot;:&quot;Chon&quot;,&quot;given&quot;:&quot;Hong Jae&quot;,&quot;parse-names&quot;:false,&quot;dropping-particle&quot;:&quot;&quot;,&quot;non-dropping-particle&quot;:&quot;&quot;},{&quot;family&quot;:&quot;Kim&quot;,&quot;given&quot;:&quot;Moonho&quot;,&quot;parse-names&quot;:false,&quot;dropping-particle&quot;:&quot;&quot;,&quot;non-dropping-particle&quot;:&quot;&quot;},{&quot;family&quot;:&quot;Kang&quot;,&quot;given&quot;:&quot;Jung Hun&quot;,&quot;parse-names&quot;:false,&quot;dropping-particle&quot;:&quot;&quot;,&quot;non-dropping-particle&quot;:&quot;&quot;},{&quot;family&quot;:&quot;Ryoo&quot;,&quot;given&quot;:&quot;Baek Yeol&quot;,&quot;parse-names&quot;:false,&quot;dropping-particle&quot;:&quot;&quot;,&quot;non-dropping-particle&quot;:&quot;&quot;},{&quot;family&quot;:&quot;Lee&quot;,&quot;given&quot;:&quot;Choong kun&quot;,&quot;parse-names&quot;:false,&quot;dropping-particle&quot;:&quot;&quot;,&quot;non-dropping-particle&quot;:&quot;&quot;},{&quot;family&quot;:&quot;Hong&quot;,&quot;given&quot;:&quot;Joohyun&quot;,&quot;parse-names&quot;:false,&quot;dropping-particle&quot;:&quot;&quot;,&quot;non-dropping-particle&quot;:&quot;&quot;},{&quot;family&quot;:&quot;Ryu&quot;,&quot;given&quot;:&quot;Hyewon&quot;,&quot;parse-names&quot;:false,&quot;dropping-particle&quot;:&quot;&quot;,&quot;non-dropping-particle&quot;:&quot;&quot;},{&quot;family&quot;:&quot;Bae&quot;,&quot;given&quot;:&quot;Woo Kyun&quot;,&quot;parse-names&quot;:false,&quot;dropping-particle&quot;:&quot;&quot;,&quot;non-dropping-particle&quot;:&quot;&quot;},{&quot;family&quot;:&quot;Kim&quot;,&quot;given&quot;:&quot;Hyeyeong&quot;,&quot;parse-names&quot;:false,&quot;dropping-particle&quot;:&quot;&quot;,&quot;non-dropping-particle&quot;:&quot;&quot;},{&quot;family&quot;:&quot;Kim&quot;,&quot;given&quot;:&quot;Hyunho&quot;,&quot;parse-names&quot;:false,&quot;dropping-particle&quot;:&quot;&quot;,&quot;non-dropping-particle&quot;:&quot;&quot;},{&quot;family&quot;:&quot;Kim&quot;,&quot;given&quot;:&quot;Jin Won&quot;,&quot;parse-names&quot;:false,&quot;dropping-particle&quot;:&quot;&quot;,&quot;non-dropping-particle&quot;:&quot;&quot;},{&quot;family&quot;:&quot;Kim&quot;,&quot;given&quot;:&quot;Tae Yong&quot;,&quot;parse-names&quot;:false,&quot;dropping-particle&quot;:&quot;&quot;,&quot;non-dropping-particle&quot;:&quot;&quot;},{&quot;family&quot;:&quot;Yoo&quot;,&quot;given&quot;:&quot;Changhoon&quot;,&quot;parse-names&quot;:false,&quot;dropping-particle&quot;:&quot;&quot;,&quot;non-dropping-particle&quot;:&quot;&quot;}],&quot;container-title&quot;:&quot;Journal of Hepatology&quot;,&quot;container-title-short&quot;:&quot;J. Hepatol.&quot;,&quot;DOI&quot;:&quot;10.1016/j.jhep.2025.08.020&quot;,&quot;ISSN&quot;:&quot;16000641&quot;,&quot;PMID&quot;:&quot;41038766&quot;,&quot;issued&quot;:{&quot;date-parts&quot;:[[2026,2,1]]},&quot;page&quot;:&quot;308-315&quot;,&quot;abstract&quot;:&quot;Background &amp; Aims Atezolizumab plus bevacizumab (atezo-bev) is the global standard first-line therapy for unresectable hepatocellular carcinoma (uHCC). However, most patients eventually experience disease progression and optimal second-line strategies after atezo-bev failure remain unclear. Prospective evidence supporting multikinase inhibitors in this context is limited. Methods This investigator-initiated, multicenter, single-arm study (KCSG HB23-04) enrolled 50 patients with uHCC who progressed after first-line atezo-bev across 13 sites between August 2023 and May 2024. Patients received second-line lenvatinib at 12 mg or 8 mg daily, depending on body weight, until disease progression or unacceptable toxicity. The primary endpoint was progression-free survival. Secondary endpoints were overall survival, objective response rate, disease control rate, duration of response, and safety. Results Of the 50 patients enrolled, the median age was 66 years, and 72% had a viral etiology. The median time to progression with atezo-bev was 6.5 months. During a median follow-up of 12.6 months, the median progression-free survival was 5.4 months (95% CI 4.2–7.1) (&gt;4.5 months), meeting the prespecified primary endpoint. Median overall survival was 9.8 months (95% CI 8.1–NR). The objective response rate was 14.0%, and the disease control rate was 82.0%. The median duration of response was 9.4 months. Survival outcomes were different according to the objective response with lenvatinib, but not by time to progression on atezo-bev or HCC etiology. The most common adverse events were diarrhea (42.0%), hypothyroidism (32.0%), and anorexia (30.0%). Grade ≥3 adverse events occurred in 46.0% of patients. Conclusions Lenvatinib demonstrated promising efficacy and a manageable safety profile as a second-line treatment for patients with HCC progressing on atezo-bev. These findings offer prospective evidence supporting lenvatinib as a viable treatment option in the post-atezo-bev context. Impact and implications This study provides the first prospective evidence for the use of lenvatinib as a second-line therapy for patients with unresectable hepatocellular carcinoma who have progressed after first-line atezo-bev treatment. The findings highlight the potential of lenvatinib as a viable therapeutic option in a clinical setting where few alternatives are available. The results are particularly important for healthcare professionals managing unresectable hepatocellular carcinoma, as they provide a robust framework for considering lenvatinib in second-line treatment protocols. Given the manageable safety profile, these findings could be translated into practical recommendations for clinical practice, offering physicians a treatment strategy to improve patient outcomes following atezo-bev failure while guiding future research into combination therapies and broader patient populations. Clinical trial number NCT06138769.&quot;,&quot;publisher&quot;:&quot;Elsevier B.V.&quot;,&quot;issue&quot;:&quot;2&quot;,&quot;volume&quot;:&quot;84&quot;},&quot;isTemporary&quot;:false}]},{&quot;citationID&quot;:&quot;MENDELEY_CITATION_f1dc967d-7f8e-43fc-a899-0c4800d99d5e&quot;,&quot;properties&quot;:{&quot;noteIndex&quot;:0},&quot;isEdited&quot;:false,&quot;manualOverride&quot;:{&quot;isManuallyOverridden&quot;:false,&quot;citeprocText&quot;:&quot;&lt;sup&gt;12,13&lt;/sup&gt;&quot;,&quot;manualOverrideText&quot;:&quot;&quot;},&quot;citationItems&quot;:[{&quot;id&quot;:&quot;b4930355-0820-3748-b935-aee54b03c11e&quot;,&quot;itemData&quot;:{&quot;type&quot;:&quot;article-journal&quot;,&quot;id&quot;:&quot;b4930355-0820-3748-b935-aee54b03c11e&quot;,&quot;title&quot;:&quot;Treatment Outcomes of Tyrosine Kinase Inhibitors and Durvalumab Plus Tremelimumab After Atezolizumab Plus Bevacizumab for Hepatocellular Carcinoma&quot;,&quot;author&quot;:[{&quot;family&quot;:&quot;Ishihara&quot;,&quot;given&quot;:&quot;Nobuaki&quot;,&quot;parse-names&quot;:false,&quot;dropping-particle&quot;:&quot;&quot;,&quot;non-dropping-particle&quot;:&quot;&quot;},{&quot;family&quot;:&quot;Komatsu&quot;,&quot;given&quot;:&quot;Shohei&quot;,&quot;parse-names&quot;:false,&quot;dropping-particle&quot;:&quot;&quot;,&quot;non-dropping-particle&quot;:&quot;&quot;},{&quot;family&quot;:&quot;Yano&quot;,&quot;given&quot;:&quot;Yoshihiko&quot;,&quot;parse-names&quot;:false,&quot;dropping-particle&quot;:&quot;&quot;,&quot;non-dropping-particle&quot;:&quot;&quot;},{&quot;family&quot;:&quot;Fujishima&quot;,&quot;given&quot;:&quot;Yoshimi&quot;,&quot;parse-names&quot;:false,&quot;dropping-particle&quot;:&quot;&quot;,&quot;non-dropping-particle&quot;:&quot;&quot;},{&quot;family&quot;:&quot;Ishida&quot;,&quot;given&quot;:&quot;Jun&quot;,&quot;parse-names&quot;:false,&quot;dropping-particle&quot;:&quot;&quot;,&quot;non-dropping-particle&quot;:&quot;&quot;},{&quot;family&quot;:&quot;Kido&quot;,&quot;given&quot;:&quot;Masahiro&quot;,&quot;parse-names&quot;:false,&quot;dropping-particle&quot;:&quot;&quot;,&quot;non-dropping-particle&quot;:&quot;&quot;},{&quot;family&quot;:&quot;Hidetoshi&quot;,&quot;given&quot;:&quot;G. O.N.&quot;,&quot;parse-names&quot;:false,&quot;dropping-particle&quot;:&quot;&quot;,&quot;non-dropping-particle&quot;:&quot;&quot;},{&quot;family&quot;:&quot;Fukushima&quot;,&quot;given&quot;:&quot;Kenji&quot;,&quot;parse-names&quot;:false,&quot;dropping-particle&quot;:&quot;&quot;,&quot;non-dropping-particle&quot;:&quot;&quot;},{&quot;family&quot;:&quot;Urade&quot;,&quot;given&quot;:&quot;Takeshi&quot;,&quot;parse-names&quot;:false,&quot;dropping-particle&quot;:&quot;&quot;,&quot;non-dropping-particle&quot;:&quot;&quot;},{&quot;family&quot;:&quot;Yoshida&quot;,&quot;given&quot;:&quot;Toshihiko&quot;,&quot;parse-names&quot;:false,&quot;dropping-particle&quot;:&quot;&quot;,&quot;non-dropping-particle&quot;:&quot;&quot;},{&quot;family&quot;:&quot;Kentaro&quot;,&quot;given&quot;:&quot;T. A.I.&quot;,&quot;parse-names&quot;:false,&quot;dropping-particle&quot;:&quot;&quot;,&quot;non-dropping-particle&quot;:&quot;&quot;},{&quot;family&quot;:&quot;Arai&quot;,&quot;given&quot;:&quot;Keisuke&quot;,&quot;parse-names&quot;:false,&quot;dropping-particle&quot;:&quot;&quot;,&quot;non-dropping-particle&quot;:&quot;&quot;},{&quot;family&quot;:&quot;Yanagimoto&quot;,&quot;given&quot;:&quot;Hiroaki&quot;,&quot;parse-names&quot;:false,&quot;dropping-particle&quot;:&quot;&quot;,&quot;non-dropping-particle&quot;:&quot;&quot;},{&quot;family&quot;:&quot;Toyama&quot;,&quot;given&quot;:&quot;Hirochika&quot;,&quot;parse-names&quot;:false,&quot;dropping-particle&quot;:&quot;&quot;,&quot;non-dropping-particle&quot;:&quot;&quot;},{&quot;family&quot;:&quot;Matsuura&quot;,&quot;given&quot;:&quot;Takanori&quot;,&quot;parse-names&quot;:false,&quot;dropping-particle&quot;:&quot;&quot;,&quot;non-dropping-particle&quot;:&quot;&quot;},{&quot;family&quot;:&quot;Tada&quot;,&quot;given&quot;:&quot;Toshifumi&quot;,&quot;parse-names&quot;:false,&quot;dropping-particle&quot;:&quot;&quot;,&quot;non-dropping-particle&quot;:&quot;&quot;},{&quot;family&quot;:&quot;Kodama&quot;,&quot;given&quot;:&quot;Yuzo&quot;,&quot;parse-names&quot;:false,&quot;dropping-particle&quot;:&quot;&quot;,&quot;non-dropping-particle&quot;:&quot;&quot;},{&quot;family&quot;:&quot;Fukumoto&quot;,&quot;given&quot;:&quot;Takumi&quot;,&quot;parse-names&quot;:false,&quot;dropping-particle&quot;:&quot;&quot;,&quot;non-dropping-particle&quot;:&quot;&quot;}],&quot;container-title&quot;:&quot;Anticancer Research&quot;,&quot;container-title-short&quot;:&quot;Anticancer Res.&quot;,&quot;DOI&quot;:&quot;10.21873/anticanres.17412&quot;,&quot;ISSN&quot;:&quot;17917530&quot;,&quot;PMID&quot;:&quot;39740814&quot;,&quot;issued&quot;:{&quot;date-parts&quot;:[[2025,1,1]]},&quot;page&quot;:&quot;251-260&quot;,&quot;abstract&quot;:&quot;Background/Aim: Atezolizumab plus bevacizumab (AteBev) is widely used as a first-line treatment for advanced hepatocellular carcinoma (HCC). However, evidence regarding the optimal drug sequence following AteBev treatment is limited. This study aimed to compare the treatment outcomes between tyrosine kinase inhibitors (TKIs) and durvalumab plus tremelimumab (DurTre) following AteBev treatment. Patients and Methods: Overall, 134 consecutive patients who received AteBev for advanced HCC were enrolled in this study. Treatment outcomes were retrospectively compared between TKIs (AteBev→TKI group) and DurTre (AteBev→DurTre group). Results: The AteBev→TKI and Ate→DurTre groups included 46 and 7 patients, respectively. The AteBev→TKI group had significantly longer median progression-free survival after second-line treatment (3.6 vs. 0.94 months, p&lt;0.001). The disease control rate was significantly higher in the AteBev→TKI group (p=0.020). The serum alpha-fetoprotein levels significantly decreased at one month in the AteBev→TKI group (0.909 vs. 1.435, p=0.035), whereas the albumin-bilirubin score significantly decreased at one month in the AteBev→TKI group (0.875 vs. 0.952, p=0.017). Each group reported no new.&quot;,&quot;publisher&quot;:&quot;International Institute of Anticancer Research&quot;,&quot;issue&quot;:&quot;1&quot;,&quot;volume&quot;:&quot;45&quot;},&quot;isTemporary&quot;:false},{&quot;id&quot;:&quot;140ce167-f286-3d1e-a2ec-c7b7e07f7d3d&quot;,&quot;itemData&quot;:{&quot;type&quot;:&quot;article-journal&quot;,&quot;id&quot;:&quot;140ce167-f286-3d1e-a2ec-c7b7e07f7d3d&quot;,&quot;title&quot;:&quot;Real-world efficacy and safety of durvalumab-tremelimumab as second-line systemic therapy after atezolizumab-bevacizumab in unresectable hepatocellular carcinoma&quot;,&quot;author&quot;:[{&quot;family&quot;:&quot;Miura&quot;,&quot;given&quot;:&quot;Ryoichi&quot;,&quot;parse-names&quot;:false,&quot;dropping-particle&quot;:&quot;&quot;,&quot;non-dropping-particle&quot;:&quot;&quot;},{&quot;family&quot;:&quot;Ono&quot;,&quot;given&quot;:&quot;Atsushi&quot;,&quot;parse-names&quot;:false,&quot;dropping-particle&quot;:&quot;&quot;,&quot;non-dropping-particle&quot;:&quot;&quot;},{&quot;family&quot;:&quot;Yano&quot;,&quot;given&quot;:&quot;Shigeki&quot;,&quot;parse-names&quot;:false,&quot;dropping-particle&quot;:&quot;&quot;,&quot;non-dropping-particle&quot;:&quot;&quot;},{&quot;family&quot;:&quot;Amioka&quot;,&quot;given&quot;:&quot;Kei&quot;,&quot;parse-names&quot;:false,&quot;dropping-particle&quot;:&quot;&quot;,&quot;non-dropping-particle&quot;:&quot;&quot;},{&quot;family&quot;:&quot;Naruto&quot;,&quot;given&quot;:&quot;Kensuke&quot;,&quot;parse-names&quot;:false,&quot;dropping-particle&quot;:&quot;&quot;,&quot;non-dropping-particle&quot;:&quot;&quot;},{&quot;family&quot;:&quot;Yamaoka&quot;,&quot;given&quot;:&quot;Kenji&quot;,&quot;parse-names&quot;:false,&quot;dropping-particle&quot;:&quot;&quot;,&quot;non-dropping-particle&quot;:&quot;&quot;},{&quot;family&quot;:&quot;Fujii&quot;,&quot;given&quot;:&quot;Yasutoshi&quot;,&quot;parse-names&quot;:false,&quot;dropping-particle&quot;:&quot;&quot;,&quot;non-dropping-particle&quot;:&quot;&quot;},{&quot;family&quot;:&quot;Uchikawa&quot;,&quot;given&quot;:&quot;Shinsuke&quot;,&quot;parse-names&quot;:false,&quot;dropping-particle&quot;:&quot;&quot;,&quot;non-dropping-particle&quot;:&quot;&quot;},{&quot;family&quot;:&quot;Fujino&quot;,&quot;given&quot;:&quot;Hatsue&quot;,&quot;parse-names&quot;:false,&quot;dropping-particle&quot;:&quot;&quot;,&quot;non-dropping-particle&quot;:&quot;&quot;},{&quot;family&quot;:&quot;Nakahara&quot;,&quot;given&quot;:&quot;Takashi&quot;,&quot;parse-names&quot;:false,&quot;dropping-particle&quot;:&quot;&quot;,&quot;non-dropping-particle&quot;:&quot;&quot;},{&quot;family&quot;:&quot;Murakami&quot;,&quot;given&quot;:&quot;Eisuke&quot;,&quot;parse-names&quot;:false,&quot;dropping-particle&quot;:&quot;&quot;,&quot;non-dropping-particle&quot;:&quot;&quot;},{&quot;family&quot;:&quot;Kawaoka&quot;,&quot;given&quot;:&quot;Tomokazu&quot;,&quot;parse-names&quot;:false,&quot;dropping-particle&quot;:&quot;&quot;,&quot;non-dropping-particle&quot;:&quot;&quot;},{&quot;family&quot;:&quot;Miki&quot;,&quot;given&quot;:&quot;Daiki&quot;,&quot;parse-names&quot;:false,&quot;dropping-particle&quot;:&quot;&quot;,&quot;non-dropping-particle&quot;:&quot;&quot;},{&quot;family&quot;:&quot;Tsuge&quot;,&quot;given&quot;:&quot;Masataka&quot;,&quot;parse-names&quot;:false,&quot;dropping-particle&quot;:&quot;&quot;,&quot;non-dropping-particle&quot;:&quot;&quot;},{&quot;family&quot;:&quot;Hayes&quot;,&quot;given&quot;:&quot;C. Nelson&quot;,&quot;parse-names&quot;:false,&quot;dropping-particle&quot;:&quot;&quot;,&quot;non-dropping-particle&quot;:&quot;&quot;},{&quot;family&quot;:&quot;Oka&quot;,&quot;given&quot;:&quot;Shiro&quot;,&quot;parse-names&quot;:false,&quot;dropping-particle&quot;:&quot;&quot;,&quot;non-dropping-particle&quot;:&quot;&quot;}],&quot;container-title&quot;:&quot;Medicine (United States)&quot;,&quot;DOI&quot;:&quot;10.1097/MD.0000000000039289&quot;,&quot;ISSN&quot;:&quot;15365964&quot;,&quot;PMID&quot;:&quot;39288227&quot;,&quot;issued&quot;:{&quot;date-parts&quot;:[[2024,8,23]]},&quot;page&quot;:&quot;e39289&quot;,&quot;abstract&quot;:&quot;The efficacy and safety of immune-checkpoint inhibitors (ICI) for the treatment of unresectable hepatocellular carcinoma are known. We explored ICI rechallenges with direct switching from 1 ICI regimen to another. This retrospective study included 16 patients who received atezolizumab-bevacizumab (Atezo+Bev) and durvalumab-tremelimumab (Dur+Tre) as the first-line and second-line combination therapy, respectively, at Hiroshima University Hospital. The radiological response and adverse event were evaluated in all patients. Of the 16 patients, 12 were male, and the median age at Atezo+Bev induction was 71 years. The reasons for medication changes were disease progression in 11 patients and adverse events in 5 patients. With Atezo+Bev and Dur+Tre initiation, the Barcelona-Clinic Liver-Cancer stage (A/B/C) progressed in 9/6/3 and 3/4/9 patients and the Child-Pugh classification (A/B/C) progressed in 12/4/0 and 9/6/3 patients, respectively. The disease control rate and overall response rate of Atezo+Bev were 87.5% and 58.3%, respectively, and of Dur+Tre were 62.5% and 0%, respectively. The most common immune-related adverse event in both the Atezo+Bev and Dur+Tre groups was colitis; 3 of the 5 patients with colitis on Atezo+Bev treatment had colitis with Dur+Tre, and 2 had exacerbations. Regarding liver function, ALBI score significantly decreased during Atezo+Bev, but not Dur+Tre, treatment. In patients with colitis following Atezo+Bev, subsequent Dur+Tre treatment may induce colitis recurrence or exacerbation. For immune-related adverse events other than colitis, Dur+Tre could provide relatively safe disease control while maintaining liver function.&quot;,&quot;publisher&quot;:&quot;Lippincott Williams and Wilkins&quot;,&quot;issue&quot;:&quot;34&quot;,&quot;volume&quot;:&quot;103&quot;},&quot;isTemporary&quot;:false}],&quot;citationTag&quot;:&quot;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&quot;},{&quot;citationID&quot;:&quot;MENDELEY_CITATION_6e027b7f-7354-4e72-9a6e-c16b78b22330&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&quot;,&quot;citationItems&quot;:[{&quot;id&quot;:&quot;f3ce362e-46fc-33d5-a3ae-da2803eeefba&quot;,&quot;itemData&quot;:{&quot;type&quot;:&quot;article-journal&quot;,&quot;id&quot;:&quot;f3ce362e-46fc-33d5-a3ae-da2803eeefba&quot;,&quot;title&quot;:&quot;Tremelimumab plus Durvalumab in Unresectable Hepatocellular Carcinoma&quot;,&quot;author&quot;:[{&quot;family&quot;:&quot;Abou-Alfa&quot;,&quot;given&quot;:&quot;Ghassan K.&quot;,&quot;parse-names&quot;:false,&quot;dropping-particle&quot;:&quot;&quot;,&quot;non-dropping-particle&quot;:&quot;&quot;},{&quot;family&quot;:&quot;Lau&quot;,&quot;given&quot;:&quot;George&quot;,&quot;parse-names&quot;:false,&quot;dropping-particle&quot;:&quot;&quot;,&quot;non-dropping-particle&quot;:&quot;&quot;},{&quot;family&quot;:&quot;Kudo&quot;,&quot;given&quot;:&quot;Masatoshi&quot;,&quot;parse-names&quot;:false,&quot;dropping-particle&quot;:&quot;&quot;,&quot;non-dropping-particle&quot;:&quot;&quot;},{&quot;family&quot;:&quot;Chan&quot;,&quot;given&quot;:&quot;Stephen L.&quot;,&quot;parse-names&quot;:false,&quot;dropping-particle&quot;:&quot;&quot;,&quot;non-dropping-particle&quot;:&quot;&quot;},{&quot;family&quot;:&quot;Kelley&quot;,&quot;given&quot;:&quot;Robin Kate&quot;,&quot;parse-names&quot;:false,&quot;dropping-particle&quot;:&quot;&quot;,&quot;non-dropping-particle&quot;:&quot;&quot;},{&quot;family&quot;:&quot;Furuse&quot;,&quot;given&quot;:&quot;Junji&quot;,&quot;parse-names&quot;:false,&quot;dropping-particle&quot;:&quot;&quot;,&quot;non-dropping-particle&quot;:&quot;&quot;},{&quot;family&quot;:&quot;Sukeepaisarnjaroen&quot;,&quot;given&quot;:&quot;Wattana&quot;,&quot;parse-names&quot;:false,&quot;dropping-particle&quot;:&quot;&quot;,&quot;non-dropping-particle&quot;:&quot;&quot;},{&quot;family&quot;:&quot;Kang&quot;,&quot;given&quot;:&quot;Yoon-Koo&quot;,&quot;parse-names&quot;:false,&quot;dropping-particle&quot;:&quot;&quot;,&quot;non-dropping-particle&quot;:&quot;&quot;},{&quot;family&quot;:&quot;Dao&quot;,&quot;given&quot;:&quot;Tu&quot;,&quot;parse-names&quot;:false,&quot;dropping-particle&quot;:&quot;&quot;,&quot;non-dropping-particle&quot;:&quot;Van&quot;},{&quot;family&quot;:&quot;Toni&quot;,&quot;given&quot;:&quot;Enrico N.&quot;,&quot;parse-names&quot;:false,&quot;dropping-particle&quot;:&quot;&quot;,&quot;non-dropping-particle&quot;:&quot;De&quot;},{&quot;family&quot;:&quot;Rimassa&quot;,&quot;given&quot;:&quot;Lorenza&quot;,&quot;parse-names&quot;:false,&quot;dropping-particle&quot;:&quot;&quot;,&quot;non-dropping-particle&quot;:&quot;&quot;},{&quot;family&quot;:&quot;Breder&quot;,&quot;given&quot;:&quot;Valeriy&quot;,&quot;parse-names&quot;:false,&quot;dropping-particle&quot;:&quot;&quot;,&quot;non-dropping-particle&quot;:&quot;&quot;},{&quot;family&quot;:&quot;Vasilyev&quot;,&quot;given&quot;:&quot;Alexander&quot;,&quot;parse-names&quot;:false,&quot;dropping-particle&quot;:&quot;&quot;,&quot;non-dropping-particle&quot;:&quot;&quot;},{&quot;family&quot;:&quot;Heurgué&quot;,&quot;given&quot;:&quot;Alexandra&quot;,&quot;parse-names&quot;:false,&quot;dropping-particle&quot;:&quot;&quot;,&quot;non-dropping-particle&quot;:&quot;&quot;},{&quot;family&quot;:&quot;Tam&quot;,&quot;given&quot;:&quot;Vincent C.&quot;,&quot;parse-names&quot;:false,&quot;dropping-particle&quot;:&quot;&quot;,&quot;non-dropping-particle&quot;:&quot;&quot;},{&quot;family&quot;:&quot;Mody&quot;,&quot;given&quot;:&quot;Kabir&quot;,&quot;parse-names&quot;:false,&quot;dropping-particle&quot;:&quot;&quot;,&quot;non-dropping-particle&quot;:&quot;&quot;},{&quot;family&quot;:&quot;Thungappa&quot;,&quot;given&quot;:&quot;Satheesh Chiradoni&quot;,&quot;parse-names&quot;:false,&quot;dropping-particle&quot;:&quot;&quot;,&quot;non-dropping-particle&quot;:&quot;&quot;},{&quot;family&quot;:&quot;Ostapenko&quot;,&quot;given&quot;:&quot;Yuriy&quot;,&quot;parse-names&quot;:false,&quot;dropping-particle&quot;:&quot;&quot;,&quot;non-dropping-particle&quot;:&quot;&quot;},{&quot;family&quot;:&quot;Yau&quot;,&quot;given&quot;:&quot;Thomas&quot;,&quot;parse-names&quot;:false,&quot;dropping-particle&quot;:&quot;&quot;,&quot;non-dropping-particle&quot;:&quot;&quot;},{&quot;family&quot;:&quot;Azevedo&quot;,&quot;given&quot;:&quot;Sergio&quot;,&quot;parse-names&quot;:false,&quot;dropping-particle&quot;:&quot;&quot;,&quot;non-dropping-particle&quot;:&quot;&quot;},{&quot;family&quot;:&quot;Varela&quot;,&quot;given&quot;:&quot;María&quot;,&quot;parse-names&quot;:false,&quot;dropping-particle&quot;:&quot;&quot;,&quot;non-dropping-particle&quot;:&quot;&quot;},{&quot;family&quot;:&quot;Cheng&quot;,&quot;given&quot;:&quot;Ann-Lii&quot;,&quot;parse-names&quot;:false,&quot;dropping-particle&quot;:&quot;&quot;,&quot;non-dropping-particle&quot;:&quot;&quot;},{&quot;family&quot;:&quot;Qin&quot;,&quot;given&quot;:&quot;Shukui&quot;,&quot;parse-names&quot;:false,&quot;dropping-particle&quot;:&quot;&quot;,&quot;non-dropping-particle&quot;:&quot;&quot;},{&quot;family&quot;:&quot;Galle&quot;,&quot;given&quot;:&quot;Peter R.&quot;,&quot;parse-names&quot;:false,&quot;dropping-particle&quot;:&quot;&quot;,&quot;non-dropping-particle&quot;:&quot;&quot;},{&quot;family&quot;:&quot;Ali&quot;,&quot;given&quot;:&quot;Sajid&quot;,&quot;parse-names&quot;:false,&quot;dropping-particle&quot;:&quot;&quot;,&quot;non-dropping-particle&quot;:&quot;&quot;},{&quot;family&quot;:&quot;Marcovitz&quot;,&quot;given&quot;:&quot;Michelle&quot;,&quot;parse-names&quot;:false,&quot;dropping-particle&quot;:&quot;&quot;,&quot;non-dropping-particle&quot;:&quot;&quot;},{&quot;family&quot;:&quot;Makowsky&quot;,&quot;given&quot;:&quot;Mallory&quot;,&quot;parse-names&quot;:false,&quot;dropping-particle&quot;:&quot;&quot;,&quot;non-dropping-particle&quot;:&quot;&quot;},{&quot;family&quot;:&quot;He&quot;,&quot;given&quot;:&quot;Philip&quot;,&quot;parse-names&quot;:false,&quot;dropping-particle&quot;:&quot;&quot;,&quot;non-dropping-particle&quot;:&quot;&quot;},{&quot;family&quot;:&quot;Kurland&quot;,&quot;given&quot;:&quot;John F.&quot;,&quot;parse-names&quot;:false,&quot;dropping-particle&quot;:&quot;&quot;,&quot;non-dropping-particle&quot;:&quot;&quot;},{&quot;family&quot;:&quot;Negro&quot;,&quot;given&quot;:&quot;Alejandra&quot;,&quot;parse-names&quot;:false,&quot;dropping-particle&quot;:&quot;&quot;,&quot;non-dropping-particle&quot;:&quot;&quot;},{&quot;family&quot;:&quot;Sangro&quot;,&quot;given&quot;:&quot;Bruno&quot;,&quot;parse-names&quot;:false,&quot;dropping-particle&quot;:&quot;&quot;,&quot;non-dropping-particle&quot;:&quot;&quot;}],&quot;container-title&quot;:&quot;NEJM Evidence&quot;,&quot;DOI&quot;:&quot;10.1056/evidoa2100070&quot;,&quot;ISSN&quot;:&quot;2766-5526&quot;,&quot;issued&quot;:{&quot;date-parts&quot;:[[2022,7,26]]},&quot;abstract&quot;:&quot;BACKGROUND: A single, high priming dose of tremelimumab (anti-cytotoxic T lymphocyte–associated antigen 4) plus durvalumab (anti–programmed cell death ligand-1), an infusion regimen termed STRIDE (Single Tremelimumab Regular Interval Durvalumab), showed encouraging clinical activity and safety in a phase 2 trial of unresectable hepatocellular carcinoma. METHODS: In this global, open-label, phase 3 trial, the majority of the patients we enrolled with unresectable hepatocellular carcinoma and no previous systemic treatment were randomly assigned to receive one of three regimens: tremelimumab (300 mg, one dose) plus durvalumab (1500 mg every 4 weeks; STRIDE), durvalumab (1500 mg every 4 weeks), or sorafenib (400 mg twice daily). The primary objective was overall survival for STRIDE versus sorafenib. Noninferiority for overall survival for durvalumab versus sorafenib was a secondary objective. RESULTS: In total, 1171 patients were randomly assigned to STRIDE (n=393), durvalumab (n=389), or sorafenib (n=389). The median overall survival was 16.43 months (95% confidence interval [CI], 14.16 to 19.58) with STRIDE, 16.56 months (95% CI, 14.06 to 19.12) with durvalumab, and 13.77 months (95% CI, 12.25 to 16.13) with sorafenib. Overall survival at 36 months was 30.7%, 24.7%, and 20.2%, respectively. The overall survival hazard ratio for STRIDE versus sorafenib was 0.78 (96.02% CI, 0.65 to 0.93; P=0.0035). Overall survival with durvalumab monotherapy was noninferior to sorafenib (hazard ratio, 0.86; 95.67% CI, 0.73 to 1.03; noninferiority margin, 1.08). Median progression-free survival was not significantly different among all three groups. Grade 3/4 treatment-emergent adverse events occurred for 50.5% of patients with STRIDE, 37.1% with durvalumab, and 52.4% with sorafenib. CONCLUSIONS: STRIDE significantly improved overall survival versus sorafenib. Durvalumab monotherapy was noninferior to sorafenib for patients with unresectable hepatocellular carcinoma. (Funded by AstraZeneca; ClinicalTrials.gov number, NCT03298451.)&quot;,&quot;publisher&quot;:&quot;Massachusetts Medical Society&quot;,&quot;issue&quot;:&quot;8&quot;,&quot;volume&quot;:&quot;1&quot;,&quot;container-title-short&quot;:&quot;&quot;},&quot;isTemporary&quot;:false}]},{&quot;citationID&quot;:&quot;MENDELEY_CITATION_6ef93c80-4fd3-49de-be86-e693a8eb892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&quot;,&quot;citationItems&quot;:[{&quot;id&quot;:&quot;777c1fc2-48fd-3007-a567-e292cfd511ec&quot;,&quot;itemData&quot;:{&quot;type&quot;:&quot;article-journal&quot;,&quot;id&quot;:&quot;777c1fc2-48fd-3007-a567-e292cfd511ec&quot;,&quot;title&quot;:&quot;Lenvatinib versus sorafenib in first-line treatment of patients with unresectable hepatocellular carcinoma: a randomised phase 3 non-inferiority trial&quot;,&quot;author&quot;:[{&quot;family&quot;:&quot;Kudo&quot;,&quot;given&quot;:&quot;Masatoshi&quot;,&quot;parse-names&quot;:false,&quot;dropping-particle&quot;:&quot;&quot;,&quot;non-dropping-particle&quot;:&quot;&quot;},{&quot;family&quot;:&quot;Finn&quot;,&quot;given&quot;:&quot;Richard S.&quot;,&quot;parse-names&quot;:false,&quot;dropping-particle&quot;:&quot;&quot;,&quot;non-dropping-particle&quot;:&quot;&quot;},{&quot;family&quot;:&quot;Qin&quot;,&quot;given&quot;:&quot;Shukui&quot;,&quot;parse-names&quot;:false,&quot;dropping-particle&quot;:&quot;&quot;,&quot;non-dropping-particle&quot;:&quot;&quot;},{&quot;family&quot;:&quot;Han&quot;,&quot;given&quot;:&quot;Kwang Hyub&quot;,&quot;parse-names&quot;:false,&quot;dropping-particle&quot;:&quot;&quot;,&quot;non-dropping-particle&quot;:&quot;&quot;},{&quot;family&quot;:&quot;Ikeda&quot;,&quot;given&quot;:&quot;Kenji&quot;,&quot;parse-names&quot;:false,&quot;dropping-particle&quot;:&quot;&quot;,&quot;non-dropping-particle&quot;:&quot;&quot;},{&quot;family&quot;:&quot;Piscaglia&quot;,&quot;given&quot;:&quot;Fabio&quot;,&quot;parse-names&quot;:false,&quot;dropping-particle&quot;:&quot;&quot;,&quot;non-dropping-particle&quot;:&quot;&quot;},{&quot;family&quot;:&quot;Baron&quot;,&quot;given&quot;:&quot;Ari&quot;,&quot;parse-names&quot;:false,&quot;dropping-particle&quot;:&quot;&quot;,&quot;non-dropping-particle&quot;:&quot;&quot;},{&quot;family&quot;:&quot;Park&quot;,&quot;given&quot;:&quot;Joong Won&quot;,&quot;parse-names&quot;:false,&quot;dropping-particle&quot;:&quot;&quot;,&quot;non-dropping-particle&quot;:&quot;&quot;},{&quot;family&quot;:&quot;Han&quot;,&quot;given&quot;:&quot;Guohong&quot;,&quot;parse-names&quot;:false,&quot;dropping-particle&quot;:&quot;&quot;,&quot;non-dropping-particle&quot;:&quot;&quot;},{&quot;family&quot;:&quot;Jassem&quot;,&quot;given&quot;:&quot;Jacek&quot;,&quot;parse-names&quot;:false,&quot;dropping-particle&quot;:&quot;&quot;,&quot;non-dropping-particle&quot;:&quot;&quot;},{&quot;family&quot;:&quot;Blanc&quot;,&quot;given&quot;:&quot;Jean Frederic&quot;,&quot;parse-names&quot;:false,&quot;dropping-particle&quot;:&quot;&quot;,&quot;non-dropping-particle&quot;:&quot;&quot;},{&quot;family&quot;:&quot;Vogel&quot;,&quot;given&quot;:&quot;Arndt&quot;,&quot;parse-names&quot;:false,&quot;dropping-particle&quot;:&quot;&quot;,&quot;non-dropping-particle&quot;:&quot;&quot;},{&quot;family&quot;:&quot;Komov&quot;,&quot;given&quot;:&quot;Dmitry&quot;,&quot;parse-names&quot;:false,&quot;dropping-particle&quot;:&quot;&quot;,&quot;non-dropping-particle&quot;:&quot;&quot;},{&quot;family&quot;:&quot;Evans&quot;,&quot;given&quot;:&quot;T. R.Jeffry&quot;,&quot;parse-names&quot;:false,&quot;dropping-particle&quot;:&quot;&quot;,&quot;non-dropping-particle&quot;:&quot;&quot;},{&quot;family&quot;:&quot;Lopez&quot;,&quot;given&quot;:&quot;Carlos&quot;,&quot;parse-names&quot;:false,&quot;dropping-particle&quot;:&quot;&quot;,&quot;non-dropping-particle&quot;:&quot;&quot;},{&quot;family&quot;:&quot;Dutcus&quot;,&quot;given&quot;:&quot;Corina&quot;,&quot;parse-names&quot;:false,&quot;dropping-particle&quot;:&quot;&quot;,&quot;non-dropping-particle&quot;:&quot;&quot;},{&quot;family&quot;:&quot;Guo&quot;,&quot;given&quot;:&quot;Matthew&quot;,&quot;parse-names&quot;:false,&quot;dropping-particle&quot;:&quot;&quot;,&quot;non-dropping-particle&quot;:&quot;&quot;},{&quot;family&quot;:&quot;Saito&quot;,&quot;given&quot;:&quot;Kenichi&quot;,&quot;parse-names&quot;:false,&quot;dropping-particle&quot;:&quot;&quot;,&quot;non-dropping-particle&quot;:&quot;&quot;},{&quot;family&quot;:&quot;Kraljevic&quot;,&quot;given&quot;:&quot;Silvija&quot;,&quot;parse-names&quot;:false,&quot;dropping-particle&quot;:&quot;&quot;,&quot;non-dropping-particle&quot;:&quot;&quot;},{&quot;family&quot;:&quot;Tamai&quot;,&quot;given&quot;:&quot;Toshiyuki&quot;,&quot;parse-names&quot;:false,&quot;dropping-particle&quot;:&quot;&quot;,&quot;non-dropping-particle&quot;:&quot;&quot;},{&quot;family&quot;:&quot;Ren&quot;,&quot;given&quot;:&quot;Min&quot;,&quot;parse-names&quot;:false,&quot;dropping-particle&quot;:&quot;&quot;,&quot;non-dropping-particle&quot;:&quot;&quot;},{&quot;family&quot;:&quot;Cheng&quot;,&quot;given&quot;:&quot;Ann Lii&quot;,&quot;parse-names&quot;:false,&quot;dropping-particle&quot;:&quot;&quot;,&quot;non-dropping-particle&quot;:&quot;&quot;}],&quot;container-title&quot;:&quot;The Lancet&quot;,&quot;DOI&quot;:&quot;10.1016/S0140-6736(18)30207-1&quot;,&quot;ISSN&quot;:&quot;1474547X&quot;,&quot;PMID&quot;:&quot;29433850&quot;,&quot;issued&quot;:{&quot;date-parts&quot;:[[2018,3,24]]},&quot;page&quot;:&quot;1163-1173&quot;,&quot;abstract&quot;:&quot;Background: In a phase 2 trial, lenvatinib, an inhibitor of VEGF receptors 1–3, FGF receptors 1–4, PDGF receptor α RET, and KIT, showed activity in hepatocellular carcinoma. We aimed to compare overall survival in patients treated with lenvatinib versus sorafenib as a first-line treatment for unresectable hepatocellular carcinoma. Methods: This was an open-label, phase 3, multicentre, non-inferiority trial that recruited patients with unresectable hepatocellular carcinoma, who had not received treatment for advanced disease, at 154 sites in 20 countries throughout the Asia-Pacific, European, and North American regions. Patients were randomly assigned (1:1) via an interactive voice–web response system—with region; macroscopic portal vein invasion, extrahepatic spread, or both; Eastern Cooperative Oncology Group performance status; and bodyweight as stratification factors—to receive oral lenvatinib (12 mg/day for bodyweight ≥60 kg or 8 mg/day for bodyweight &lt;60 kg) or sorafenib 400 mg twice-daily in 28-day cycles. The primary endpoint was overall survival, measured from the date of randomisation until the date of death from any cause. The efficacy analysis followed the intention-to-treat principle, and only patients who received treatment were included in the safety analysis. The non-inferiority margin was set at 1·08. The trial is registered with ClinicalTrials.gov, number NCT01761266. Findings: Between March 1, 2013 and July 30, 2015, 1492 patients were recruited. 954 eligible patients were randomly assigned to lenvatinib (n=478) or sorafenib (n=476). Median survival time for lenvatinib of 13·6 months (95% CI 12·1–14·9) was non-inferior to sorafenib (12·3 months, 10·4–13·9; hazard ratio 0·92, 95% CI 0·79–1·06), meeting criteria for non-inferiority. The most common any-grade adverse events were hypertension (201 [42%]), diarrhoea (184 [39%]), decreased appetite (162 [34%]), and decreased weight (147 [31%]) for lenvatinib, and palmar-plantar erythrodysaesthesia (249 [52%]), diarrhoea (220 [46%]), hypertension (144 [30%]), and decreased appetite (127 [27%]) for sorafenib. Interpretation: Lenvatinib was non-inferior to sorafenib in overall survival in untreated advanced hepatocellular carcinoma. The safety and tolerability profiles of lenvatinib were consistent with those previously observed. Funding: Eisai Inc.&quot;,&quot;publisher&quot;:&quot;Lancet Publishing Group&quot;,&quot;issue&quot;:&quot;10126&quot;,&quot;volume&quot;:&quot;391&quot;,&quot;container-title-short&quot;:&quot;&quot;},&quot;isTemporary&quot;:false}]},{&quot;citationID&quot;:&quot;MENDELEY_CITATION_063b78ad-0f10-455b-82eb-223ea1c31bb9&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&quot;,&quot;citationItems&quot;:[{&quot;id&quot;:&quot;ff52ba98-431d-3b95-b81d-051a8a969493&quot;,&quot;itemData&quot;:{&quot;type&quot;:&quot;article-journal&quot;,&quot;id&quot;:&quot;ff52ba98-431d-3b95-b81d-051a8a969493&quot;,&quot;title&quot;:&quot;CRAFITY score as a predictive marker for refractoriness to atezolizumab plus bevacizumab therapy in hepatocellular carcinoma: a multicenter retrospective study&quot;,&quot;author&quot;:[{&quot;family&quot;:&quot;Ueno&quot;,&quot;given&quot;:&quot;Masayuki&quot;,&quot;parse-names&quot;:false,&quot;dropping-particle&quot;:&quot;&quot;,&quot;non-dropping-particle&quot;:&quot;&quot;},{&quot;family&quot;:&quot;Takeda&quot;,&quot;given&quot;:&quot;Haruhiko&quot;,&quot;parse-names&quot;:false,&quot;dropping-particle&quot;:&quot;&quot;,&quot;non-dropping-particle&quot;:&quot;&quot;},{&quot;family&quot;:&quot;Takai&quot;,&quot;given&quot;:&quot;Atsushi&quot;,&quot;parse-names&quot;:false,&quot;dropping-particle&quot;:&quot;&quot;,&quot;non-dropping-particle&quot;:&quot;&quot;},{&quot;family&quot;:&quot;Morimura&quot;,&quot;given&quot;:&quot;Hiroki&quot;,&quot;parse-names&quot;:false,&quot;dropping-particle&quot;:&quot;&quot;,&quot;non-dropping-particle&quot;:&quot;&quot;},{&quot;family&quot;:&quot;Nishijima&quot;,&quot;given&quot;:&quot;Norihiro&quot;,&quot;parse-names&quot;:false,&quot;dropping-particle&quot;:&quot;&quot;,&quot;non-dropping-particle&quot;:&quot;&quot;},{&quot;family&quot;:&quot;Iwamoto&quot;,&quot;given&quot;:&quot;Satoru&quot;,&quot;parse-names&quot;:false,&quot;dropping-particle&quot;:&quot;&quot;,&quot;non-dropping-particle&quot;:&quot;&quot;},{&quot;family&quot;:&quot;Okuyama&quot;,&quot;given&quot;:&quot;Shunsuke&quot;,&quot;parse-names&quot;:false,&quot;dropping-particle&quot;:&quot;&quot;,&quot;non-dropping-particle&quot;:&quot;&quot;},{&quot;family&quot;:&quot;Umeda&quot;,&quot;given&quot;:&quot;Makoto&quot;,&quot;parse-names&quot;:false,&quot;dropping-particle&quot;:&quot;&quot;,&quot;non-dropping-particle&quot;:&quot;&quot;},{&quot;family&quot;:&quot;Seta&quot;,&quot;given&quot;:&quot;Takeshi&quot;,&quot;parse-names&quot;:false,&quot;dropping-particle&quot;:&quot;&quot;,&quot;non-dropping-particle&quot;:&quot;&quot;},{&quot;family&quot;:&quot;Ikeda&quot;,&quot;given&quot;:&quot;Atsuyuki&quot;,&quot;parse-names&quot;:false,&quot;dropping-particle&quot;:&quot;&quot;,&quot;non-dropping-particle&quot;:&quot;&quot;},{&quot;family&quot;:&quot;Goto&quot;,&quot;given&quot;:&quot;Tomoyuki&quot;,&quot;parse-names&quot;:false,&quot;dropping-particle&quot;:&quot;&quot;,&quot;non-dropping-particle&quot;:&quot;&quot;},{&quot;family&quot;:&quot;Miyamoto&quot;,&quot;given&quot;:&quot;Shin’ichi&quot;,&quot;parse-names&quot;:false,&quot;dropping-particle&quot;:&quot;&quot;,&quot;non-dropping-particle&quot;:&quot;&quot;},{&quot;family&quot;:&quot;Kayahara&quot;,&quot;given&quot;:&quot;Takahisa&quot;,&quot;parse-names&quot;:false,&quot;dropping-particle&quot;:&quot;&quot;,&quot;non-dropping-particle&quot;:&quot;&quot;},{&quot;family&quot;:&quot;Uenoyama&quot;,&quot;given&quot;:&quot;Yoshito&quot;,&quot;parse-names&quot;:false,&quot;dropping-particle&quot;:&quot;&quot;,&quot;non-dropping-particle&quot;:&quot;&quot;},{&quot;family&quot;:&quot;Matsumura&quot;,&quot;given&quot;:&quot;Kazuyoshi&quot;,&quot;parse-names&quot;:false,&quot;dropping-particle&quot;:&quot;&quot;,&quot;non-dropping-particle&quot;:&quot;&quot;},{&quot;family&quot;:&quot;Nakano&quot;,&quot;given&quot;:&quot;Shigeharu&quot;,&quot;parse-names&quot;:false,&quot;dropping-particle&quot;:&quot;&quot;,&quot;non-dropping-particle&quot;:&quot;&quot;},{&quot;family&quot;:&quot;Mishima&quot;,&quot;given&quot;:&quot;Masako&quot;,&quot;parse-names&quot;:false,&quot;dropping-particle&quot;:&quot;&quot;,&quot;non-dropping-particle&quot;:&quot;&quot;},{&quot;family&quot;:&quot;Inuzuka&quot;,&quot;given&quot;:&quot;Tadashi&quot;,&quot;parse-names&quot;:false,&quot;dropping-particle&quot;:&quot;&quot;,&quot;non-dropping-particle&quot;:&quot;&quot;},{&quot;family&quot;:&quot;Eso&quot;,&quot;given&quot;:&quot;Yuji&quot;,&quot;parse-names&quot;:false,&quot;dropping-particle&quot;:&quot;&quot;,&quot;non-dropping-particle&quot;:&quot;&quot;},{&quot;family&quot;:&quot;Takahashi&quot;,&quot;given&quot;:&quot;Ken&quot;,&quot;parse-names&quot;:false,&quot;dropping-particle&quot;:&quot;&quot;,&quot;non-dropping-particle&quot;:&quot;&quot;},{&quot;family&quot;:&quot;Marusawa&quot;,&quot;given&quot;:&quot;Hiroyuki&quot;,&quot;parse-names&quot;:false,&quot;dropping-particle&quot;:&quot;&quot;,&quot;non-dropping-particle&quot;:&quot;&quot;},{&quot;family&quot;:&quot;Osaki&quot;,&quot;given&quot;:&quot;Yukio&quot;,&quot;parse-names&quot;:false,&quot;dropping-particle&quot;:&quot;&quot;,&quot;non-dropping-particle&quot;:&quot;&quot;},{&quot;family&quot;:&quot;Hatano&quot;,&quot;given&quot;:&quot;Etsuro&quot;,&quot;parse-names&quot;:false,&quot;dropping-particle&quot;:&quot;&quot;,&quot;non-dropping-particle&quot;:&quot;&quot;},{&quot;family&quot;:&quot;Seno&quot;,&quot;given&quot;:&quot;Hiroshi&quot;,&quot;parse-names&quot;:false,&quot;dropping-particle&quot;:&quot;&quot;,&quot;non-dropping-particle&quot;:&quot;&quot;}],&quot;container-title&quot;:&quot;Journal of Gastroenterology&quot;,&quot;container-title-short&quot;:&quot;J. Gastroenterol.&quot;,&quot;DOI&quot;:&quot;10.1007/s00535-024-02150-7&quot;,&quot;ISSN&quot;:&quot;14355922&quot;,&quot;PMID&quot;:&quot;39432084&quot;,&quot;issued&quot;:{&quot;date-parts&quot;:[[2024,12,1]]},&quot;abstract&quot;:&quot;Background: Although atezolizumab plus bevacizumab (Atezo/Bev) therapy has been used as the preferred first-line treatment for advanced hepatocellular carcinoma (HCC), up to 26% of patients do not achieve disease control, suggesting alternative treatments might be more beneficial for such patients. We investigated key predictors for refractoriness to Atezo/Bev therapy, particularly in the first-line setting. Methods: We retrospectively analyzed 302 patients with HCC who received Atezo/Bev therapy between October 2020 and September 2022 across nine hospitals in Japan. Refractoriness was defined as best overall response (BOR) of progressive disease or stable disease and a progression-free survival (PFS) of &lt; 180 days (RECIST v1.1). Clinical benefit was defined as BOR of partial/complete response or stable disease with PFS of ≥ 180 days. Baseline characteristics and potential predictors, identified through literature review, were compared between these groups. Stratifications of overall survival (OS), and PFS were also assessed. Results: Refractoriness was observed in 126 (41.7%) patients, while 154 (51.0%) achieved clinical benefit. Due to a significant association between the treatment line and refractory rate, the subsequent analysis focused on the first-line cohort (n = 214; 72 [33.6%] patients showed refractoriness). Among 13 potential predictors, the CRP and AFP in immunotherapy (CRAFITY) score had the best predictive performance, with refractory rates of 24.6%, 44.6%, and 57.9% in CRAFITY-0, 1, and 2 patients, respectively (p &lt; 0.001). OS and PFS were also well-stratified by this scoring system. Conclusions: Approximately one-third of patients were refractory to first-line Atezo/Bev therapy. The CRAFITY score demonstrated superior performance in predicting refractoriness.&quot;,&quot;publisher&quot;:&quot;Springer&quot;},&quot;isTemporary&quot;:false},{&quot;id&quot;:&quot;c534af24-90bd-349a-b3e4-f8904ec3afd7&quot;,&quot;itemData&quot;:{&quot;type&quot;:&quot;article-journal&quot;,&quot;id&quot;:&quot;c534af24-90bd-349a-b3e4-f8904ec3afd7&quot;,&quot;title&quot;:&quot;Lenvatinib Versus Atezolizumab Plus Bevacizumab as First‐Line Treatment for Advanced Hepatocellular Carcinoma With a CRAFITY Score of 2: A Multi‐Center Retrospective Study&quot;,&quot;author&quot;:[{&quot;family&quot;:&quot;Ueno&quot;,&quot;given&quot;:&quot;Masayuki&quot;,&quot;parse-names&quot;:false,&quot;dropping-particle&quot;:&quot;&quot;,&quot;non-dropping-particle&quot;:&quot;&quot;},{&quot;family&quot;:&quot;Takeda&quot;,&quot;given&quot;:&quot;Haruhiko&quot;,&quot;parse-names&quot;:false,&quot;dropping-particle&quot;:&quot;&quot;,&quot;non-dropping-particle&quot;:&quot;&quot;},{&quot;family&quot;:&quot;Takai&quot;,&quot;given&quot;:&quot;Atsushi&quot;,&quot;parse-names&quot;:false,&quot;dropping-particle&quot;:&quot;&quot;,&quot;non-dropping-particle&quot;:&quot;&quot;},{&quot;family&quot;:&quot;Umeda&quot;,&quot;given&quot;:&quot;Makoto&quot;,&quot;parse-names&quot;:false,&quot;dropping-particle&quot;:&quot;&quot;,&quot;non-dropping-particle&quot;:&quot;&quot;},{&quot;family&quot;:&quot;Morimura&quot;,&quot;given&quot;:&quot;Hiroki&quot;,&quot;parse-names&quot;:false,&quot;dropping-particle&quot;:&quot;&quot;,&quot;non-dropping-particle&quot;:&quot;&quot;},{&quot;family&quot;:&quot;Okuyama&quot;,&quot;given&quot;:&quot;Shunsuke&quot;,&quot;parse-names&quot;:false,&quot;dropping-particle&quot;:&quot;&quot;,&quot;non-dropping-particle&quot;:&quot;&quot;},{&quot;family&quot;:&quot;Nishijima&quot;,&quot;given&quot;:&quot;Norihiro&quot;,&quot;parse-names&quot;:false,&quot;dropping-particle&quot;:&quot;&quot;,&quot;non-dropping-particle&quot;:&quot;&quot;},{&quot;family&quot;:&quot;Iwamoto&quot;,&quot;given&quot;:&quot;Satoru&quot;,&quot;parse-names&quot;:false,&quot;dropping-particle&quot;:&quot;&quot;,&quot;non-dropping-particle&quot;:&quot;&quot;},{&quot;family&quot;:&quot;Nakano&quot;,&quot;given&quot;:&quot;Shigeharu&quot;,&quot;parse-names&quot;:false,&quot;dropping-particle&quot;:&quot;&quot;,&quot;non-dropping-particle&quot;:&quot;&quot;},{&quot;family&quot;:&quot;Nagatomo&quot;,&quot;given&quot;:&quot;Shu&quot;,&quot;parse-names&quot;:false,&quot;dropping-particle&quot;:&quot;&quot;,&quot;non-dropping-particle&quot;:&quot;&quot;},{&quot;family&quot;:&quot;Seta&quot;,&quot;given&quot;:&quot;Takeshi&quot;,&quot;parse-names&quot;:false,&quot;dropping-particle&quot;:&quot;&quot;,&quot;non-dropping-particle&quot;:&quot;&quot;},{&quot;family&quot;:&quot;Goto&quot;,&quot;given&quot;:&quot;Tomoyuki&quot;,&quot;parse-names&quot;:false,&quot;dropping-particle&quot;:&quot;&quot;,&quot;non-dropping-particle&quot;:&quot;&quot;},{&quot;family&quot;:&quot;Ikeda&quot;,&quot;given&quot;:&quot;Atsuyuki&quot;,&quot;parse-names&quot;:false,&quot;dropping-particle&quot;:&quot;&quot;,&quot;non-dropping-particle&quot;:&quot;&quot;},{&quot;family&quot;:&quot;Kayahara&quot;,&quot;given&quot;:&quot;Takahisa&quot;,&quot;parse-names&quot;:false,&quot;dropping-particle&quot;:&quot;&quot;,&quot;non-dropping-particle&quot;:&quot;&quot;},{&quot;family&quot;:&quot;Miyamoto&quot;,&quot;given&quot;:&quot;Shin'ichi&quot;,&quot;parse-names&quot;:false,&quot;dropping-particle&quot;:&quot;&quot;,&quot;non-dropping-particle&quot;:&quot;&quot;},{&quot;family&quot;:&quot;Yazumi&quot;,&quot;given&quot;:&quot;Shujiro&quot;,&quot;parse-names&quot;:false,&quot;dropping-particle&quot;:&quot;&quot;,&quot;non-dropping-particle&quot;:&quot;&quot;},{&quot;family&quot;:&quot;Ueo&quot;,&quot;given&quot;:&quot;Taro&quot;,&quot;parse-names&quot;:false,&quot;dropping-particle&quot;:&quot;&quot;,&quot;non-dropping-particle&quot;:&quot;&quot;},{&quot;family&quot;:&quot;Uenoyama&quot;,&quot;given&quot;:&quot;Yoshito&quot;,&quot;parse-names&quot;:false,&quot;dropping-particle&quot;:&quot;&quot;,&quot;non-dropping-particle&quot;:&quot;&quot;},{&quot;family&quot;:&quot;Matsumura&quot;,&quot;given&quot;:&quot;Kazuyoshi&quot;,&quot;parse-names&quot;:false,&quot;dropping-particle&quot;:&quot;&quot;,&quot;non-dropping-particle&quot;:&quot;&quot;},{&quot;family&quot;:&quot;Mishima&quot;,&quot;given&quot;:&quot;Masako&quot;,&quot;parse-names&quot;:false,&quot;dropping-particle&quot;:&quot;&quot;,&quot;non-dropping-particle&quot;:&quot;&quot;},{&quot;family&quot;:&quot;Inuzuka&quot;,&quot;given&quot;:&quot;Tadashi&quot;,&quot;parse-names&quot;:false,&quot;dropping-particle&quot;:&quot;&quot;,&quot;non-dropping-particle&quot;:&quot;&quot;},{&quot;family&quot;:&quot;Eso&quot;,&quot;given&quot;:&quot;Yuji&quot;,&quot;parse-names&quot;:false,&quot;dropping-particle&quot;:&quot;&quot;,&quot;non-dropping-particle&quot;:&quot;&quot;},{&quot;family&quot;:&quot;Takahashi&quot;,&quot;given&quot;:&quot;Ken&quot;,&quot;parse-names&quot;:false,&quot;dropping-particle&quot;:&quot;&quot;,&quot;non-dropping-particle&quot;:&quot;&quot;},{&quot;family&quot;:&quot;Marusawa&quot;,&quot;given&quot;:&quot;Hiroyuki&quot;,&quot;parse-names&quot;:false,&quot;dropping-particle&quot;:&quot;&quot;,&quot;non-dropping-particle&quot;:&quot;&quot;},{&quot;family&quot;:&quot;Osaki&quot;,&quot;given&quot;:&quot;Yukio&quot;,&quot;parse-names&quot;:false,&quot;dropping-particle&quot;:&quot;&quot;,&quot;non-dropping-particle&quot;:&quot;&quot;},{&quot;family&quot;:&quot;Hatano&quot;,&quot;given&quot;:&quot;Etsuro&quot;,&quot;parse-names&quot;:false,&quot;dropping-particle&quot;:&quot;&quot;,&quot;non-dropping-particle&quot;:&quot;&quot;},{&quot;family&quot;:&quot;Seno&quot;,&quot;given&quot;:&quot;Hiroshi&quot;,&quot;parse-names&quot;:false,&quot;dropping-particle&quot;:&quot;&quot;,&quot;non-dropping-particle&quot;:&quot;&quot;}],&quot;container-title&quot;:&quot;Hepatology Research&quot;,&quot;DOI&quot;:&quot;10.1111/hepr.70040&quot;,&quot;ISSN&quot;:&quot;1386-6346&quot;,&quot;URL&quot;:&quot;https://onlinelibrary.wiley.com/doi/10.1111/hepr.70040&quot;,&quot;issued&quot;:{&quot;date-parts&quot;:[[2026,1,13]]},&quot;page&quot;:&quot;100-110&quot;,&quot;abstract&quot;:&quot;Aim: Atezolizumab plus bevacizumab (Atezo+Bev) therapy is the preferred first-line treatment for advanced hepatocellular carcinoma (HCC). However, the efficacy of Atezo+Bev is limited in patients with a CRAFITY score of 2 (C-reactive protein ≥ 1 mg/dL and alpha-fetoprotein [AFP] ≥ 100 ng/mL). This study compared the efficacy and safety of lenvatinib and Atezo+Bev in these patients. Methods: We retrospectively analyzed 774 patients treated with lenvatinib or Atezo+Bev as first-line treatment for advanced HCC between October 2020 and December 2023 across 11 hospitals in Japan. Among them, 90 patients (11.6%) had a CRAFITY score of 2. Progression-free survival (PFS), overall survival (OS), disease control rate (DCR), and safety profiles were compared. Results: Baseline characteristics were similar, except tumor size and AFP levels, which were higher in the Atezo+Bev group. Median PFS was significantly longer in the lenvatinib group compared to the Atezo+Bev group (6.0 vs. 2.3 months; hazard ratio [HR]: 0.55, 95% confidence interval [CI]: 0.32–0.95]; p = 0.032). The median OS was not significantly different between the two groups (9.8 vs. 5.2 months; HR: 0.66, 95% CI: 0.41–1.08; p = 0.101). The DCR (62.0% vs. 30.0%; p = 0.003) and the occurrence of grade ≥ 3 treatment-related adverse events (46.0% vs. 20.0%; p = 0.014) were significantly higher in the lenvatinib group than in the Atezo+Bev group. Conclusion: Lenvatinib provided a significantly longer PFS than Atezo+Bev in patients with HCC and a baseline CRAFITY score of 2, whereas OS did not significantly differ between the two groups. These findings may serve as a cornerstone for developing biomarker-based strategies in first-line treatment selection for this patient population.&quot;,&quot;publisher&quot;:&quot;John Wiley and Sons Inc&quot;,&quot;issue&quot;:&quot;1&quot;,&quot;volume&quot;:&quot;56&quot;},&quot;isTemporary&quot;:false}]}]"/>
    <we:property name="MENDELEY_CITATIONS_LOCALE_CODE" value="&quot;en-US&quot;"/>
    <we:property name="MENDELEY_CITATIONS_STYLE" value="{&quot;id&quot;:&quot;https://www.zotero.org/styles/liver-international&quot;,&quot;title&quot;:&quot;Liver International&quot;,&quot;format&quot;:&quot;numeric&quot;,&quot;defaultLocale&quot;:&quot;en-US&quot;,&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16</TotalTime>
  <Pages>5</Pages>
  <Words>657</Words>
  <Characters>3750</Characters>
  <Application>Microsoft Office Word</Application>
  <DocSecurity>0</DocSecurity>
  <Lines>31</Lines>
  <Paragraphs>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真行 上野</cp:lastModifiedBy>
  <cp:revision>9</cp:revision>
  <dcterms:created xsi:type="dcterms:W3CDTF">2026-07-25T10:49:00Z</dcterms:created>
  <dcterms:modified xsi:type="dcterms:W3CDTF">2026-09-10T08:54:00Z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8</vt:lpwstr>
  </property>
  <property fmtid="{D5CDD505-2E9C-101B-9397-08002B2CF9AE}" pid="8" name="Merops client version">
    <vt:lpwstr/>
  </property>
  <property fmtid="{D5CDD505-2E9C-101B-9397-08002B2CF9AE}" pid="9" name="Merops comment count">
    <vt:lpwstr>4</vt:lpwstr>
  </property>
  <property fmtid="{D5CDD505-2E9C-101B-9397-08002B2CF9AE}" pid="10" name="Merops DOI links count">
    <vt:lpwstr>0</vt:lpwstr>
  </property>
  <property fmtid="{D5CDD505-2E9C-101B-9397-08002B2CF9AE}" pid="11" name="Merops email addresses count">
    <vt:lpwstr>0</vt:lpwstr>
  </property>
  <property fmtid="{D5CDD505-2E9C-101B-9397-08002B2CF9AE}" pid="12" name="Merops figures count">
    <vt:lpwstr>0</vt:lpwstr>
  </property>
  <property fmtid="{D5CDD505-2E9C-101B-9397-08002B2CF9AE}" pid="13" name="Merops footnotes/endnotes count">
    <vt:lpwstr>0</vt:lpwstr>
  </property>
  <property fmtid="{D5CDD505-2E9C-101B-9397-08002B2CF9AE}" pid="14" name="Merops graphics count">
    <vt:lpwstr>0</vt:lpwstr>
  </property>
  <property fmtid="{D5CDD505-2E9C-101B-9397-08002B2CF9AE}" pid="15" name="Merops input file path">
    <vt:lpwstr>crm_5d844569-1158-4a52-9fea-8d33360bbb38.docx</vt:lpwstr>
  </property>
  <property fmtid="{D5CDD505-2E9C-101B-9397-08002B2CF9AE}" pid="16" name="Merops intra-document links count">
    <vt:lpwstr>0</vt:lpwstr>
  </property>
  <property fmtid="{D5CDD505-2E9C-101B-9397-08002B2CF9AE}" pid="17" name="Merops item path">
    <vt:lpwstr>MG-Session/On-20260721/I:e7061a7c-1f24-45a0-bdad-38acf1411e11</vt:lpwstr>
  </property>
  <property fmtid="{D5CDD505-2E9C-101B-9397-08002B2CF9AE}" pid="18" name="Merops processed date">
    <vt:lpwstr>2026/07/21 02:21:03 PM</vt:lpwstr>
  </property>
  <property fmtid="{D5CDD505-2E9C-101B-9397-08002B2CF9AE}" pid="19" name="Merops PubMed links count">
    <vt:lpwstr>0</vt:lpwstr>
  </property>
  <property fmtid="{D5CDD505-2E9C-101B-9397-08002B2CF9AE}" pid="20" name="Merops references count">
    <vt:lpwstr>0</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merops/preset-v1/fp_liver-international</vt:lpwstr>
  </property>
  <property fmtid="{D5CDD505-2E9C-101B-9397-08002B2CF9AE}" pid="24" name="Merops Standard Set modified">
    <vt:lpwstr/>
  </property>
  <property fmtid="{D5CDD505-2E9C-101B-9397-08002B2CF9AE}" pid="25" name="Merops tables count">
    <vt:lpwstr>2</vt:lpwstr>
  </property>
  <property fmtid="{D5CDD505-2E9C-101B-9397-08002B2CF9AE}" pid="26" name="Merops word count">
    <vt:lpwstr>274</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ies>
</file>