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3759F0F" w14:textId="041A24C0" w:rsidR="00816718" w:rsidRPr="00C70098" w:rsidRDefault="00816718" w:rsidP="00C70098">
      <w:pPr>
        <w:spacing w:line="480" w:lineRule="auto"/>
        <w:jc w:val="center"/>
        <w:rPr>
          <w:rFonts w:ascii="Times New Roman" w:hAnsi="Times New Roman" w:cs="Times New Roman" w:hint="eastAsia"/>
          <w:b/>
          <w:bCs/>
        </w:rPr>
      </w:pPr>
      <w:r w:rsidRPr="00816718">
        <w:rPr>
          <w:rFonts w:ascii="Times New Roman" w:hAnsi="Times New Roman" w:cs="Times New Roman"/>
          <w:b/>
          <w:bCs/>
        </w:rPr>
        <w:t>Supplementary Methods</w:t>
      </w:r>
    </w:p>
    <w:p w14:paraId="1263CE6E" w14:textId="77777777" w:rsidR="00816718" w:rsidRPr="00C70098" w:rsidRDefault="00816718" w:rsidP="00816718">
      <w:pPr>
        <w:spacing w:line="480" w:lineRule="auto"/>
        <w:rPr>
          <w:rFonts w:ascii="Times New Roman" w:hAnsi="Times New Roman" w:cs="Times New Roman"/>
          <w:b/>
          <w:bCs/>
        </w:rPr>
      </w:pPr>
      <w:r w:rsidRPr="00C70098">
        <w:rPr>
          <w:rFonts w:ascii="Times New Roman" w:hAnsi="Times New Roman" w:cs="Times New Roman"/>
          <w:b/>
          <w:bCs/>
        </w:rPr>
        <w:t>Study design and reporting scope</w:t>
      </w:r>
    </w:p>
    <w:p w14:paraId="19F30C7C" w14:textId="77777777" w:rsidR="00816718" w:rsidRPr="00816718" w:rsidRDefault="00816718" w:rsidP="00816718">
      <w:pPr>
        <w:spacing w:line="480" w:lineRule="auto"/>
        <w:rPr>
          <w:rFonts w:ascii="Times New Roman" w:hAnsi="Times New Roman" w:cs="Times New Roman"/>
        </w:rPr>
      </w:pPr>
      <w:r w:rsidRPr="00816718">
        <w:rPr>
          <w:rFonts w:ascii="Times New Roman" w:hAnsi="Times New Roman" w:cs="Times New Roman"/>
        </w:rPr>
        <w:t>This ecological analysis used Global Burden of Disease (GBD) 2021 estimates to describe female–male differences in osteoarthritis burden from 1990 through 2021. Analyses were conducted separately for overall, hip, knee, hand and other-site osteoarthritis. The principal outcome was the disability-adjusted life-year (DALY) rate per 100,000. Prevalence and DALY counts and age-standardized rates were additionally used to describe the overall burden in Figure 1 and Table 1.</w:t>
      </w:r>
    </w:p>
    <w:p w14:paraId="1C329F35" w14:textId="77777777" w:rsidR="00816718" w:rsidRPr="00816718" w:rsidRDefault="00816718" w:rsidP="00816718">
      <w:pPr>
        <w:spacing w:line="480" w:lineRule="auto"/>
        <w:rPr>
          <w:rFonts w:ascii="Times New Roman" w:hAnsi="Times New Roman" w:cs="Times New Roman"/>
        </w:rPr>
      </w:pPr>
      <w:r w:rsidRPr="00816718">
        <w:rPr>
          <w:rFonts w:ascii="Times New Roman" w:hAnsi="Times New Roman" w:cs="Times New Roman"/>
        </w:rPr>
        <w:t>The reproducible workflow documented here begins at the registered local analysis inputs. The original GBD query definitions, export jobs, export timestamps or versions, and the conversion records used to create those inputs were not recovered. The local package is therefore a registered-input partial canonical chain, not complete source-to-output reproduction. File hashes establish object identity; they do not establish the missing upstream provenance or scientific validity by themselves.</w:t>
      </w:r>
    </w:p>
    <w:p w14:paraId="5D126388" w14:textId="77777777" w:rsidR="00816718" w:rsidRPr="001B53DC" w:rsidRDefault="00816718" w:rsidP="00816718">
      <w:pPr>
        <w:spacing w:line="480" w:lineRule="auto"/>
        <w:rPr>
          <w:rFonts w:ascii="Times New Roman" w:hAnsi="Times New Roman" w:cs="Times New Roman"/>
          <w:b/>
          <w:bCs/>
        </w:rPr>
      </w:pPr>
      <w:r w:rsidRPr="001B53DC">
        <w:rPr>
          <w:rFonts w:ascii="Times New Roman" w:hAnsi="Times New Roman" w:cs="Times New Roman"/>
          <w:b/>
          <w:bCs/>
        </w:rPr>
        <w:t>Registered inputs and fail-closed validation</w:t>
      </w:r>
    </w:p>
    <w:p w14:paraId="258149DA" w14:textId="77777777" w:rsidR="00816718" w:rsidRPr="00816718" w:rsidRDefault="00816718" w:rsidP="00816718">
      <w:pPr>
        <w:spacing w:line="480" w:lineRule="auto"/>
        <w:rPr>
          <w:rFonts w:ascii="Times New Roman" w:hAnsi="Times New Roman" w:cs="Times New Roman"/>
        </w:rPr>
      </w:pPr>
      <w:r w:rsidRPr="00816718">
        <w:rPr>
          <w:rFonts w:ascii="Times New Roman" w:hAnsi="Times New Roman" w:cs="Times New Roman"/>
        </w:rPr>
        <w:t xml:space="preserve">The global burden/EAPC input contained 29,760 records covering two measures, three sex categories, five causes, 1990–2021 and the age/metric combinations used in Figure 1 and Table 1. The sex-by-age estimand input contained Global DALY rates with </w:t>
      </w:r>
      <w:proofErr w:type="spellStart"/>
      <w:r w:rsidRPr="00816718">
        <w:rPr>
          <w:rFonts w:ascii="Times New Roman" w:hAnsi="Times New Roman" w:cs="Times New Roman"/>
        </w:rPr>
        <w:t>val</w:t>
      </w:r>
      <w:proofErr w:type="spellEnd"/>
      <w:r w:rsidRPr="00816718">
        <w:rPr>
          <w:rFonts w:ascii="Times New Roman" w:hAnsi="Times New Roman" w:cs="Times New Roman"/>
        </w:rPr>
        <w:t xml:space="preserve">, lower and upper fields for Female and Male categories. Country analyses used five cause-specific files containing 204 location series. The SDI analysis used a registered location-year SDI table and a fixed 184-country exact-name common set after exclusion of Georgia because it had two </w:t>
      </w:r>
      <w:r w:rsidRPr="00816718">
        <w:rPr>
          <w:rFonts w:ascii="Times New Roman" w:hAnsi="Times New Roman" w:cs="Times New Roman"/>
        </w:rPr>
        <w:lastRenderedPageBreak/>
        <w:t>different SDI values per year.</w:t>
      </w:r>
    </w:p>
    <w:p w14:paraId="6BFAE3D2" w14:textId="77777777" w:rsidR="00816718" w:rsidRPr="00816718" w:rsidRDefault="00816718" w:rsidP="00816718">
      <w:pPr>
        <w:spacing w:line="480" w:lineRule="auto"/>
        <w:rPr>
          <w:rFonts w:ascii="Times New Roman" w:hAnsi="Times New Roman" w:cs="Times New Roman"/>
        </w:rPr>
      </w:pPr>
      <w:r w:rsidRPr="00816718">
        <w:rPr>
          <w:rFonts w:ascii="Times New Roman" w:hAnsi="Times New Roman" w:cs="Times New Roman"/>
        </w:rPr>
        <w:t xml:space="preserve">Each analysis module checked the exact input SHA-256, expected schema, row counts, year range, unique keys, required cause and age sets, finite numeric values and required positivity before calculation. Missing, duplicate, non-finite, non-positive or interval-inverted values caused execution to stop. </w:t>
      </w:r>
      <w:proofErr w:type="spellStart"/>
      <w:r w:rsidRPr="00816718">
        <w:rPr>
          <w:rFonts w:ascii="Times New Roman" w:hAnsi="Times New Roman" w:cs="Times New Roman"/>
        </w:rPr>
        <w:t>Pseudocounts</w:t>
      </w:r>
      <w:proofErr w:type="spellEnd"/>
      <w:r w:rsidRPr="00816718">
        <w:rPr>
          <w:rFonts w:ascii="Times New Roman" w:hAnsi="Times New Roman" w:cs="Times New Roman"/>
        </w:rPr>
        <w:t>, fuzzy location matching, silent imputation and silent row deletion were prohibited.</w:t>
      </w:r>
    </w:p>
    <w:p w14:paraId="1302CEE7" w14:textId="77777777" w:rsidR="00816718" w:rsidRPr="00F97419" w:rsidRDefault="00816718" w:rsidP="00816718">
      <w:pPr>
        <w:spacing w:line="480" w:lineRule="auto"/>
        <w:rPr>
          <w:rFonts w:ascii="Times New Roman" w:hAnsi="Times New Roman" w:cs="Times New Roman"/>
          <w:b/>
          <w:bCs/>
        </w:rPr>
      </w:pPr>
      <w:r w:rsidRPr="00F97419">
        <w:rPr>
          <w:rFonts w:ascii="Times New Roman" w:hAnsi="Times New Roman" w:cs="Times New Roman"/>
          <w:b/>
          <w:bCs/>
        </w:rPr>
        <w:t xml:space="preserve">Primary and key-secondary </w:t>
      </w:r>
      <w:proofErr w:type="spellStart"/>
      <w:r w:rsidRPr="00F97419">
        <w:rPr>
          <w:rFonts w:ascii="Times New Roman" w:hAnsi="Times New Roman" w:cs="Times New Roman"/>
          <w:b/>
          <w:bCs/>
        </w:rPr>
        <w:t>estimands</w:t>
      </w:r>
      <w:proofErr w:type="spellEnd"/>
    </w:p>
    <w:p w14:paraId="6DC81EB3" w14:textId="77777777" w:rsidR="00816718" w:rsidRPr="00816718" w:rsidRDefault="00816718" w:rsidP="00816718">
      <w:pPr>
        <w:spacing w:line="480" w:lineRule="auto"/>
        <w:rPr>
          <w:rFonts w:ascii="Times New Roman" w:hAnsi="Times New Roman" w:cs="Times New Roman"/>
        </w:rPr>
      </w:pPr>
      <w:r w:rsidRPr="00816718">
        <w:rPr>
          <w:rFonts w:ascii="Times New Roman" w:hAnsi="Times New Roman" w:cs="Times New Roman"/>
        </w:rPr>
        <w:t xml:space="preserve">For cause j, age group a and year t, </w:t>
      </w:r>
      <w:proofErr w:type="spellStart"/>
      <w:r w:rsidRPr="00816718">
        <w:rPr>
          <w:rFonts w:ascii="Times New Roman" w:hAnsi="Times New Roman" w:cs="Times New Roman"/>
        </w:rPr>
        <w:t>rF</w:t>
      </w:r>
      <w:proofErr w:type="spellEnd"/>
      <w:r w:rsidRPr="00816718">
        <w:rPr>
          <w:rFonts w:ascii="Times New Roman" w:hAnsi="Times New Roman" w:cs="Times New Roman"/>
        </w:rPr>
        <w:t>(</w:t>
      </w:r>
      <w:proofErr w:type="spellStart"/>
      <w:r w:rsidRPr="00816718">
        <w:rPr>
          <w:rFonts w:ascii="Times New Roman" w:hAnsi="Times New Roman" w:cs="Times New Roman"/>
        </w:rPr>
        <w:t>j,a,t</w:t>
      </w:r>
      <w:proofErr w:type="spellEnd"/>
      <w:r w:rsidRPr="00816718">
        <w:rPr>
          <w:rFonts w:ascii="Times New Roman" w:hAnsi="Times New Roman" w:cs="Times New Roman"/>
        </w:rPr>
        <w:t xml:space="preserve">) and </w:t>
      </w:r>
      <w:proofErr w:type="spellStart"/>
      <w:r w:rsidRPr="00816718">
        <w:rPr>
          <w:rFonts w:ascii="Times New Roman" w:hAnsi="Times New Roman" w:cs="Times New Roman"/>
        </w:rPr>
        <w:t>rM</w:t>
      </w:r>
      <w:proofErr w:type="spellEnd"/>
      <w:r w:rsidRPr="00816718">
        <w:rPr>
          <w:rFonts w:ascii="Times New Roman" w:hAnsi="Times New Roman" w:cs="Times New Roman"/>
        </w:rPr>
        <w:t>(</w:t>
      </w:r>
      <w:proofErr w:type="spellStart"/>
      <w:r w:rsidRPr="00816718">
        <w:rPr>
          <w:rFonts w:ascii="Times New Roman" w:hAnsi="Times New Roman" w:cs="Times New Roman"/>
        </w:rPr>
        <w:t>j,a,t</w:t>
      </w:r>
      <w:proofErr w:type="spellEnd"/>
      <w:r w:rsidRPr="00816718">
        <w:rPr>
          <w:rFonts w:ascii="Times New Roman" w:hAnsi="Times New Roman" w:cs="Times New Roman"/>
        </w:rPr>
        <w:t>) denoted female and male DALY rates per 100,000. The primary modelling value at each year was theta(</w:t>
      </w:r>
      <w:proofErr w:type="spellStart"/>
      <w:r w:rsidRPr="00816718">
        <w:rPr>
          <w:rFonts w:ascii="Times New Roman" w:hAnsi="Times New Roman" w:cs="Times New Roman"/>
        </w:rPr>
        <w:t>j,a,t</w:t>
      </w:r>
      <w:proofErr w:type="spellEnd"/>
      <w:r w:rsidRPr="00816718">
        <w:rPr>
          <w:rFonts w:ascii="Times New Roman" w:hAnsi="Times New Roman" w:cs="Times New Roman"/>
        </w:rPr>
        <w:t>) = log[</w:t>
      </w:r>
      <w:proofErr w:type="spellStart"/>
      <w:r w:rsidRPr="00816718">
        <w:rPr>
          <w:rFonts w:ascii="Times New Roman" w:hAnsi="Times New Roman" w:cs="Times New Roman"/>
        </w:rPr>
        <w:t>rF</w:t>
      </w:r>
      <w:proofErr w:type="spellEnd"/>
      <w:r w:rsidRPr="00816718">
        <w:rPr>
          <w:rFonts w:ascii="Times New Roman" w:hAnsi="Times New Roman" w:cs="Times New Roman"/>
        </w:rPr>
        <w:t>(</w:t>
      </w:r>
      <w:proofErr w:type="spellStart"/>
      <w:r w:rsidRPr="00816718">
        <w:rPr>
          <w:rFonts w:ascii="Times New Roman" w:hAnsi="Times New Roman" w:cs="Times New Roman"/>
        </w:rPr>
        <w:t>j,a,t</w:t>
      </w:r>
      <w:proofErr w:type="spellEnd"/>
      <w:r w:rsidRPr="00816718">
        <w:rPr>
          <w:rFonts w:ascii="Times New Roman" w:hAnsi="Times New Roman" w:cs="Times New Roman"/>
        </w:rPr>
        <w:t xml:space="preserve">) / </w:t>
      </w:r>
      <w:proofErr w:type="spellStart"/>
      <w:r w:rsidRPr="00816718">
        <w:rPr>
          <w:rFonts w:ascii="Times New Roman" w:hAnsi="Times New Roman" w:cs="Times New Roman"/>
        </w:rPr>
        <w:t>rM</w:t>
      </w:r>
      <w:proofErr w:type="spellEnd"/>
      <w:r w:rsidRPr="00816718">
        <w:rPr>
          <w:rFonts w:ascii="Times New Roman" w:hAnsi="Times New Roman" w:cs="Times New Roman"/>
        </w:rPr>
        <w:t>(</w:t>
      </w:r>
      <w:proofErr w:type="spellStart"/>
      <w:r w:rsidRPr="00816718">
        <w:rPr>
          <w:rFonts w:ascii="Times New Roman" w:hAnsi="Times New Roman" w:cs="Times New Roman"/>
        </w:rPr>
        <w:t>j,a,t</w:t>
      </w:r>
      <w:proofErr w:type="spellEnd"/>
      <w:r w:rsidRPr="00816718">
        <w:rPr>
          <w:rFonts w:ascii="Times New Roman" w:hAnsi="Times New Roman" w:cs="Times New Roman"/>
        </w:rPr>
        <w:t xml:space="preserve">)]. The primary age curve was the equal-weight arithmetic mean of theta across the 32 calendar years from 1990 through 2021; exponentiating it produced the geometric mean annual female-to-male rate ratio. The required key-secondary curve was the equal-weight annual mean of </w:t>
      </w:r>
      <w:proofErr w:type="spellStart"/>
      <w:r w:rsidRPr="00816718">
        <w:rPr>
          <w:rFonts w:ascii="Times New Roman" w:hAnsi="Times New Roman" w:cs="Times New Roman"/>
        </w:rPr>
        <w:t>rF-rM</w:t>
      </w:r>
      <w:proofErr w:type="spellEnd"/>
      <w:r w:rsidRPr="00816718">
        <w:rPr>
          <w:rFonts w:ascii="Times New Roman" w:hAnsi="Times New Roman" w:cs="Times New Roman"/>
        </w:rPr>
        <w:t>.</w:t>
      </w:r>
    </w:p>
    <w:p w14:paraId="314EAE5E" w14:textId="77777777" w:rsidR="00816718" w:rsidRPr="00816718" w:rsidRDefault="00816718" w:rsidP="00816718">
      <w:pPr>
        <w:spacing w:line="480" w:lineRule="auto"/>
        <w:rPr>
          <w:rFonts w:ascii="Times New Roman" w:hAnsi="Times New Roman" w:cs="Times New Roman"/>
        </w:rPr>
      </w:pPr>
      <w:r w:rsidRPr="00816718">
        <w:rPr>
          <w:rFonts w:ascii="Times New Roman" w:hAnsi="Times New Roman" w:cs="Times New Roman"/>
        </w:rPr>
        <w:t>Every calendar year received equal weight because the target was a typical annual age pattern rather than a population- or person-time-weighted average. A positive log ratio, a rate ratio above 1 or a positive absolute difference indicated higher female burden; negative values indicated higher male burden. Direction on the relative and absolute scales is algebraically equivalent when rates are positive and was not treated as two independent validations.</w:t>
      </w:r>
    </w:p>
    <w:p w14:paraId="328410DC" w14:textId="77777777" w:rsidR="00816718" w:rsidRPr="00C25E6C" w:rsidRDefault="00816718" w:rsidP="00816718">
      <w:pPr>
        <w:spacing w:line="480" w:lineRule="auto"/>
        <w:rPr>
          <w:rFonts w:ascii="Times New Roman" w:hAnsi="Times New Roman" w:cs="Times New Roman"/>
          <w:b/>
          <w:bCs/>
        </w:rPr>
      </w:pPr>
      <w:r w:rsidRPr="00C25E6C">
        <w:rPr>
          <w:rFonts w:ascii="Times New Roman" w:hAnsi="Times New Roman" w:cs="Times New Roman"/>
          <w:b/>
          <w:bCs/>
        </w:rPr>
        <w:t>Age representation and boundary precision</w:t>
      </w:r>
    </w:p>
    <w:p w14:paraId="0F87910E" w14:textId="77777777" w:rsidR="00816718" w:rsidRPr="00816718" w:rsidRDefault="00816718" w:rsidP="00816718">
      <w:pPr>
        <w:spacing w:line="480" w:lineRule="auto"/>
        <w:rPr>
          <w:rFonts w:ascii="Times New Roman" w:hAnsi="Times New Roman" w:cs="Times New Roman"/>
        </w:rPr>
      </w:pPr>
      <w:r w:rsidRPr="00816718">
        <w:rPr>
          <w:rFonts w:ascii="Times New Roman" w:hAnsi="Times New Roman" w:cs="Times New Roman"/>
        </w:rPr>
        <w:t xml:space="preserve">Fourteen five-year age groups from 30–34 through 95+ were available for point-estimate display. Closed groups were represented by midpoints from 32.5 through 92.5 years. The </w:t>
      </w:r>
      <w:r w:rsidRPr="00816718">
        <w:rPr>
          <w:rFonts w:ascii="Times New Roman" w:hAnsi="Times New Roman" w:cs="Times New Roman"/>
        </w:rPr>
        <w:lastRenderedPageBreak/>
        <w:t>open-ended 95+ group was not assigned a finite midpoint and was excluded from derivative, hinge and model-adjudication calculations.</w:t>
      </w:r>
    </w:p>
    <w:p w14:paraId="5ED4845A" w14:textId="77777777" w:rsidR="00816718" w:rsidRPr="00816718" w:rsidRDefault="00816718" w:rsidP="00816718">
      <w:pPr>
        <w:spacing w:line="480" w:lineRule="auto"/>
        <w:rPr>
          <w:rFonts w:ascii="Times New Roman" w:hAnsi="Times New Roman" w:cs="Times New Roman"/>
        </w:rPr>
      </w:pPr>
      <w:r w:rsidRPr="00816718">
        <w:rPr>
          <w:rFonts w:ascii="Times New Roman" w:hAnsi="Times New Roman" w:cs="Times New Roman"/>
        </w:rPr>
        <w:t>The 45–55-year band was retained only as context for a midlife hypothesis. It was not supplied to model selection, and no result was selected by proximity to age 51 or a presumed menopausal age. All model comparisons used 13 grouped-age points and cannot define an individual biological transition age.</w:t>
      </w:r>
    </w:p>
    <w:p w14:paraId="19E6485D" w14:textId="77777777" w:rsidR="00816718" w:rsidRPr="0028344E" w:rsidRDefault="00816718" w:rsidP="00816718">
      <w:pPr>
        <w:spacing w:line="480" w:lineRule="auto"/>
        <w:rPr>
          <w:rFonts w:ascii="Times New Roman" w:hAnsi="Times New Roman" w:cs="Times New Roman"/>
          <w:b/>
          <w:bCs/>
        </w:rPr>
      </w:pPr>
      <w:r w:rsidRPr="0028344E">
        <w:rPr>
          <w:rFonts w:ascii="Times New Roman" w:hAnsi="Times New Roman" w:cs="Times New Roman"/>
          <w:b/>
          <w:bCs/>
        </w:rPr>
        <w:t>Original hinge descriptor and historical diagnostics</w:t>
      </w:r>
    </w:p>
    <w:p w14:paraId="3272DF31" w14:textId="77777777" w:rsidR="00816718" w:rsidRPr="00816718" w:rsidRDefault="00816718" w:rsidP="00816718">
      <w:pPr>
        <w:spacing w:line="480" w:lineRule="auto"/>
        <w:rPr>
          <w:rFonts w:ascii="Times New Roman" w:hAnsi="Times New Roman" w:cs="Times New Roman"/>
        </w:rPr>
      </w:pPr>
      <w:r w:rsidRPr="00816718">
        <w:rPr>
          <w:rFonts w:ascii="Times New Roman" w:hAnsi="Times New Roman" w:cs="Times New Roman"/>
        </w:rPr>
        <w:t>The original analysis compared a straight line with continuous one-break hinge alternatives at fixed candidate locations 45, 50, 55, 60, 65, 70, 75 and 80 years. The hinge included an intercept, age slope and slope-change term. The selected hinge was retained as a descriptor for later comparison and was not accepted in advance as a true change point.</w:t>
      </w:r>
    </w:p>
    <w:p w14:paraId="7BE9389C" w14:textId="77777777" w:rsidR="00816718" w:rsidRPr="00816718" w:rsidRDefault="00816718" w:rsidP="00816718">
      <w:pPr>
        <w:spacing w:line="480" w:lineRule="auto"/>
        <w:rPr>
          <w:rFonts w:ascii="Times New Roman" w:hAnsi="Times New Roman" w:cs="Times New Roman"/>
        </w:rPr>
      </w:pPr>
      <w:r w:rsidRPr="00816718">
        <w:rPr>
          <w:rFonts w:ascii="Times New Roman" w:hAnsi="Times New Roman" w:cs="Times New Roman"/>
        </w:rPr>
        <w:t>Earlier straight-line-versus-hinge classifications, the rho=0.5-calibrated sensitivity, the four-part GAM composite, synthetic false-support checks, era classifications and leave-one-year-out classifications remain historical diagnostics. Their former 0/5 composite and hinge-support counts are not the current interpretation layer, do not validate timing and cannot establish or rescue a specific boundary after the V3 comparison.</w:t>
      </w:r>
    </w:p>
    <w:p w14:paraId="3D2DA265" w14:textId="77777777" w:rsidR="00816718" w:rsidRPr="00252E5B" w:rsidRDefault="00816718" w:rsidP="00816718">
      <w:pPr>
        <w:spacing w:line="480" w:lineRule="auto"/>
        <w:rPr>
          <w:rFonts w:ascii="Times New Roman" w:hAnsi="Times New Roman" w:cs="Times New Roman"/>
          <w:b/>
          <w:bCs/>
        </w:rPr>
      </w:pPr>
      <w:r w:rsidRPr="00252E5B">
        <w:rPr>
          <w:rFonts w:ascii="Times New Roman" w:hAnsi="Times New Roman" w:cs="Times New Roman"/>
          <w:b/>
          <w:bCs/>
        </w:rPr>
        <w:t>Five-model V3 adjudication</w:t>
      </w:r>
    </w:p>
    <w:p w14:paraId="1ABBE1EC" w14:textId="77777777" w:rsidR="00816718" w:rsidRPr="00816718" w:rsidRDefault="00816718" w:rsidP="00816718">
      <w:pPr>
        <w:spacing w:line="480" w:lineRule="auto"/>
        <w:rPr>
          <w:rFonts w:ascii="Times New Roman" w:hAnsi="Times New Roman" w:cs="Times New Roman"/>
        </w:rPr>
      </w:pPr>
      <w:r w:rsidRPr="00816718">
        <w:rPr>
          <w:rFonts w:ascii="Times New Roman" w:hAnsi="Times New Roman" w:cs="Times New Roman"/>
        </w:rPr>
        <w:t xml:space="preserve">After methodological review identified that a straight-line null could </w:t>
      </w:r>
      <w:proofErr w:type="spellStart"/>
      <w:r w:rsidRPr="00816718">
        <w:rPr>
          <w:rFonts w:ascii="Times New Roman" w:hAnsi="Times New Roman" w:cs="Times New Roman"/>
        </w:rPr>
        <w:t>favour</w:t>
      </w:r>
      <w:proofErr w:type="spellEnd"/>
      <w:r w:rsidRPr="00816718">
        <w:rPr>
          <w:rFonts w:ascii="Times New Roman" w:hAnsi="Times New Roman" w:cs="Times New Roman"/>
        </w:rPr>
        <w:t xml:space="preserve"> a hinge whenever a curve was smoothly nonlinear, a post-hoc interpretive adjudication was conducted. Before the real-curve comparative outputs were inspected, the protocol, script, registered input, five-model family and decision rules were frozen and hash-bound. This sequence limits result-</w:t>
      </w:r>
      <w:r w:rsidRPr="00816718">
        <w:rPr>
          <w:rFonts w:ascii="Times New Roman" w:hAnsi="Times New Roman" w:cs="Times New Roman"/>
        </w:rPr>
        <w:lastRenderedPageBreak/>
        <w:t>dependent choices but is not presented as an original study preregistration.</w:t>
      </w:r>
    </w:p>
    <w:p w14:paraId="34D6DD6C" w14:textId="77777777" w:rsidR="00816718" w:rsidRPr="00816718" w:rsidRDefault="00816718" w:rsidP="00816718">
      <w:pPr>
        <w:spacing w:line="480" w:lineRule="auto"/>
        <w:rPr>
          <w:rFonts w:ascii="Times New Roman" w:hAnsi="Times New Roman" w:cs="Times New Roman"/>
        </w:rPr>
      </w:pPr>
      <w:r w:rsidRPr="00816718">
        <w:rPr>
          <w:rFonts w:ascii="Times New Roman" w:hAnsi="Times New Roman" w:cs="Times New Roman"/>
        </w:rPr>
        <w:t>For every cause and scale, five fixed representations were fitted: linear (K=3), searched hinge (K=5), a natural spline with one fixed internal knot at 62.5 years (K=4), a fixed cubic polynomial (K=5) and a thin-plate GAM with k=5 fitted by maximum likelihood. K included Gaussian variance; the GAM used the effective parameter count returned by its likelihood. The GAM was one prespecified comparator, not a true model, automatic null or biological mechanism.</w:t>
      </w:r>
    </w:p>
    <w:p w14:paraId="31F94509" w14:textId="77777777" w:rsidR="00816718" w:rsidRPr="00816718" w:rsidRDefault="00816718" w:rsidP="00816718">
      <w:pPr>
        <w:spacing w:line="480" w:lineRule="auto"/>
        <w:rPr>
          <w:rFonts w:ascii="Times New Roman" w:hAnsi="Times New Roman" w:cs="Times New Roman"/>
        </w:rPr>
      </w:pPr>
      <w:r w:rsidRPr="00816718">
        <w:rPr>
          <w:rFonts w:ascii="Times New Roman" w:hAnsi="Times New Roman" w:cs="Times New Roman"/>
        </w:rPr>
        <w:t>Models were compared using Bayesian information criterion (BIC), small-sample corrected Akaike information criterion (</w:t>
      </w:r>
      <w:proofErr w:type="spellStart"/>
      <w:r w:rsidRPr="00816718">
        <w:rPr>
          <w:rFonts w:ascii="Times New Roman" w:hAnsi="Times New Roman" w:cs="Times New Roman"/>
        </w:rPr>
        <w:t>AICc</w:t>
      </w:r>
      <w:proofErr w:type="spellEnd"/>
      <w:r w:rsidRPr="00816718">
        <w:rPr>
          <w:rFonts w:ascii="Times New Roman" w:hAnsi="Times New Roman" w:cs="Times New Roman"/>
        </w:rPr>
        <w:t>) and leave-one-age-point-out prediction root-mean-square error (LOOCV RMSE). Lower values indicated better relative fit. Every one of the 13 folds refitted all five models; the hinge re-searched all eight candidate locations within the training fold. The folds are not independent clinical observations and were used only for relative prediction and hinge-location stability descriptors.</w:t>
      </w:r>
    </w:p>
    <w:p w14:paraId="42DA4B14" w14:textId="77777777" w:rsidR="00816718" w:rsidRPr="001930BF" w:rsidRDefault="00816718" w:rsidP="00816718">
      <w:pPr>
        <w:spacing w:line="480" w:lineRule="auto"/>
        <w:rPr>
          <w:rFonts w:ascii="Times New Roman" w:hAnsi="Times New Roman" w:cs="Times New Roman"/>
          <w:b/>
          <w:bCs/>
        </w:rPr>
      </w:pPr>
      <w:r w:rsidRPr="001930BF">
        <w:rPr>
          <w:rFonts w:ascii="Times New Roman" w:hAnsi="Times New Roman" w:cs="Times New Roman"/>
          <w:b/>
          <w:bCs/>
        </w:rPr>
        <w:t>Decision rules and interpretation boundary</w:t>
      </w:r>
    </w:p>
    <w:p w14:paraId="4B7F0BD1" w14:textId="77777777" w:rsidR="00816718" w:rsidRPr="00816718" w:rsidRDefault="00816718" w:rsidP="00816718">
      <w:pPr>
        <w:spacing w:line="480" w:lineRule="auto"/>
        <w:rPr>
          <w:rFonts w:ascii="Times New Roman" w:hAnsi="Times New Roman" w:cs="Times New Roman"/>
        </w:rPr>
      </w:pPr>
      <w:r w:rsidRPr="00816718">
        <w:rPr>
          <w:rFonts w:ascii="Times New Roman" w:hAnsi="Times New Roman" w:cs="Times New Roman"/>
        </w:rPr>
        <w:t xml:space="preserve">A curve could be labelled HINGE_PREFERRED_STABLE_EXPLORATORY only if the original rule selected one supported hinge, hinge advantages over the best smooth model were at least 2 for both BIC and </w:t>
      </w:r>
      <w:proofErr w:type="spellStart"/>
      <w:r w:rsidRPr="00816718">
        <w:rPr>
          <w:rFonts w:ascii="Times New Roman" w:hAnsi="Times New Roman" w:cs="Times New Roman"/>
        </w:rPr>
        <w:t>AICc</w:t>
      </w:r>
      <w:proofErr w:type="spellEnd"/>
      <w:r w:rsidRPr="00816718">
        <w:rPr>
          <w:rFonts w:ascii="Times New Roman" w:hAnsi="Times New Roman" w:cs="Times New Roman"/>
        </w:rPr>
        <w:t xml:space="preserve"> and greater than 0 for LOOCV RMSE, at least 10 of 13 folds both retained training-set linear-minus-hinge delta-BIC support and selected the exact full-data location, and at least 12 of 13 did so within five years. NON_HINGE_PREFERRED required the same non-hinge comparator to beat the hinge by at least 2 BIC units, at least 2 </w:t>
      </w:r>
      <w:proofErr w:type="spellStart"/>
      <w:r w:rsidRPr="00816718">
        <w:rPr>
          <w:rFonts w:ascii="Times New Roman" w:hAnsi="Times New Roman" w:cs="Times New Roman"/>
        </w:rPr>
        <w:t>AICc</w:t>
      </w:r>
      <w:proofErr w:type="spellEnd"/>
      <w:r w:rsidRPr="00816718">
        <w:rPr>
          <w:rFonts w:ascii="Times New Roman" w:hAnsi="Times New Roman" w:cs="Times New Roman"/>
        </w:rPr>
        <w:t xml:space="preserve"> units and lower LOOCV RMSE. Other successful comparisons were </w:t>
      </w:r>
      <w:r w:rsidRPr="00816718">
        <w:rPr>
          <w:rFonts w:ascii="Times New Roman" w:hAnsi="Times New Roman" w:cs="Times New Roman"/>
        </w:rPr>
        <w:lastRenderedPageBreak/>
        <w:t>INCONCLUSIVE_MODEL_COMPARISON.</w:t>
      </w:r>
    </w:p>
    <w:p w14:paraId="63F52AB0" w14:textId="77777777" w:rsidR="00816718" w:rsidRPr="00816718" w:rsidRDefault="00816718" w:rsidP="00816718">
      <w:pPr>
        <w:spacing w:line="480" w:lineRule="auto"/>
        <w:rPr>
          <w:rFonts w:ascii="Times New Roman" w:hAnsi="Times New Roman" w:cs="Times New Roman"/>
        </w:rPr>
      </w:pPr>
      <w:r w:rsidRPr="00816718">
        <w:rPr>
          <w:rFonts w:ascii="Times New Roman" w:hAnsi="Times New Roman" w:cs="Times New Roman"/>
        </w:rPr>
        <w:t>No curve met the hinge-preferred rule; nine of ten curves were non-hinge preferred and the primary Hand curve produced mixed winners. Many hinge locations were reproducible across folds, so comparative fit—not general location instability—prevented specific age claims. These are relative-model results within a limited candidate family. This does not prove that no boundary exists, identify a true data-generating model or support an individual, biological, hormonal or treatment transition age.</w:t>
      </w:r>
    </w:p>
    <w:p w14:paraId="4F739301" w14:textId="77777777" w:rsidR="00816718" w:rsidRPr="00712B08" w:rsidRDefault="00816718" w:rsidP="00816718">
      <w:pPr>
        <w:spacing w:line="480" w:lineRule="auto"/>
        <w:rPr>
          <w:rFonts w:ascii="Times New Roman" w:hAnsi="Times New Roman" w:cs="Times New Roman"/>
          <w:b/>
          <w:bCs/>
        </w:rPr>
      </w:pPr>
      <w:r w:rsidRPr="00712B08">
        <w:rPr>
          <w:rFonts w:ascii="Times New Roman" w:hAnsi="Times New Roman" w:cs="Times New Roman"/>
          <w:b/>
          <w:bCs/>
        </w:rPr>
        <w:t>Scale-susceptibility and synthetic historical checks</w:t>
      </w:r>
    </w:p>
    <w:p w14:paraId="1FDB6AE0" w14:textId="77777777" w:rsidR="00816718" w:rsidRPr="00816718" w:rsidRDefault="00816718" w:rsidP="00816718">
      <w:pPr>
        <w:spacing w:line="480" w:lineRule="auto"/>
        <w:rPr>
          <w:rFonts w:ascii="Times New Roman" w:hAnsi="Times New Roman" w:cs="Times New Roman"/>
        </w:rPr>
      </w:pPr>
      <w:r w:rsidRPr="00816718">
        <w:rPr>
          <w:rFonts w:ascii="Times New Roman" w:hAnsi="Times New Roman" w:cs="Times New Roman"/>
        </w:rPr>
        <w:t xml:space="preserve">The constant-rate-ratio construction tested a narrower mathematical question. A cause-specific female-to-male ratio was held constant across the 13 closed age groups while the shared baseline age profile varied. Primary sex-symmetric, arithmetic-mean symmetric, male-anchored and female-anchored constructions were examined. If the ratio is constant at rho, the absolute difference is </w:t>
      </w:r>
      <w:proofErr w:type="spellStart"/>
      <w:r w:rsidRPr="00816718">
        <w:rPr>
          <w:rFonts w:ascii="Times New Roman" w:hAnsi="Times New Roman" w:cs="Times New Roman"/>
        </w:rPr>
        <w:t>rM</w:t>
      </w:r>
      <w:proofErr w:type="spellEnd"/>
      <w:r w:rsidRPr="00816718">
        <w:rPr>
          <w:rFonts w:ascii="Times New Roman" w:hAnsi="Times New Roman" w:cs="Times New Roman"/>
        </w:rPr>
        <w:t>(a)(rho-1), so it can curve or widen as baseline burden changes without an age-varying proportional disparity.</w:t>
      </w:r>
    </w:p>
    <w:p w14:paraId="3F9FE13A" w14:textId="77777777" w:rsidR="00816718" w:rsidRPr="00816718" w:rsidRDefault="00816718" w:rsidP="00816718">
      <w:pPr>
        <w:spacing w:line="480" w:lineRule="auto"/>
        <w:rPr>
          <w:rFonts w:ascii="Times New Roman" w:hAnsi="Times New Roman" w:cs="Times New Roman"/>
        </w:rPr>
      </w:pPr>
      <w:r w:rsidRPr="00816718">
        <w:rPr>
          <w:rFonts w:ascii="Times New Roman" w:hAnsi="Times New Roman" w:cs="Times New Roman"/>
        </w:rPr>
        <w:t xml:space="preserve">Historical synthetic checks characterized the operating </w:t>
      </w:r>
      <w:proofErr w:type="spellStart"/>
      <w:r w:rsidRPr="00816718">
        <w:rPr>
          <w:rFonts w:ascii="Times New Roman" w:hAnsi="Times New Roman" w:cs="Times New Roman"/>
        </w:rPr>
        <w:t>behaviour</w:t>
      </w:r>
      <w:proofErr w:type="spellEnd"/>
      <w:r w:rsidRPr="00816718">
        <w:rPr>
          <w:rFonts w:ascii="Times New Roman" w:hAnsi="Times New Roman" w:cs="Times New Roman"/>
        </w:rPr>
        <w:t xml:space="preserve"> of the original straight-line-versus-hinge procedure under independent, autoregressive and off-grid scenarios. They did not validate the scientific data, estimate osteoarthritis covariance or provide universal type-I error control. Earlier null-model hinge counts are retained only as diagnostics after V3 and are not evidence that an observed or synthetic hinge is an established change point.</w:t>
      </w:r>
    </w:p>
    <w:p w14:paraId="73903D57" w14:textId="77777777" w:rsidR="00816718" w:rsidRPr="00712B08" w:rsidRDefault="00816718" w:rsidP="00816718">
      <w:pPr>
        <w:spacing w:line="480" w:lineRule="auto"/>
        <w:rPr>
          <w:rFonts w:ascii="Times New Roman" w:hAnsi="Times New Roman" w:cs="Times New Roman"/>
          <w:b/>
          <w:bCs/>
        </w:rPr>
      </w:pPr>
      <w:r w:rsidRPr="00712B08">
        <w:rPr>
          <w:rFonts w:ascii="Times New Roman" w:hAnsi="Times New Roman" w:cs="Times New Roman"/>
          <w:b/>
          <w:bCs/>
        </w:rPr>
        <w:t>EAPC, Table 1 and Figure 1 display rules</w:t>
      </w:r>
    </w:p>
    <w:p w14:paraId="7F8E398C" w14:textId="77777777" w:rsidR="00816718" w:rsidRPr="00816718" w:rsidRDefault="00816718" w:rsidP="00816718">
      <w:pPr>
        <w:spacing w:line="480" w:lineRule="auto"/>
        <w:rPr>
          <w:rFonts w:ascii="Times New Roman" w:hAnsi="Times New Roman" w:cs="Times New Roman"/>
        </w:rPr>
      </w:pPr>
      <w:r w:rsidRPr="00816718">
        <w:rPr>
          <w:rFonts w:ascii="Times New Roman" w:hAnsi="Times New Roman" w:cs="Times New Roman"/>
        </w:rPr>
        <w:t xml:space="preserve">Estimated annual percentage change (EAPC) was calculated from a log-linear model of the </w:t>
      </w:r>
      <w:r w:rsidRPr="00816718">
        <w:rPr>
          <w:rFonts w:ascii="Times New Roman" w:hAnsi="Times New Roman" w:cs="Times New Roman"/>
        </w:rPr>
        <w:lastRenderedPageBreak/>
        <w:t>age-standardized rate: log(rate)=</w:t>
      </w:r>
      <w:proofErr w:type="spellStart"/>
      <w:r w:rsidRPr="00816718">
        <w:rPr>
          <w:rFonts w:ascii="Times New Roman" w:hAnsi="Times New Roman" w:cs="Times New Roman"/>
        </w:rPr>
        <w:t>alpha+beta</w:t>
      </w:r>
      <w:proofErr w:type="spellEnd"/>
      <w:r w:rsidRPr="00816718">
        <w:rPr>
          <w:rFonts w:ascii="Times New Roman" w:hAnsi="Times New Roman" w:cs="Times New Roman"/>
        </w:rPr>
        <w:t>*time; EAPC=[exp(beta)-1]×100. The 95% confidence limits used beta plus or minus 1.96 standard errors and the same transformation. These intervals describe uncertainty in the fitted temporal slope and are distinct from GBD uncertainty intervals around annual burden estimates.</w:t>
      </w:r>
    </w:p>
    <w:p w14:paraId="0E42B54F" w14:textId="77777777" w:rsidR="00816718" w:rsidRPr="00816718" w:rsidRDefault="00816718" w:rsidP="00816718">
      <w:pPr>
        <w:spacing w:line="480" w:lineRule="auto"/>
        <w:rPr>
          <w:rFonts w:ascii="Times New Roman" w:hAnsi="Times New Roman" w:cs="Times New Roman"/>
        </w:rPr>
      </w:pPr>
      <w:r w:rsidRPr="00816718">
        <w:rPr>
          <w:rFonts w:ascii="Times New Roman" w:hAnsi="Times New Roman" w:cs="Times New Roman"/>
        </w:rPr>
        <w:t>Table 1 counts and count uncertainty endpoints used explicit decimal half-up rounding; rates and EAPCs retained the accepted fixed-decimal convention. Figure 1 and Table 1 values and the complete Figure 1 publication legend are unchanged in Rev10.2.1. The active Figure 1 TIFF, Table 1 DOCX and Supplementary Table 1 DOCX remain referenced by exact hash and were not regenerated in Phase D.</w:t>
      </w:r>
    </w:p>
    <w:p w14:paraId="30325E82" w14:textId="77777777" w:rsidR="00816718" w:rsidRPr="00712B08" w:rsidRDefault="00816718" w:rsidP="00816718">
      <w:pPr>
        <w:spacing w:line="480" w:lineRule="auto"/>
        <w:rPr>
          <w:rFonts w:ascii="Times New Roman" w:hAnsi="Times New Roman" w:cs="Times New Roman"/>
          <w:b/>
          <w:bCs/>
        </w:rPr>
      </w:pPr>
      <w:r w:rsidRPr="00712B08">
        <w:rPr>
          <w:rFonts w:ascii="Times New Roman" w:hAnsi="Times New Roman" w:cs="Times New Roman"/>
          <w:b/>
          <w:bCs/>
        </w:rPr>
        <w:t>Marginal uncertainty envelopes</w:t>
      </w:r>
    </w:p>
    <w:p w14:paraId="17606DA8" w14:textId="77777777" w:rsidR="00816718" w:rsidRPr="00816718" w:rsidRDefault="00816718" w:rsidP="00816718">
      <w:pPr>
        <w:spacing w:line="480" w:lineRule="auto"/>
        <w:rPr>
          <w:rFonts w:ascii="Times New Roman" w:hAnsi="Times New Roman" w:cs="Times New Roman"/>
        </w:rPr>
      </w:pPr>
      <w:r w:rsidRPr="00816718">
        <w:rPr>
          <w:rFonts w:ascii="Times New Roman" w:hAnsi="Times New Roman" w:cs="Times New Roman"/>
        </w:rPr>
        <w:t>Raw GBD draws and joint female–male covariance were unavailable. Deterministic marginal endpoint envelopes were calculated for log(F/M) as log(LF/UM) to log(UF/LM) and for F-M as LF-UM to UF-LM, then averaged across years in the same way as the point-estimate curves.</w:t>
      </w:r>
    </w:p>
    <w:p w14:paraId="695B83FF" w14:textId="77777777" w:rsidR="00816718" w:rsidRPr="00816718" w:rsidRDefault="00816718" w:rsidP="00816718">
      <w:pPr>
        <w:spacing w:line="480" w:lineRule="auto"/>
        <w:rPr>
          <w:rFonts w:ascii="Times New Roman" w:hAnsi="Times New Roman" w:cs="Times New Roman"/>
        </w:rPr>
      </w:pPr>
      <w:r w:rsidRPr="00816718">
        <w:rPr>
          <w:rFonts w:ascii="Times New Roman" w:hAnsi="Times New Roman" w:cs="Times New Roman"/>
        </w:rPr>
        <w:t>The envelopes are not joint 95% confidence intervals, boundary intervals, posterior intervals, significance tests or complete draw-level uncertainty propagation. An envelope crossing or touching the null was described only as direction-indeterminate under the available marginal endpoints and did not prove no difference.</w:t>
      </w:r>
    </w:p>
    <w:p w14:paraId="76E3AFCA" w14:textId="77777777" w:rsidR="00816718" w:rsidRPr="00712B08" w:rsidRDefault="00816718" w:rsidP="00816718">
      <w:pPr>
        <w:spacing w:line="480" w:lineRule="auto"/>
        <w:rPr>
          <w:rFonts w:ascii="Times New Roman" w:hAnsi="Times New Roman" w:cs="Times New Roman"/>
          <w:b/>
          <w:bCs/>
        </w:rPr>
      </w:pPr>
      <w:r w:rsidRPr="00712B08">
        <w:rPr>
          <w:rFonts w:ascii="Times New Roman" w:hAnsi="Times New Roman" w:cs="Times New Roman"/>
          <w:b/>
          <w:bCs/>
        </w:rPr>
        <w:t>Country and SDI analyses</w:t>
      </w:r>
    </w:p>
    <w:p w14:paraId="17DBD6A4" w14:textId="77777777" w:rsidR="00816718" w:rsidRPr="00816718" w:rsidRDefault="00816718" w:rsidP="00816718">
      <w:pPr>
        <w:spacing w:line="480" w:lineRule="auto"/>
        <w:rPr>
          <w:rFonts w:ascii="Times New Roman" w:hAnsi="Times New Roman" w:cs="Times New Roman"/>
        </w:rPr>
      </w:pPr>
      <w:r w:rsidRPr="00816718">
        <w:rPr>
          <w:rFonts w:ascii="Times New Roman" w:hAnsi="Times New Roman" w:cs="Times New Roman"/>
        </w:rPr>
        <w:t xml:space="preserve">For 1990, 2000, 2010 and 2021, unweighted point-estimate distributions were summarized across 204 countries and territories. Quantiles used R type 7; country direction stability </w:t>
      </w:r>
      <w:r w:rsidRPr="00816718">
        <w:rPr>
          <w:rFonts w:ascii="Times New Roman" w:hAnsi="Times New Roman" w:cs="Times New Roman"/>
        </w:rPr>
        <w:lastRenderedPageBreak/>
        <w:t>required the four median log-ratio signs to agree and the positive-direction proportion to remain strictly on the same side of 0.5. Relative- and absolute-scale direction signs are algebraically related and were not treated as independent corroboration.</w:t>
      </w:r>
    </w:p>
    <w:p w14:paraId="67C60799" w14:textId="77777777" w:rsidR="00816718" w:rsidRPr="00816718" w:rsidRDefault="00816718" w:rsidP="00816718">
      <w:pPr>
        <w:spacing w:line="480" w:lineRule="auto"/>
        <w:rPr>
          <w:rFonts w:ascii="Times New Roman" w:hAnsi="Times New Roman" w:cs="Times New Roman"/>
        </w:rPr>
      </w:pPr>
      <w:r w:rsidRPr="00816718">
        <w:rPr>
          <w:rFonts w:ascii="Times New Roman" w:hAnsi="Times New Roman" w:cs="Times New Roman"/>
        </w:rPr>
        <w:t>SDI analyses used a fixed 184-country exact-name set. Spearman rho was calculated from average tied ranks with no confirmatory p value. SDI quintiles used type-7 20th, 40th, 60th and 80th percentiles. These unweighted analyses are secondary ecological descriptions and do not identify causal pathways or effect-strength categories.</w:t>
      </w:r>
    </w:p>
    <w:p w14:paraId="331E775D" w14:textId="77777777" w:rsidR="00816718" w:rsidRPr="00712B08" w:rsidRDefault="00816718" w:rsidP="00816718">
      <w:pPr>
        <w:spacing w:line="480" w:lineRule="auto"/>
        <w:rPr>
          <w:rFonts w:ascii="Times New Roman" w:hAnsi="Times New Roman" w:cs="Times New Roman"/>
          <w:b/>
          <w:bCs/>
        </w:rPr>
      </w:pPr>
      <w:r w:rsidRPr="00712B08">
        <w:rPr>
          <w:rFonts w:ascii="Times New Roman" w:hAnsi="Times New Roman" w:cs="Times New Roman"/>
          <w:b/>
          <w:bCs/>
        </w:rPr>
        <w:t>Current figure and table construction</w:t>
      </w:r>
    </w:p>
    <w:p w14:paraId="32D5EB26" w14:textId="77777777" w:rsidR="00816718" w:rsidRPr="00816718" w:rsidRDefault="00816718" w:rsidP="00816718">
      <w:pPr>
        <w:spacing w:line="480" w:lineRule="auto"/>
        <w:rPr>
          <w:rFonts w:ascii="Times New Roman" w:hAnsi="Times New Roman" w:cs="Times New Roman"/>
        </w:rPr>
      </w:pPr>
      <w:r w:rsidRPr="00816718">
        <w:rPr>
          <w:rFonts w:ascii="Times New Roman" w:hAnsi="Times New Roman" w:cs="Times New Roman"/>
        </w:rPr>
        <w:t>Figure 1 is the unchanged accepted descriptive TIFF. Phase C.1 generated Figure 2 and Figure 3 from the registered curve summaries and frozen V3 decision objects through versioned relative-path R builders. Table 2 reproduces the ten V3 curve decisions; Supplementary Table 2 reproduces marginal-envelope counts, 204-country summaries and 184-country SDI correlations. Figure 2 direct endpoint labels and the Figure 3D direction-only horizontal encoding were added as presentation controls without changing scientific numbers.</w:t>
      </w:r>
    </w:p>
    <w:p w14:paraId="53AAEBC4" w14:textId="77777777" w:rsidR="00816718" w:rsidRPr="00816718" w:rsidRDefault="00816718" w:rsidP="00816718">
      <w:pPr>
        <w:spacing w:line="480" w:lineRule="auto"/>
        <w:rPr>
          <w:rFonts w:ascii="Times New Roman" w:hAnsi="Times New Roman" w:cs="Times New Roman"/>
        </w:rPr>
      </w:pPr>
      <w:r w:rsidRPr="00816718">
        <w:rPr>
          <w:rFonts w:ascii="Times New Roman" w:hAnsi="Times New Roman" w:cs="Times New Roman"/>
        </w:rPr>
        <w:t>The accepted Figure 2 and Figure 3 PDFs are each 491×646 points, approximately 17.321389×22.789444 cm and within ±0.05 cm of the nominal 17.35×22.8 cm canvas. Their TIFF counterparts are 5,464×7,181 pixels at 800 dpi. Helvetica and Helvetica-Bold remain non-embedded standard Type 1 PDF fonts. These files remain internal scientific successors and are not active upload masters.</w:t>
      </w:r>
    </w:p>
    <w:p w14:paraId="5F23ABAC" w14:textId="77777777" w:rsidR="00816718" w:rsidRPr="00712B08" w:rsidRDefault="00816718" w:rsidP="00816718">
      <w:pPr>
        <w:spacing w:line="480" w:lineRule="auto"/>
        <w:rPr>
          <w:rFonts w:ascii="Times New Roman" w:hAnsi="Times New Roman" w:cs="Times New Roman"/>
          <w:b/>
          <w:bCs/>
        </w:rPr>
      </w:pPr>
      <w:r w:rsidRPr="00712B08">
        <w:rPr>
          <w:rFonts w:ascii="Times New Roman" w:hAnsi="Times New Roman" w:cs="Times New Roman"/>
          <w:b/>
          <w:bCs/>
        </w:rPr>
        <w:t>Canonical execution and interpretation boundary</w:t>
      </w:r>
    </w:p>
    <w:p w14:paraId="767DCDC8" w14:textId="77777777" w:rsidR="00816718" w:rsidRPr="00816718" w:rsidRDefault="00816718" w:rsidP="00816718">
      <w:pPr>
        <w:spacing w:line="480" w:lineRule="auto"/>
        <w:rPr>
          <w:rFonts w:ascii="Times New Roman" w:hAnsi="Times New Roman" w:cs="Times New Roman"/>
        </w:rPr>
      </w:pPr>
      <w:r w:rsidRPr="00816718">
        <w:rPr>
          <w:rFonts w:ascii="Times New Roman" w:hAnsi="Times New Roman" w:cs="Times New Roman"/>
        </w:rPr>
        <w:t xml:space="preserve">Relative-path entry points rebuild registered-input results. The V3 adjudication and Phase C.1 </w:t>
      </w:r>
      <w:r w:rsidRPr="00816718">
        <w:rPr>
          <w:rFonts w:ascii="Times New Roman" w:hAnsi="Times New Roman" w:cs="Times New Roman"/>
        </w:rPr>
        <w:lastRenderedPageBreak/>
        <w:t>asset builders are separately hash-bound and produce versioned CSV, PDF, TIFF and Markdown objects. Phase D adds DOCX representations only; it does not rerun models or change any scientific data layer. Deterministic identity and file hashes establish exact object identity, not missing upstream provenance.</w:t>
      </w:r>
    </w:p>
    <w:p w14:paraId="534C6BDD" w14:textId="77777777" w:rsidR="00816718" w:rsidRPr="00816718" w:rsidRDefault="00816718" w:rsidP="00816718">
      <w:pPr>
        <w:spacing w:line="480" w:lineRule="auto"/>
        <w:rPr>
          <w:rFonts w:ascii="Times New Roman" w:hAnsi="Times New Roman" w:cs="Times New Roman"/>
        </w:rPr>
      </w:pPr>
      <w:r w:rsidRPr="00816718">
        <w:rPr>
          <w:rFonts w:ascii="Times New Roman" w:hAnsi="Times New Roman" w:cs="Times New Roman"/>
        </w:rPr>
        <w:t>Remaining limitations are unchanged: original GBD query/export/conversion provenance was unavailable; raw draws and female–male covariance were unavailable; the study is ecological; five-year age grouping limits precision; the five-model candidate set is not exhaustive; residual correlation and multiplicity remain limitations; DALYs may not parallel structural disease; and Female/Male categories do not capture gender or all sex biology. Outputs support joint-specific, scale-dependent description and hypothesis generation, not causal mechanisms, menopause timing, recruitment thresholds, treatment windows or clinical advice.</w:t>
      </w:r>
    </w:p>
    <w:p w14:paraId="72F71345" w14:textId="35D2E104" w:rsidR="0069583A" w:rsidRPr="00816718" w:rsidRDefault="00816718" w:rsidP="00816718">
      <w:pPr>
        <w:spacing w:line="480" w:lineRule="auto"/>
        <w:rPr>
          <w:rFonts w:ascii="Times New Roman" w:hAnsi="Times New Roman" w:cs="Times New Roman"/>
        </w:rPr>
      </w:pPr>
      <w:r w:rsidRPr="00816718">
        <w:rPr>
          <w:rFonts w:ascii="Times New Roman" w:hAnsi="Times New Roman" w:cs="Times New Roman"/>
        </w:rPr>
        <w:t>This Supplementary Methods successor is internal and non-active. It remains pending one independent exact-hash review and does not authorize P0 closure, promotion, external display, upload or submission.</w:t>
      </w:r>
    </w:p>
    <w:sectPr w:rsidR="0069583A" w:rsidRPr="0081671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40BD"/>
    <w:rsid w:val="001930BF"/>
    <w:rsid w:val="001B53DC"/>
    <w:rsid w:val="00252E5B"/>
    <w:rsid w:val="0028344E"/>
    <w:rsid w:val="003C6DAC"/>
    <w:rsid w:val="00535BE0"/>
    <w:rsid w:val="0069583A"/>
    <w:rsid w:val="00712B08"/>
    <w:rsid w:val="007460E5"/>
    <w:rsid w:val="00816718"/>
    <w:rsid w:val="00976D45"/>
    <w:rsid w:val="00AB40BD"/>
    <w:rsid w:val="00C25E6C"/>
    <w:rsid w:val="00C70098"/>
    <w:rsid w:val="00ED4412"/>
    <w:rsid w:val="00F974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35B88D86"/>
  <w15:chartTrackingRefBased/>
  <w15:docId w15:val="{98E8E4B2-26FF-2B40-9CA0-3066E9627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AB40BD"/>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AB40BD"/>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AB40BD"/>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AB40BD"/>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AB40BD"/>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AB40BD"/>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AB40BD"/>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AB40BD"/>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AB40BD"/>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AB40BD"/>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AB40BD"/>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AB40BD"/>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AB40BD"/>
    <w:rPr>
      <w:rFonts w:cstheme="majorBidi"/>
      <w:color w:val="0F4761" w:themeColor="accent1" w:themeShade="BF"/>
      <w:sz w:val="28"/>
      <w:szCs w:val="28"/>
    </w:rPr>
  </w:style>
  <w:style w:type="character" w:customStyle="1" w:styleId="50">
    <w:name w:val="标题 5 字符"/>
    <w:basedOn w:val="a0"/>
    <w:link w:val="5"/>
    <w:uiPriority w:val="9"/>
    <w:semiHidden/>
    <w:rsid w:val="00AB40BD"/>
    <w:rPr>
      <w:rFonts w:cstheme="majorBidi"/>
      <w:color w:val="0F4761" w:themeColor="accent1" w:themeShade="BF"/>
      <w:sz w:val="24"/>
    </w:rPr>
  </w:style>
  <w:style w:type="character" w:customStyle="1" w:styleId="60">
    <w:name w:val="标题 6 字符"/>
    <w:basedOn w:val="a0"/>
    <w:link w:val="6"/>
    <w:uiPriority w:val="9"/>
    <w:semiHidden/>
    <w:rsid w:val="00AB40BD"/>
    <w:rPr>
      <w:rFonts w:cstheme="majorBidi"/>
      <w:b/>
      <w:bCs/>
      <w:color w:val="0F4761" w:themeColor="accent1" w:themeShade="BF"/>
    </w:rPr>
  </w:style>
  <w:style w:type="character" w:customStyle="1" w:styleId="70">
    <w:name w:val="标题 7 字符"/>
    <w:basedOn w:val="a0"/>
    <w:link w:val="7"/>
    <w:uiPriority w:val="9"/>
    <w:semiHidden/>
    <w:rsid w:val="00AB40BD"/>
    <w:rPr>
      <w:rFonts w:cstheme="majorBidi"/>
      <w:b/>
      <w:bCs/>
      <w:color w:val="595959" w:themeColor="text1" w:themeTint="A6"/>
    </w:rPr>
  </w:style>
  <w:style w:type="character" w:customStyle="1" w:styleId="80">
    <w:name w:val="标题 8 字符"/>
    <w:basedOn w:val="a0"/>
    <w:link w:val="8"/>
    <w:uiPriority w:val="9"/>
    <w:semiHidden/>
    <w:rsid w:val="00AB40BD"/>
    <w:rPr>
      <w:rFonts w:cstheme="majorBidi"/>
      <w:color w:val="595959" w:themeColor="text1" w:themeTint="A6"/>
    </w:rPr>
  </w:style>
  <w:style w:type="character" w:customStyle="1" w:styleId="90">
    <w:name w:val="标题 9 字符"/>
    <w:basedOn w:val="a0"/>
    <w:link w:val="9"/>
    <w:uiPriority w:val="9"/>
    <w:semiHidden/>
    <w:rsid w:val="00AB40BD"/>
    <w:rPr>
      <w:rFonts w:eastAsiaTheme="majorEastAsia" w:cstheme="majorBidi"/>
      <w:color w:val="595959" w:themeColor="text1" w:themeTint="A6"/>
    </w:rPr>
  </w:style>
  <w:style w:type="paragraph" w:styleId="a3">
    <w:name w:val="Title"/>
    <w:basedOn w:val="a"/>
    <w:next w:val="a"/>
    <w:link w:val="a4"/>
    <w:uiPriority w:val="10"/>
    <w:qFormat/>
    <w:rsid w:val="00AB40BD"/>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AB40B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B40BD"/>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AB40B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B40BD"/>
    <w:pPr>
      <w:spacing w:before="160"/>
      <w:jc w:val="center"/>
    </w:pPr>
    <w:rPr>
      <w:i/>
      <w:iCs/>
      <w:color w:val="404040" w:themeColor="text1" w:themeTint="BF"/>
    </w:rPr>
  </w:style>
  <w:style w:type="character" w:customStyle="1" w:styleId="a8">
    <w:name w:val="引用 字符"/>
    <w:basedOn w:val="a0"/>
    <w:link w:val="a7"/>
    <w:uiPriority w:val="29"/>
    <w:rsid w:val="00AB40BD"/>
    <w:rPr>
      <w:i/>
      <w:iCs/>
      <w:color w:val="404040" w:themeColor="text1" w:themeTint="BF"/>
    </w:rPr>
  </w:style>
  <w:style w:type="paragraph" w:styleId="a9">
    <w:name w:val="List Paragraph"/>
    <w:basedOn w:val="a"/>
    <w:uiPriority w:val="34"/>
    <w:qFormat/>
    <w:rsid w:val="00AB40BD"/>
    <w:pPr>
      <w:ind w:left="720"/>
      <w:contextualSpacing/>
    </w:pPr>
  </w:style>
  <w:style w:type="character" w:styleId="aa">
    <w:name w:val="Intense Emphasis"/>
    <w:basedOn w:val="a0"/>
    <w:uiPriority w:val="21"/>
    <w:qFormat/>
    <w:rsid w:val="00AB40BD"/>
    <w:rPr>
      <w:i/>
      <w:iCs/>
      <w:color w:val="0F4761" w:themeColor="accent1" w:themeShade="BF"/>
    </w:rPr>
  </w:style>
  <w:style w:type="paragraph" w:styleId="ab">
    <w:name w:val="Intense Quote"/>
    <w:basedOn w:val="a"/>
    <w:next w:val="a"/>
    <w:link w:val="ac"/>
    <w:uiPriority w:val="30"/>
    <w:qFormat/>
    <w:rsid w:val="00AB40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AB40BD"/>
    <w:rPr>
      <w:i/>
      <w:iCs/>
      <w:color w:val="0F4761" w:themeColor="accent1" w:themeShade="BF"/>
    </w:rPr>
  </w:style>
  <w:style w:type="character" w:styleId="ad">
    <w:name w:val="Intense Reference"/>
    <w:basedOn w:val="a0"/>
    <w:uiPriority w:val="32"/>
    <w:qFormat/>
    <w:rsid w:val="00AB40B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8</Pages>
  <Words>1633</Words>
  <Characters>10963</Characters>
  <Application>Microsoft Office Word</Application>
  <DocSecurity>0</DocSecurity>
  <Lines>150</Lines>
  <Paragraphs>56</Paragraphs>
  <ScaleCrop>false</ScaleCrop>
  <Company/>
  <LinksUpToDate>false</LinksUpToDate>
  <CharactersWithSpaces>12540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Dean Liu</dc:creator>
  <cp:keywords/>
  <dc:description/>
  <cp:lastModifiedBy>Dean Liu</cp:lastModifiedBy>
  <cp:revision>10</cp:revision>
  <dcterms:created xsi:type="dcterms:W3CDTF">2026-09-07T08:07:00Z</dcterms:created>
  <dcterms:modified xsi:type="dcterms:W3CDTF">2026-09-07T08:10:00Z</dcterms:modified>
</cp:coreProperties>
</file>