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1AA20" w14:textId="4D164CE0" w:rsidR="009C241F" w:rsidRPr="00124E95" w:rsidRDefault="007F7671" w:rsidP="002A3DB4">
      <w:pPr>
        <w:spacing w:before="100" w:beforeAutospacing="1" w:after="100" w:afterAutospacing="1"/>
        <w:jc w:val="center"/>
      </w:pPr>
      <w:r w:rsidRPr="007F7671">
        <w:rPr>
          <w:b/>
          <w:bCs/>
        </w:rPr>
        <w:t xml:space="preserve">Supplementary Table </w:t>
      </w:r>
      <w:r>
        <w:rPr>
          <w:rFonts w:hint="eastAsia"/>
          <w:b/>
          <w:bCs/>
        </w:rPr>
        <w:t>1</w:t>
      </w:r>
      <w:r w:rsidR="009C241F" w:rsidRPr="00124E95">
        <w:rPr>
          <w:b/>
          <w:bCs/>
        </w:rPr>
        <w:t>. Summary of Hormone Replacement Therapy and Osteoarthritis Studies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0" w:type="dxa"/>
          <w:bottom w:w="80" w:type="dxa"/>
          <w:right w:w="100" w:type="dxa"/>
        </w:tblCellMar>
        <w:tblLook w:val="04A0" w:firstRow="1" w:lastRow="0" w:firstColumn="1" w:lastColumn="0" w:noHBand="0" w:noVBand="1"/>
      </w:tblPr>
      <w:tblGrid>
        <w:gridCol w:w="2612"/>
        <w:gridCol w:w="2612"/>
        <w:gridCol w:w="2613"/>
        <w:gridCol w:w="2613"/>
      </w:tblGrid>
      <w:tr w:rsidR="009C241F" w:rsidRPr="00124E95" w14:paraId="795310E7" w14:textId="77777777" w:rsidTr="00F2599E">
        <w:trPr>
          <w:tblHeader/>
        </w:trPr>
        <w:tc>
          <w:tcPr>
            <w:tcW w:w="1250"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6885362" w14:textId="77777777" w:rsidR="009C241F" w:rsidRPr="00124E95" w:rsidRDefault="009C241F" w:rsidP="002A3DB4">
            <w:pPr>
              <w:spacing w:before="100" w:beforeAutospacing="1" w:after="100" w:afterAutospacing="1"/>
              <w:jc w:val="center"/>
              <w:rPr>
                <w:sz w:val="16"/>
                <w:szCs w:val="16"/>
              </w:rPr>
            </w:pPr>
            <w:r w:rsidRPr="00124E95">
              <w:rPr>
                <w:b/>
                <w:bCs/>
                <w:sz w:val="16"/>
                <w:szCs w:val="16"/>
              </w:rPr>
              <w:t>Study Design &amp; Population</w:t>
            </w:r>
          </w:p>
        </w:tc>
        <w:tc>
          <w:tcPr>
            <w:tcW w:w="1250"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6F3B48F" w14:textId="77777777" w:rsidR="009C241F" w:rsidRPr="00124E95" w:rsidRDefault="009C241F" w:rsidP="002A3DB4">
            <w:pPr>
              <w:spacing w:before="100" w:beforeAutospacing="1" w:after="100" w:afterAutospacing="1"/>
              <w:jc w:val="center"/>
              <w:rPr>
                <w:sz w:val="16"/>
                <w:szCs w:val="16"/>
              </w:rPr>
            </w:pPr>
            <w:r w:rsidRPr="00124E95">
              <w:rPr>
                <w:b/>
                <w:bCs/>
                <w:sz w:val="16"/>
                <w:szCs w:val="16"/>
              </w:rPr>
              <w:t>HRT Exposure</w:t>
            </w:r>
          </w:p>
        </w:tc>
        <w:tc>
          <w:tcPr>
            <w:tcW w:w="1250"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E62C99B" w14:textId="77777777" w:rsidR="009C241F" w:rsidRPr="00124E95" w:rsidRDefault="009C241F" w:rsidP="002A3DB4">
            <w:pPr>
              <w:spacing w:before="100" w:beforeAutospacing="1" w:after="100" w:afterAutospacing="1"/>
              <w:jc w:val="center"/>
              <w:rPr>
                <w:sz w:val="16"/>
                <w:szCs w:val="16"/>
              </w:rPr>
            </w:pPr>
            <w:r w:rsidRPr="00124E95">
              <w:rPr>
                <w:b/>
                <w:bCs/>
                <w:sz w:val="16"/>
                <w:szCs w:val="16"/>
              </w:rPr>
              <w:t>OA/Joint Outcome</w:t>
            </w:r>
          </w:p>
        </w:tc>
        <w:tc>
          <w:tcPr>
            <w:tcW w:w="1250"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EDD42A9" w14:textId="77777777" w:rsidR="009C241F" w:rsidRPr="00124E95" w:rsidRDefault="009C241F" w:rsidP="002A3DB4">
            <w:pPr>
              <w:spacing w:before="100" w:beforeAutospacing="1" w:after="100" w:afterAutospacing="1"/>
              <w:jc w:val="center"/>
              <w:rPr>
                <w:sz w:val="16"/>
                <w:szCs w:val="16"/>
              </w:rPr>
            </w:pPr>
            <w:r w:rsidRPr="00124E95">
              <w:rPr>
                <w:b/>
                <w:bCs/>
                <w:sz w:val="16"/>
                <w:szCs w:val="16"/>
              </w:rPr>
              <w:t>Main Findings</w:t>
            </w:r>
          </w:p>
        </w:tc>
      </w:tr>
      <w:tr w:rsidR="009C241F" w:rsidRPr="00124E95" w14:paraId="3F47EB83" w14:textId="77777777" w:rsidTr="00F2599E">
        <w:tc>
          <w:tcPr>
            <w:tcW w:w="1250" w:type="pct"/>
            <w:tcBorders>
              <w:top w:val="single" w:sz="6" w:space="0" w:color="000000"/>
              <w:left w:val="single" w:sz="6" w:space="0" w:color="000000"/>
              <w:bottom w:val="single" w:sz="6" w:space="0" w:color="000000"/>
              <w:right w:val="single" w:sz="6" w:space="0" w:color="000000"/>
            </w:tcBorders>
          </w:tcPr>
          <w:p w14:paraId="02BC6103" w14:textId="77777777" w:rsidR="009C241F" w:rsidRPr="00124E95" w:rsidRDefault="009C241F" w:rsidP="002A3DB4">
            <w:pPr>
              <w:spacing w:before="100" w:beforeAutospacing="1" w:after="100" w:afterAutospacing="1"/>
              <w:rPr>
                <w:sz w:val="16"/>
                <w:szCs w:val="16"/>
              </w:rPr>
            </w:pPr>
            <w:r w:rsidRPr="00124E95">
              <w:rPr>
                <w:sz w:val="16"/>
                <w:szCs w:val="16"/>
              </w:rPr>
              <w:t xml:space="preserve">Cirillo et al., 2006, </w:t>
            </w:r>
            <w:r w:rsidRPr="00124E95">
              <w:rPr>
                <w:i/>
                <w:iCs/>
                <w:sz w:val="16"/>
                <w:szCs w:val="16"/>
              </w:rPr>
              <w:t>Arthritis &amp; Rheumatism</w:t>
            </w:r>
          </w:p>
          <w:p w14:paraId="0FE26392" w14:textId="77777777" w:rsidR="009C241F" w:rsidRPr="00124E95" w:rsidRDefault="009C241F" w:rsidP="002A3DB4">
            <w:pPr>
              <w:spacing w:before="100" w:beforeAutospacing="1" w:after="100" w:afterAutospacing="1"/>
              <w:rPr>
                <w:sz w:val="16"/>
                <w:szCs w:val="16"/>
              </w:rPr>
            </w:pPr>
            <w:r w:rsidRPr="00124E95">
              <w:rPr>
                <w:sz w:val="16"/>
                <w:szCs w:val="16"/>
              </w:rPr>
              <w:t>WHI RCTs; 26,321 postmenopausal women aged 50-79 years without prior hip/knee arthroplasty; mean follow-up ~6-7 years</w:t>
            </w:r>
          </w:p>
        </w:tc>
        <w:tc>
          <w:tcPr>
            <w:tcW w:w="1250" w:type="pct"/>
            <w:tcBorders>
              <w:top w:val="single" w:sz="6" w:space="0" w:color="000000"/>
              <w:left w:val="single" w:sz="6" w:space="0" w:color="000000"/>
              <w:bottom w:val="single" w:sz="6" w:space="0" w:color="000000"/>
              <w:right w:val="single" w:sz="6" w:space="0" w:color="000000"/>
            </w:tcBorders>
          </w:tcPr>
          <w:p w14:paraId="7B128359" w14:textId="77777777" w:rsidR="009C241F" w:rsidRPr="00124E95" w:rsidRDefault="009C241F" w:rsidP="002A3DB4">
            <w:pPr>
              <w:spacing w:before="100" w:beforeAutospacing="1" w:after="100" w:afterAutospacing="1"/>
              <w:rPr>
                <w:sz w:val="16"/>
                <w:szCs w:val="16"/>
              </w:rPr>
            </w:pPr>
            <w:r w:rsidRPr="00124E95">
              <w:rPr>
                <w:sz w:val="16"/>
                <w:szCs w:val="16"/>
              </w:rPr>
              <w:t>Oral CEE 0.625 mg/day vs placebo (hysterectomy group); CEE 0.625 mg/day + MPA 2.5 mg/day vs placebo (intact uterus group)</w:t>
            </w:r>
          </w:p>
        </w:tc>
        <w:tc>
          <w:tcPr>
            <w:tcW w:w="1250" w:type="pct"/>
            <w:tcBorders>
              <w:top w:val="single" w:sz="6" w:space="0" w:color="000000"/>
              <w:left w:val="single" w:sz="6" w:space="0" w:color="000000"/>
              <w:bottom w:val="single" w:sz="6" w:space="0" w:color="000000"/>
              <w:right w:val="single" w:sz="6" w:space="0" w:color="000000"/>
            </w:tcBorders>
          </w:tcPr>
          <w:p w14:paraId="1045DDBA" w14:textId="77777777" w:rsidR="009C241F" w:rsidRPr="00124E95" w:rsidRDefault="009C241F" w:rsidP="002A3DB4">
            <w:pPr>
              <w:spacing w:before="100" w:beforeAutospacing="1" w:after="100" w:afterAutospacing="1"/>
              <w:rPr>
                <w:sz w:val="16"/>
                <w:szCs w:val="16"/>
              </w:rPr>
            </w:pPr>
            <w:r w:rsidRPr="00124E95">
              <w:rPr>
                <w:sz w:val="16"/>
                <w:szCs w:val="16"/>
              </w:rPr>
              <w:t>Incident hip or knee arthroplasty for OA</w:t>
            </w:r>
          </w:p>
        </w:tc>
        <w:tc>
          <w:tcPr>
            <w:tcW w:w="1250" w:type="pct"/>
            <w:tcBorders>
              <w:top w:val="single" w:sz="6" w:space="0" w:color="000000"/>
              <w:left w:val="single" w:sz="6" w:space="0" w:color="000000"/>
              <w:bottom w:val="single" w:sz="6" w:space="0" w:color="000000"/>
              <w:right w:val="single" w:sz="6" w:space="0" w:color="000000"/>
            </w:tcBorders>
          </w:tcPr>
          <w:p w14:paraId="6357EDBA" w14:textId="77777777" w:rsidR="009C241F" w:rsidRPr="00124E95" w:rsidRDefault="009C241F" w:rsidP="002A3DB4">
            <w:pPr>
              <w:spacing w:before="100" w:beforeAutospacing="1" w:after="100" w:afterAutospacing="1"/>
              <w:rPr>
                <w:sz w:val="16"/>
                <w:szCs w:val="16"/>
              </w:rPr>
            </w:pPr>
            <w:r w:rsidRPr="00124E95">
              <w:rPr>
                <w:sz w:val="16"/>
                <w:szCs w:val="16"/>
              </w:rPr>
              <w:t xml:space="preserve">Estrogen-alone trial: modest reduction in hip/knee arthroplasty (HR ≈0.8-0.9), mainly driven by hip replacement, minimal effect on knee. </w:t>
            </w:r>
            <w:proofErr w:type="spellStart"/>
            <w:r w:rsidRPr="00124E95">
              <w:rPr>
                <w:sz w:val="16"/>
                <w:szCs w:val="16"/>
              </w:rPr>
              <w:t>Estrogen+progestin</w:t>
            </w:r>
            <w:proofErr w:type="spellEnd"/>
            <w:r w:rsidRPr="00124E95">
              <w:rPr>
                <w:sz w:val="16"/>
                <w:szCs w:val="16"/>
              </w:rPr>
              <w:t xml:space="preserve"> trial: no reduction in arthroplasty rates.</w:t>
            </w:r>
          </w:p>
        </w:tc>
      </w:tr>
      <w:tr w:rsidR="009C241F" w:rsidRPr="00124E95" w14:paraId="4180583E" w14:textId="77777777" w:rsidTr="00F2599E">
        <w:tc>
          <w:tcPr>
            <w:tcW w:w="1250" w:type="pct"/>
            <w:tcBorders>
              <w:top w:val="single" w:sz="6" w:space="0" w:color="000000"/>
              <w:left w:val="single" w:sz="6" w:space="0" w:color="000000"/>
              <w:bottom w:val="single" w:sz="6" w:space="0" w:color="000000"/>
              <w:right w:val="single" w:sz="6" w:space="0" w:color="000000"/>
            </w:tcBorders>
          </w:tcPr>
          <w:p w14:paraId="4522CC7E" w14:textId="77777777" w:rsidR="009C241F" w:rsidRPr="00124E95" w:rsidRDefault="009C241F" w:rsidP="002A3DB4">
            <w:pPr>
              <w:spacing w:before="100" w:beforeAutospacing="1" w:after="100" w:afterAutospacing="1"/>
              <w:rPr>
                <w:sz w:val="16"/>
                <w:szCs w:val="16"/>
              </w:rPr>
            </w:pPr>
            <w:r w:rsidRPr="00124E95">
              <w:rPr>
                <w:sz w:val="16"/>
                <w:szCs w:val="16"/>
              </w:rPr>
              <w:t xml:space="preserve">Liu et al., 2009, </w:t>
            </w:r>
            <w:r w:rsidRPr="00124E95">
              <w:rPr>
                <w:i/>
                <w:iCs/>
                <w:sz w:val="16"/>
                <w:szCs w:val="16"/>
              </w:rPr>
              <w:t>Annals of the Rheumatic Diseases</w:t>
            </w:r>
          </w:p>
          <w:p w14:paraId="630BD7B0" w14:textId="77777777" w:rsidR="009C241F" w:rsidRPr="00124E95" w:rsidRDefault="009C241F" w:rsidP="002A3DB4">
            <w:pPr>
              <w:spacing w:before="100" w:beforeAutospacing="1" w:after="100" w:afterAutospacing="1"/>
              <w:rPr>
                <w:sz w:val="16"/>
                <w:szCs w:val="16"/>
              </w:rPr>
            </w:pPr>
            <w:r w:rsidRPr="00124E95">
              <w:rPr>
                <w:sz w:val="16"/>
                <w:szCs w:val="16"/>
              </w:rPr>
              <w:t>Million Women Study; ~1.3 million middle-aged UK women (mean age ~56 years); mean follow-up ~6 years</w:t>
            </w:r>
          </w:p>
        </w:tc>
        <w:tc>
          <w:tcPr>
            <w:tcW w:w="1250" w:type="pct"/>
            <w:tcBorders>
              <w:top w:val="single" w:sz="6" w:space="0" w:color="000000"/>
              <w:left w:val="single" w:sz="6" w:space="0" w:color="000000"/>
              <w:bottom w:val="single" w:sz="6" w:space="0" w:color="000000"/>
              <w:right w:val="single" w:sz="6" w:space="0" w:color="000000"/>
            </w:tcBorders>
          </w:tcPr>
          <w:p w14:paraId="585E5394" w14:textId="77777777" w:rsidR="009C241F" w:rsidRPr="00124E95" w:rsidRDefault="009C241F" w:rsidP="002A3DB4">
            <w:pPr>
              <w:spacing w:before="100" w:beforeAutospacing="1" w:after="100" w:afterAutospacing="1"/>
              <w:rPr>
                <w:sz w:val="16"/>
                <w:szCs w:val="16"/>
              </w:rPr>
            </w:pPr>
            <w:r w:rsidRPr="00124E95">
              <w:rPr>
                <w:sz w:val="16"/>
                <w:szCs w:val="16"/>
              </w:rPr>
              <w:t>Current, past, or never use of postmenopausal HRT; other reproductive factors assessed</w:t>
            </w:r>
          </w:p>
        </w:tc>
        <w:tc>
          <w:tcPr>
            <w:tcW w:w="1250" w:type="pct"/>
            <w:tcBorders>
              <w:top w:val="single" w:sz="6" w:space="0" w:color="000000"/>
              <w:left w:val="single" w:sz="6" w:space="0" w:color="000000"/>
              <w:bottom w:val="single" w:sz="6" w:space="0" w:color="000000"/>
              <w:right w:val="single" w:sz="6" w:space="0" w:color="000000"/>
            </w:tcBorders>
          </w:tcPr>
          <w:p w14:paraId="35B92A09" w14:textId="77777777" w:rsidR="009C241F" w:rsidRPr="00124E95" w:rsidRDefault="009C241F" w:rsidP="002A3DB4">
            <w:pPr>
              <w:spacing w:before="100" w:beforeAutospacing="1" w:after="100" w:afterAutospacing="1"/>
              <w:rPr>
                <w:sz w:val="16"/>
                <w:szCs w:val="16"/>
              </w:rPr>
            </w:pPr>
            <w:r w:rsidRPr="00124E95">
              <w:rPr>
                <w:sz w:val="16"/>
                <w:szCs w:val="16"/>
              </w:rPr>
              <w:t>First hospital admission for hip or knee replacement with OA as primary diagnosis</w:t>
            </w:r>
          </w:p>
        </w:tc>
        <w:tc>
          <w:tcPr>
            <w:tcW w:w="1250" w:type="pct"/>
            <w:tcBorders>
              <w:top w:val="single" w:sz="6" w:space="0" w:color="000000"/>
              <w:left w:val="single" w:sz="6" w:space="0" w:color="000000"/>
              <w:bottom w:val="single" w:sz="6" w:space="0" w:color="000000"/>
              <w:right w:val="single" w:sz="6" w:space="0" w:color="000000"/>
            </w:tcBorders>
          </w:tcPr>
          <w:p w14:paraId="1B8E69DF" w14:textId="77777777" w:rsidR="009C241F" w:rsidRPr="00124E95" w:rsidRDefault="009C241F" w:rsidP="002A3DB4">
            <w:pPr>
              <w:spacing w:before="100" w:beforeAutospacing="1" w:after="100" w:afterAutospacing="1"/>
              <w:rPr>
                <w:sz w:val="16"/>
                <w:szCs w:val="16"/>
              </w:rPr>
            </w:pPr>
            <w:r w:rsidRPr="00124E95">
              <w:rPr>
                <w:sz w:val="16"/>
                <w:szCs w:val="16"/>
              </w:rPr>
              <w:t>Current HRT use associated with higher incidence of hip and knee replacement (hip RR ≈1.4, knee RR ≈1.6 vs never-users). No clear protective association with menopausal status or age at menopause.</w:t>
            </w:r>
          </w:p>
        </w:tc>
      </w:tr>
      <w:tr w:rsidR="009C241F" w:rsidRPr="00124E95" w14:paraId="282CBAA5" w14:textId="77777777" w:rsidTr="00F2599E">
        <w:tc>
          <w:tcPr>
            <w:tcW w:w="1250" w:type="pct"/>
            <w:tcBorders>
              <w:top w:val="single" w:sz="6" w:space="0" w:color="000000"/>
              <w:left w:val="single" w:sz="6" w:space="0" w:color="000000"/>
              <w:bottom w:val="single" w:sz="6" w:space="0" w:color="000000"/>
              <w:right w:val="single" w:sz="6" w:space="0" w:color="000000"/>
            </w:tcBorders>
          </w:tcPr>
          <w:p w14:paraId="73C62042" w14:textId="77777777" w:rsidR="009C241F" w:rsidRPr="00124E95" w:rsidRDefault="009C241F" w:rsidP="002A3DB4">
            <w:pPr>
              <w:spacing w:before="100" w:beforeAutospacing="1" w:after="100" w:afterAutospacing="1"/>
              <w:rPr>
                <w:sz w:val="16"/>
                <w:szCs w:val="16"/>
              </w:rPr>
            </w:pPr>
            <w:r w:rsidRPr="00124E95">
              <w:rPr>
                <w:sz w:val="16"/>
                <w:szCs w:val="16"/>
              </w:rPr>
              <w:t xml:space="preserve">Leung et al., 2019, </w:t>
            </w:r>
            <w:r w:rsidRPr="00124E95">
              <w:rPr>
                <w:i/>
                <w:iCs/>
                <w:sz w:val="16"/>
                <w:szCs w:val="16"/>
              </w:rPr>
              <w:t>Osteoarthritis &amp; Cartilage</w:t>
            </w:r>
          </w:p>
          <w:p w14:paraId="12D066BC" w14:textId="77777777" w:rsidR="009C241F" w:rsidRPr="00124E95" w:rsidRDefault="009C241F" w:rsidP="002A3DB4">
            <w:pPr>
              <w:spacing w:before="100" w:beforeAutospacing="1" w:after="100" w:afterAutospacing="1"/>
              <w:rPr>
                <w:sz w:val="16"/>
                <w:szCs w:val="16"/>
              </w:rPr>
            </w:pPr>
            <w:r w:rsidRPr="00124E95">
              <w:rPr>
                <w:sz w:val="16"/>
                <w:szCs w:val="16"/>
              </w:rPr>
              <w:t>Singapore Chinese Health Study; 35,000+ Chinese women; mean follow-up ~15 years; 1,600+ incident TKR</w:t>
            </w:r>
          </w:p>
        </w:tc>
        <w:tc>
          <w:tcPr>
            <w:tcW w:w="1250" w:type="pct"/>
            <w:tcBorders>
              <w:top w:val="single" w:sz="6" w:space="0" w:color="000000"/>
              <w:left w:val="single" w:sz="6" w:space="0" w:color="000000"/>
              <w:bottom w:val="single" w:sz="6" w:space="0" w:color="000000"/>
              <w:right w:val="single" w:sz="6" w:space="0" w:color="000000"/>
            </w:tcBorders>
          </w:tcPr>
          <w:p w14:paraId="6001FD5B" w14:textId="77777777" w:rsidR="009C241F" w:rsidRPr="00124E95" w:rsidRDefault="009C241F" w:rsidP="002A3DB4">
            <w:pPr>
              <w:spacing w:before="100" w:beforeAutospacing="1" w:after="100" w:afterAutospacing="1"/>
              <w:rPr>
                <w:sz w:val="16"/>
                <w:szCs w:val="16"/>
              </w:rPr>
            </w:pPr>
            <w:r w:rsidRPr="00124E95">
              <w:rPr>
                <w:sz w:val="16"/>
                <w:szCs w:val="16"/>
              </w:rPr>
              <w:t>Reproductive factors (parity, age at menarche/menopause, oral contraceptive use) and ever-use of HRT (yes/no)</w:t>
            </w:r>
          </w:p>
        </w:tc>
        <w:tc>
          <w:tcPr>
            <w:tcW w:w="1250" w:type="pct"/>
            <w:tcBorders>
              <w:top w:val="single" w:sz="6" w:space="0" w:color="000000"/>
              <w:left w:val="single" w:sz="6" w:space="0" w:color="000000"/>
              <w:bottom w:val="single" w:sz="6" w:space="0" w:color="000000"/>
              <w:right w:val="single" w:sz="6" w:space="0" w:color="000000"/>
            </w:tcBorders>
          </w:tcPr>
          <w:p w14:paraId="47617BB4" w14:textId="77777777" w:rsidR="009C241F" w:rsidRPr="00124E95" w:rsidRDefault="009C241F" w:rsidP="002A3DB4">
            <w:pPr>
              <w:spacing w:before="100" w:beforeAutospacing="1" w:after="100" w:afterAutospacing="1"/>
              <w:rPr>
                <w:sz w:val="16"/>
                <w:szCs w:val="16"/>
              </w:rPr>
            </w:pPr>
            <w:r w:rsidRPr="00124E95">
              <w:rPr>
                <w:sz w:val="16"/>
                <w:szCs w:val="16"/>
              </w:rPr>
              <w:t>Incident TKR with OA as discharge diagnosis</w:t>
            </w:r>
          </w:p>
        </w:tc>
        <w:tc>
          <w:tcPr>
            <w:tcW w:w="1250" w:type="pct"/>
            <w:tcBorders>
              <w:top w:val="single" w:sz="6" w:space="0" w:color="000000"/>
              <w:left w:val="single" w:sz="6" w:space="0" w:color="000000"/>
              <w:bottom w:val="single" w:sz="6" w:space="0" w:color="000000"/>
              <w:right w:val="single" w:sz="6" w:space="0" w:color="000000"/>
            </w:tcBorders>
          </w:tcPr>
          <w:p w14:paraId="01D37499" w14:textId="77777777" w:rsidR="009C241F" w:rsidRPr="00124E95" w:rsidRDefault="009C241F" w:rsidP="002A3DB4">
            <w:pPr>
              <w:spacing w:before="100" w:beforeAutospacing="1" w:after="100" w:afterAutospacing="1"/>
              <w:rPr>
                <w:sz w:val="16"/>
                <w:szCs w:val="16"/>
              </w:rPr>
            </w:pPr>
            <w:r w:rsidRPr="00124E95">
              <w:rPr>
                <w:sz w:val="16"/>
                <w:szCs w:val="16"/>
              </w:rPr>
              <w:t xml:space="preserve">Higher parity, earlier menarche, and long-term oral contraceptive use associated with </w:t>
            </w:r>
            <w:r w:rsidRPr="00124E95">
              <w:rPr>
                <w:b/>
                <w:bCs/>
                <w:sz w:val="16"/>
                <w:szCs w:val="16"/>
              </w:rPr>
              <w:t>increased</w:t>
            </w:r>
            <w:r w:rsidRPr="00124E95">
              <w:rPr>
                <w:sz w:val="16"/>
                <w:szCs w:val="16"/>
              </w:rPr>
              <w:t xml:space="preserve"> TKR risk, especially in lean women. Ever-use of HRT not significantly associated with TKR risk (HR ≈1.1, 95% CI overlapping 1).</w:t>
            </w:r>
          </w:p>
        </w:tc>
      </w:tr>
      <w:tr w:rsidR="009C241F" w:rsidRPr="00124E95" w14:paraId="6BBA4764" w14:textId="77777777" w:rsidTr="00F2599E">
        <w:tc>
          <w:tcPr>
            <w:tcW w:w="1250" w:type="pct"/>
            <w:tcBorders>
              <w:top w:val="single" w:sz="6" w:space="0" w:color="000000"/>
              <w:left w:val="single" w:sz="6" w:space="0" w:color="000000"/>
              <w:bottom w:val="single" w:sz="6" w:space="0" w:color="000000"/>
              <w:right w:val="single" w:sz="6" w:space="0" w:color="000000"/>
            </w:tcBorders>
          </w:tcPr>
          <w:p w14:paraId="57011419" w14:textId="77777777" w:rsidR="009C241F" w:rsidRPr="00124E95" w:rsidRDefault="009C241F" w:rsidP="002A3DB4">
            <w:pPr>
              <w:spacing w:before="100" w:beforeAutospacing="1" w:after="100" w:afterAutospacing="1"/>
              <w:rPr>
                <w:sz w:val="16"/>
                <w:szCs w:val="16"/>
              </w:rPr>
            </w:pPr>
            <w:r w:rsidRPr="00124E95">
              <w:rPr>
                <w:sz w:val="16"/>
                <w:szCs w:val="16"/>
              </w:rPr>
              <w:t xml:space="preserve">Williams et al., 2022, </w:t>
            </w:r>
            <w:r w:rsidRPr="00124E95">
              <w:rPr>
                <w:i/>
                <w:iCs/>
                <w:sz w:val="16"/>
                <w:szCs w:val="16"/>
              </w:rPr>
              <w:t>Lancet Rheumatology</w:t>
            </w:r>
          </w:p>
          <w:p w14:paraId="5F6CF0DA" w14:textId="77777777" w:rsidR="009C241F" w:rsidRPr="00124E95" w:rsidRDefault="009C241F" w:rsidP="002A3DB4">
            <w:pPr>
              <w:spacing w:before="100" w:beforeAutospacing="1" w:after="100" w:afterAutospacing="1"/>
              <w:rPr>
                <w:sz w:val="16"/>
                <w:szCs w:val="16"/>
              </w:rPr>
            </w:pPr>
            <w:r w:rsidRPr="00124E95">
              <w:rPr>
                <w:sz w:val="16"/>
                <w:szCs w:val="16"/>
              </w:rPr>
              <w:t>HOPE-e feasibility RCT; 28 postmenopausal women aged 40-65 years, 1-10 years post final menstrual period, with symptomatic hand OA and ≥2 painful joints</w:t>
            </w:r>
          </w:p>
        </w:tc>
        <w:tc>
          <w:tcPr>
            <w:tcW w:w="1250" w:type="pct"/>
            <w:tcBorders>
              <w:top w:val="single" w:sz="6" w:space="0" w:color="000000"/>
              <w:left w:val="single" w:sz="6" w:space="0" w:color="000000"/>
              <w:bottom w:val="single" w:sz="6" w:space="0" w:color="000000"/>
              <w:right w:val="single" w:sz="6" w:space="0" w:color="000000"/>
            </w:tcBorders>
          </w:tcPr>
          <w:p w14:paraId="7160B901" w14:textId="77777777" w:rsidR="009C241F" w:rsidRPr="00124E95" w:rsidRDefault="009C241F" w:rsidP="002A3DB4">
            <w:pPr>
              <w:spacing w:before="100" w:beforeAutospacing="1" w:after="100" w:afterAutospacing="1"/>
              <w:rPr>
                <w:sz w:val="16"/>
                <w:szCs w:val="16"/>
              </w:rPr>
            </w:pPr>
            <w:r w:rsidRPr="00124E95">
              <w:rPr>
                <w:sz w:val="16"/>
                <w:szCs w:val="16"/>
              </w:rPr>
              <w:t>Oral conjugated estrogens 0.45 mg + bazedoxifene 20 mg once daily for 24 weeks with 4-week taper, vs matching placebo</w:t>
            </w:r>
          </w:p>
        </w:tc>
        <w:tc>
          <w:tcPr>
            <w:tcW w:w="1250" w:type="pct"/>
            <w:tcBorders>
              <w:top w:val="single" w:sz="6" w:space="0" w:color="000000"/>
              <w:left w:val="single" w:sz="6" w:space="0" w:color="000000"/>
              <w:bottom w:val="single" w:sz="6" w:space="0" w:color="000000"/>
              <w:right w:val="single" w:sz="6" w:space="0" w:color="000000"/>
            </w:tcBorders>
          </w:tcPr>
          <w:p w14:paraId="26A64517" w14:textId="77777777" w:rsidR="009C241F" w:rsidRPr="00124E95" w:rsidRDefault="009C241F" w:rsidP="002A3DB4">
            <w:pPr>
              <w:spacing w:before="100" w:beforeAutospacing="1" w:after="100" w:afterAutospacing="1"/>
              <w:rPr>
                <w:sz w:val="16"/>
                <w:szCs w:val="16"/>
              </w:rPr>
            </w:pPr>
            <w:r w:rsidRPr="00124E95">
              <w:rPr>
                <w:sz w:val="16"/>
                <w:szCs w:val="16"/>
              </w:rPr>
              <w:t>Primary: feasibility outcomes. Secondary: change in hand pain and function, menopause symptoms, adverse events</w:t>
            </w:r>
          </w:p>
        </w:tc>
        <w:tc>
          <w:tcPr>
            <w:tcW w:w="1250" w:type="pct"/>
            <w:tcBorders>
              <w:top w:val="single" w:sz="6" w:space="0" w:color="000000"/>
              <w:left w:val="single" w:sz="6" w:space="0" w:color="000000"/>
              <w:bottom w:val="single" w:sz="6" w:space="0" w:color="000000"/>
              <w:right w:val="single" w:sz="6" w:space="0" w:color="000000"/>
            </w:tcBorders>
          </w:tcPr>
          <w:p w14:paraId="53B54238" w14:textId="77777777" w:rsidR="009C241F" w:rsidRPr="00124E95" w:rsidRDefault="009C241F" w:rsidP="002A3DB4">
            <w:pPr>
              <w:spacing w:before="100" w:beforeAutospacing="1" w:after="100" w:afterAutospacing="1"/>
              <w:rPr>
                <w:sz w:val="16"/>
                <w:szCs w:val="16"/>
              </w:rPr>
            </w:pPr>
            <w:r w:rsidRPr="00124E95">
              <w:rPr>
                <w:sz w:val="16"/>
                <w:szCs w:val="16"/>
              </w:rPr>
              <w:t>Met all feasibility criteria (high recruitment, 100% follow-up, high adherence, no serious adverse events). Similar hand pain reduction in HRT and placebo groups over 24 weeks, with possible rebound after stopping. Not powered for efficacy but supports feasibility of larger definitive trial.</w:t>
            </w:r>
          </w:p>
        </w:tc>
      </w:tr>
    </w:tbl>
    <w:p w14:paraId="670B4DB4" w14:textId="35D3B786" w:rsidR="009C241F" w:rsidRPr="000D07D6" w:rsidRDefault="009C241F" w:rsidP="00D47B8C">
      <w:pPr>
        <w:spacing w:before="100" w:beforeAutospacing="1" w:after="100" w:afterAutospacing="1"/>
      </w:pPr>
      <w:r w:rsidRPr="00124E95">
        <w:rPr>
          <w:b/>
          <w:bCs/>
        </w:rPr>
        <w:t xml:space="preserve">Abbreviations: </w:t>
      </w:r>
      <w:r w:rsidR="003D38F6" w:rsidRPr="00124E95">
        <w:t>CEE, conjugated equine estrogen; CI, confidence interval; HR, hazard ratio; HRT, hormone replacement therapy; MPA, medroxyprogesterone acetate; OA, osteoarthritis; RCT, randomized controlled trial; RR, relative risk; TKR, total knee replacement; WHI, Women's Health Initiative.</w:t>
      </w:r>
    </w:p>
    <w:sectPr w:rsidR="009C241F" w:rsidRPr="000D07D6" w:rsidSect="00730FEE">
      <w:pgSz w:w="11906" w:h="16838"/>
      <w:pgMar w:top="360" w:right="720" w:bottom="36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AC756" w14:textId="77777777" w:rsidR="006B1F30" w:rsidRDefault="006B1F30" w:rsidP="006F6E4D">
      <w:r>
        <w:separator/>
      </w:r>
    </w:p>
  </w:endnote>
  <w:endnote w:type="continuationSeparator" w:id="0">
    <w:p w14:paraId="338826DC" w14:textId="77777777" w:rsidR="006B1F30" w:rsidRDefault="006B1F30" w:rsidP="006F6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F1682" w14:textId="77777777" w:rsidR="006B1F30" w:rsidRDefault="006B1F30" w:rsidP="006F6E4D">
      <w:r>
        <w:separator/>
      </w:r>
    </w:p>
  </w:footnote>
  <w:footnote w:type="continuationSeparator" w:id="0">
    <w:p w14:paraId="71D880A6" w14:textId="77777777" w:rsidR="006B1F30" w:rsidRDefault="006B1F30" w:rsidP="006F6E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bordersDoNotSurroundHeader/>
  <w:bordersDoNotSurroundFooter/>
  <w:proofState w:spelling="clean" w:grammar="clean"/>
  <w:defaultTabStop w:val="420"/>
  <w:drawingGridHorizontalSpacing w:val="10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41F"/>
    <w:rsid w:val="000103D6"/>
    <w:rsid w:val="00071BC4"/>
    <w:rsid w:val="000B6B7B"/>
    <w:rsid w:val="000D07D6"/>
    <w:rsid w:val="000F0764"/>
    <w:rsid w:val="00124E95"/>
    <w:rsid w:val="00141AC4"/>
    <w:rsid w:val="0014398D"/>
    <w:rsid w:val="00190D99"/>
    <w:rsid w:val="00220BB2"/>
    <w:rsid w:val="00256DE7"/>
    <w:rsid w:val="00264DCD"/>
    <w:rsid w:val="002755D5"/>
    <w:rsid w:val="002A3DB4"/>
    <w:rsid w:val="002C776B"/>
    <w:rsid w:val="00300F31"/>
    <w:rsid w:val="00392C45"/>
    <w:rsid w:val="003A171C"/>
    <w:rsid w:val="003D38F6"/>
    <w:rsid w:val="0049385E"/>
    <w:rsid w:val="004D1087"/>
    <w:rsid w:val="004F3476"/>
    <w:rsid w:val="0061166B"/>
    <w:rsid w:val="00673F1C"/>
    <w:rsid w:val="006B1F30"/>
    <w:rsid w:val="006B46E2"/>
    <w:rsid w:val="006B7C99"/>
    <w:rsid w:val="006F6E4D"/>
    <w:rsid w:val="00730FEE"/>
    <w:rsid w:val="00745615"/>
    <w:rsid w:val="0074593B"/>
    <w:rsid w:val="00795C4E"/>
    <w:rsid w:val="007F7671"/>
    <w:rsid w:val="0080599B"/>
    <w:rsid w:val="008209D1"/>
    <w:rsid w:val="00857FDB"/>
    <w:rsid w:val="00865A1E"/>
    <w:rsid w:val="008918A6"/>
    <w:rsid w:val="00893895"/>
    <w:rsid w:val="009A434D"/>
    <w:rsid w:val="009C241F"/>
    <w:rsid w:val="00A03FBA"/>
    <w:rsid w:val="00A42F27"/>
    <w:rsid w:val="00AB217A"/>
    <w:rsid w:val="00AC22AF"/>
    <w:rsid w:val="00AD45EF"/>
    <w:rsid w:val="00B30622"/>
    <w:rsid w:val="00C231A9"/>
    <w:rsid w:val="00C42259"/>
    <w:rsid w:val="00C45F94"/>
    <w:rsid w:val="00C6448C"/>
    <w:rsid w:val="00C70D5E"/>
    <w:rsid w:val="00C71284"/>
    <w:rsid w:val="00D47B8C"/>
    <w:rsid w:val="00D638AF"/>
    <w:rsid w:val="00DB6D75"/>
    <w:rsid w:val="00E10AB9"/>
    <w:rsid w:val="00E4610D"/>
    <w:rsid w:val="00E93BF5"/>
    <w:rsid w:val="00EB3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F6077"/>
  <w15:chartTrackingRefBased/>
  <w15:docId w15:val="{F5D190F6-6382-4733-BBF0-B3F2A45A4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41F"/>
    <w:pPr>
      <w:widowControl w:val="0"/>
      <w:spacing w:after="0" w:line="240" w:lineRule="auto"/>
    </w:pPr>
    <w:rPr>
      <w:rFonts w:ascii="Times New Roman" w:hAnsi="Times New Roman" w:cs="Times New Roman"/>
      <w:kern w:val="0"/>
      <w:sz w:val="20"/>
      <w:szCs w:val="20"/>
      <w14:ligatures w14:val="none"/>
    </w:rPr>
  </w:style>
  <w:style w:type="paragraph" w:styleId="1">
    <w:name w:val="heading 1"/>
    <w:basedOn w:val="a"/>
    <w:next w:val="a"/>
    <w:link w:val="10"/>
    <w:uiPriority w:val="9"/>
    <w:qFormat/>
    <w:rsid w:val="009C241F"/>
    <w:pPr>
      <w:keepNext/>
      <w:keepLines/>
      <w:spacing w:before="480" w:after="80" w:line="278" w:lineRule="auto"/>
      <w:outlineLvl w:val="0"/>
    </w:pPr>
    <w:rPr>
      <w:rFonts w:asciiTheme="majorHAnsi" w:eastAsiaTheme="majorEastAsia" w:hAnsiTheme="majorHAnsi" w:cstheme="majorBidi"/>
      <w:color w:val="2F5496" w:themeColor="accent1" w:themeShade="BF"/>
      <w:kern w:val="2"/>
      <w:sz w:val="48"/>
      <w:szCs w:val="48"/>
      <w14:ligatures w14:val="standardContextual"/>
    </w:rPr>
  </w:style>
  <w:style w:type="paragraph" w:styleId="2">
    <w:name w:val="heading 2"/>
    <w:basedOn w:val="a"/>
    <w:next w:val="a"/>
    <w:link w:val="20"/>
    <w:uiPriority w:val="9"/>
    <w:semiHidden/>
    <w:unhideWhenUsed/>
    <w:qFormat/>
    <w:rsid w:val="009C241F"/>
    <w:pPr>
      <w:keepNext/>
      <w:keepLines/>
      <w:spacing w:before="160" w:after="80" w:line="278" w:lineRule="auto"/>
      <w:outlineLvl w:val="1"/>
    </w:pPr>
    <w:rPr>
      <w:rFonts w:asciiTheme="majorHAnsi" w:eastAsiaTheme="majorEastAsia" w:hAnsiTheme="majorHAnsi" w:cstheme="majorBidi"/>
      <w:color w:val="2F5496" w:themeColor="accent1" w:themeShade="BF"/>
      <w:kern w:val="2"/>
      <w:sz w:val="40"/>
      <w:szCs w:val="40"/>
      <w14:ligatures w14:val="standardContextual"/>
    </w:rPr>
  </w:style>
  <w:style w:type="paragraph" w:styleId="3">
    <w:name w:val="heading 3"/>
    <w:basedOn w:val="a"/>
    <w:next w:val="a"/>
    <w:link w:val="30"/>
    <w:uiPriority w:val="9"/>
    <w:semiHidden/>
    <w:unhideWhenUsed/>
    <w:qFormat/>
    <w:rsid w:val="009C241F"/>
    <w:pPr>
      <w:keepNext/>
      <w:keepLines/>
      <w:spacing w:before="160" w:after="80" w:line="278" w:lineRule="auto"/>
      <w:outlineLvl w:val="2"/>
    </w:pPr>
    <w:rPr>
      <w:rFonts w:asciiTheme="majorHAnsi" w:eastAsiaTheme="majorEastAsia" w:hAnsiTheme="majorHAnsi" w:cstheme="majorBidi"/>
      <w:color w:val="2F5496" w:themeColor="accent1" w:themeShade="BF"/>
      <w:kern w:val="2"/>
      <w:sz w:val="32"/>
      <w:szCs w:val="32"/>
      <w14:ligatures w14:val="standardContextual"/>
    </w:rPr>
  </w:style>
  <w:style w:type="paragraph" w:styleId="4">
    <w:name w:val="heading 4"/>
    <w:basedOn w:val="a"/>
    <w:next w:val="a"/>
    <w:link w:val="40"/>
    <w:uiPriority w:val="9"/>
    <w:semiHidden/>
    <w:unhideWhenUsed/>
    <w:qFormat/>
    <w:rsid w:val="009C241F"/>
    <w:pPr>
      <w:keepNext/>
      <w:keepLines/>
      <w:spacing w:before="80" w:after="40" w:line="278" w:lineRule="auto"/>
      <w:outlineLvl w:val="3"/>
    </w:pPr>
    <w:rPr>
      <w:rFonts w:asciiTheme="minorHAnsi" w:hAnsiTheme="minorHAnsi" w:cstheme="majorBidi"/>
      <w:color w:val="2F5496" w:themeColor="accent1" w:themeShade="BF"/>
      <w:kern w:val="2"/>
      <w:sz w:val="28"/>
      <w:szCs w:val="28"/>
      <w14:ligatures w14:val="standardContextual"/>
    </w:rPr>
  </w:style>
  <w:style w:type="paragraph" w:styleId="5">
    <w:name w:val="heading 5"/>
    <w:basedOn w:val="a"/>
    <w:next w:val="a"/>
    <w:link w:val="50"/>
    <w:uiPriority w:val="9"/>
    <w:semiHidden/>
    <w:unhideWhenUsed/>
    <w:qFormat/>
    <w:rsid w:val="009C241F"/>
    <w:pPr>
      <w:keepNext/>
      <w:keepLines/>
      <w:spacing w:before="80" w:after="40" w:line="278" w:lineRule="auto"/>
      <w:outlineLvl w:val="4"/>
    </w:pPr>
    <w:rPr>
      <w:rFonts w:asciiTheme="minorHAnsi" w:hAnsiTheme="minorHAnsi"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9C241F"/>
    <w:pPr>
      <w:keepNext/>
      <w:keepLines/>
      <w:spacing w:before="40" w:line="278" w:lineRule="auto"/>
      <w:outlineLvl w:val="5"/>
    </w:pPr>
    <w:rPr>
      <w:rFonts w:asciiTheme="minorHAnsi" w:hAnsiTheme="minorHAnsi" w:cstheme="majorBidi"/>
      <w:b/>
      <w:bCs/>
      <w:color w:val="2F5496" w:themeColor="accent1" w:themeShade="BF"/>
      <w:kern w:val="2"/>
      <w:sz w:val="22"/>
      <w:szCs w:val="24"/>
      <w14:ligatures w14:val="standardContextual"/>
    </w:rPr>
  </w:style>
  <w:style w:type="paragraph" w:styleId="7">
    <w:name w:val="heading 7"/>
    <w:basedOn w:val="a"/>
    <w:next w:val="a"/>
    <w:link w:val="70"/>
    <w:uiPriority w:val="9"/>
    <w:semiHidden/>
    <w:unhideWhenUsed/>
    <w:qFormat/>
    <w:rsid w:val="009C241F"/>
    <w:pPr>
      <w:keepNext/>
      <w:keepLines/>
      <w:spacing w:before="40" w:line="278" w:lineRule="auto"/>
      <w:outlineLvl w:val="6"/>
    </w:pPr>
    <w:rPr>
      <w:rFonts w:asciiTheme="minorHAnsi" w:hAnsiTheme="minorHAnsi" w:cstheme="majorBidi"/>
      <w:b/>
      <w:bCs/>
      <w:color w:val="595959" w:themeColor="text1" w:themeTint="A6"/>
      <w:kern w:val="2"/>
      <w:sz w:val="22"/>
      <w:szCs w:val="24"/>
      <w14:ligatures w14:val="standardContextual"/>
    </w:rPr>
  </w:style>
  <w:style w:type="paragraph" w:styleId="8">
    <w:name w:val="heading 8"/>
    <w:basedOn w:val="a"/>
    <w:next w:val="a"/>
    <w:link w:val="80"/>
    <w:uiPriority w:val="9"/>
    <w:semiHidden/>
    <w:unhideWhenUsed/>
    <w:qFormat/>
    <w:rsid w:val="009C241F"/>
    <w:pPr>
      <w:keepNext/>
      <w:keepLines/>
      <w:spacing w:line="278" w:lineRule="auto"/>
      <w:outlineLvl w:val="7"/>
    </w:pPr>
    <w:rPr>
      <w:rFonts w:asciiTheme="minorHAnsi" w:hAnsiTheme="minorHAnsi" w:cstheme="majorBidi"/>
      <w:color w:val="595959" w:themeColor="text1" w:themeTint="A6"/>
      <w:kern w:val="2"/>
      <w:sz w:val="22"/>
      <w:szCs w:val="24"/>
      <w14:ligatures w14:val="standardContextual"/>
    </w:rPr>
  </w:style>
  <w:style w:type="paragraph" w:styleId="9">
    <w:name w:val="heading 9"/>
    <w:basedOn w:val="a"/>
    <w:next w:val="a"/>
    <w:link w:val="90"/>
    <w:uiPriority w:val="9"/>
    <w:semiHidden/>
    <w:unhideWhenUsed/>
    <w:qFormat/>
    <w:rsid w:val="009C241F"/>
    <w:pPr>
      <w:keepNext/>
      <w:keepLines/>
      <w:spacing w:line="278" w:lineRule="auto"/>
      <w:outlineLvl w:val="8"/>
    </w:pPr>
    <w:rPr>
      <w:rFonts w:asciiTheme="minorHAnsi" w:eastAsiaTheme="majorEastAsia" w:hAnsiTheme="minorHAnsi" w:cstheme="majorBidi"/>
      <w:color w:val="595959" w:themeColor="text1" w:themeTint="A6"/>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C241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9C241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C241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C241F"/>
    <w:rPr>
      <w:rFonts w:cstheme="majorBidi"/>
      <w:color w:val="2F5496" w:themeColor="accent1" w:themeShade="BF"/>
      <w:sz w:val="28"/>
      <w:szCs w:val="28"/>
    </w:rPr>
  </w:style>
  <w:style w:type="character" w:customStyle="1" w:styleId="50">
    <w:name w:val="标题 5 字符"/>
    <w:basedOn w:val="a0"/>
    <w:link w:val="5"/>
    <w:uiPriority w:val="9"/>
    <w:semiHidden/>
    <w:rsid w:val="009C241F"/>
    <w:rPr>
      <w:rFonts w:cstheme="majorBidi"/>
      <w:color w:val="2F5496" w:themeColor="accent1" w:themeShade="BF"/>
      <w:sz w:val="24"/>
    </w:rPr>
  </w:style>
  <w:style w:type="character" w:customStyle="1" w:styleId="60">
    <w:name w:val="标题 6 字符"/>
    <w:basedOn w:val="a0"/>
    <w:link w:val="6"/>
    <w:uiPriority w:val="9"/>
    <w:semiHidden/>
    <w:rsid w:val="009C241F"/>
    <w:rPr>
      <w:rFonts w:cstheme="majorBidi"/>
      <w:b/>
      <w:bCs/>
      <w:color w:val="2F5496" w:themeColor="accent1" w:themeShade="BF"/>
    </w:rPr>
  </w:style>
  <w:style w:type="character" w:customStyle="1" w:styleId="70">
    <w:name w:val="标题 7 字符"/>
    <w:basedOn w:val="a0"/>
    <w:link w:val="7"/>
    <w:uiPriority w:val="9"/>
    <w:semiHidden/>
    <w:rsid w:val="009C241F"/>
    <w:rPr>
      <w:rFonts w:cstheme="majorBidi"/>
      <w:b/>
      <w:bCs/>
      <w:color w:val="595959" w:themeColor="text1" w:themeTint="A6"/>
    </w:rPr>
  </w:style>
  <w:style w:type="character" w:customStyle="1" w:styleId="80">
    <w:name w:val="标题 8 字符"/>
    <w:basedOn w:val="a0"/>
    <w:link w:val="8"/>
    <w:uiPriority w:val="9"/>
    <w:semiHidden/>
    <w:rsid w:val="009C241F"/>
    <w:rPr>
      <w:rFonts w:cstheme="majorBidi"/>
      <w:color w:val="595959" w:themeColor="text1" w:themeTint="A6"/>
    </w:rPr>
  </w:style>
  <w:style w:type="character" w:customStyle="1" w:styleId="90">
    <w:name w:val="标题 9 字符"/>
    <w:basedOn w:val="a0"/>
    <w:link w:val="9"/>
    <w:uiPriority w:val="9"/>
    <w:semiHidden/>
    <w:rsid w:val="009C241F"/>
    <w:rPr>
      <w:rFonts w:eastAsiaTheme="majorEastAsia" w:cstheme="majorBidi"/>
      <w:color w:val="595959" w:themeColor="text1" w:themeTint="A6"/>
    </w:rPr>
  </w:style>
  <w:style w:type="paragraph" w:styleId="a3">
    <w:name w:val="Title"/>
    <w:basedOn w:val="a"/>
    <w:next w:val="a"/>
    <w:link w:val="a4"/>
    <w:uiPriority w:val="10"/>
    <w:qFormat/>
    <w:rsid w:val="009C241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9C24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241F"/>
    <w:pPr>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标题 字符"/>
    <w:basedOn w:val="a0"/>
    <w:link w:val="a5"/>
    <w:uiPriority w:val="11"/>
    <w:rsid w:val="009C24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C241F"/>
    <w:pPr>
      <w:spacing w:before="160" w:after="160" w:line="278" w:lineRule="auto"/>
      <w:jc w:val="center"/>
    </w:pPr>
    <w:rPr>
      <w:rFonts w:asciiTheme="minorHAnsi" w:hAnsiTheme="minorHAnsi" w:cstheme="minorBidi"/>
      <w:i/>
      <w:iCs/>
      <w:color w:val="404040" w:themeColor="text1" w:themeTint="BF"/>
      <w:kern w:val="2"/>
      <w:sz w:val="22"/>
      <w:szCs w:val="24"/>
      <w14:ligatures w14:val="standardContextual"/>
    </w:rPr>
  </w:style>
  <w:style w:type="character" w:customStyle="1" w:styleId="a8">
    <w:name w:val="引用 字符"/>
    <w:basedOn w:val="a0"/>
    <w:link w:val="a7"/>
    <w:uiPriority w:val="29"/>
    <w:rsid w:val="009C241F"/>
    <w:rPr>
      <w:i/>
      <w:iCs/>
      <w:color w:val="404040" w:themeColor="text1" w:themeTint="BF"/>
    </w:rPr>
  </w:style>
  <w:style w:type="paragraph" w:styleId="a9">
    <w:name w:val="List Paragraph"/>
    <w:basedOn w:val="a"/>
    <w:uiPriority w:val="34"/>
    <w:qFormat/>
    <w:rsid w:val="009C241F"/>
    <w:pPr>
      <w:spacing w:after="160" w:line="278" w:lineRule="auto"/>
      <w:ind w:left="720"/>
      <w:contextualSpacing/>
    </w:pPr>
    <w:rPr>
      <w:rFonts w:asciiTheme="minorHAnsi" w:hAnsiTheme="minorHAnsi" w:cstheme="minorBidi"/>
      <w:kern w:val="2"/>
      <w:sz w:val="22"/>
      <w:szCs w:val="24"/>
      <w14:ligatures w14:val="standardContextual"/>
    </w:rPr>
  </w:style>
  <w:style w:type="character" w:styleId="aa">
    <w:name w:val="Intense Emphasis"/>
    <w:basedOn w:val="a0"/>
    <w:uiPriority w:val="21"/>
    <w:qFormat/>
    <w:rsid w:val="009C241F"/>
    <w:rPr>
      <w:i/>
      <w:iCs/>
      <w:color w:val="2F5496" w:themeColor="accent1" w:themeShade="BF"/>
    </w:rPr>
  </w:style>
  <w:style w:type="paragraph" w:styleId="ab">
    <w:name w:val="Intense Quote"/>
    <w:basedOn w:val="a"/>
    <w:next w:val="a"/>
    <w:link w:val="ac"/>
    <w:uiPriority w:val="30"/>
    <w:qFormat/>
    <w:rsid w:val="009C241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sz w:val="22"/>
      <w:szCs w:val="24"/>
      <w14:ligatures w14:val="standardContextual"/>
    </w:rPr>
  </w:style>
  <w:style w:type="character" w:customStyle="1" w:styleId="ac">
    <w:name w:val="明显引用 字符"/>
    <w:basedOn w:val="a0"/>
    <w:link w:val="ab"/>
    <w:uiPriority w:val="30"/>
    <w:rsid w:val="009C241F"/>
    <w:rPr>
      <w:i/>
      <w:iCs/>
      <w:color w:val="2F5496" w:themeColor="accent1" w:themeShade="BF"/>
    </w:rPr>
  </w:style>
  <w:style w:type="character" w:styleId="ad">
    <w:name w:val="Intense Reference"/>
    <w:basedOn w:val="a0"/>
    <w:uiPriority w:val="32"/>
    <w:qFormat/>
    <w:rsid w:val="009C241F"/>
    <w:rPr>
      <w:b/>
      <w:bCs/>
      <w:smallCaps/>
      <w:color w:val="2F5496" w:themeColor="accent1" w:themeShade="BF"/>
      <w:spacing w:val="5"/>
    </w:rPr>
  </w:style>
  <w:style w:type="paragraph" w:styleId="ae">
    <w:name w:val="header"/>
    <w:basedOn w:val="a"/>
    <w:link w:val="af"/>
    <w:uiPriority w:val="99"/>
    <w:unhideWhenUsed/>
    <w:rsid w:val="006F6E4D"/>
    <w:pPr>
      <w:tabs>
        <w:tab w:val="center" w:pos="4153"/>
        <w:tab w:val="right" w:pos="8306"/>
      </w:tabs>
      <w:snapToGrid w:val="0"/>
      <w:jc w:val="center"/>
    </w:pPr>
    <w:rPr>
      <w:sz w:val="18"/>
      <w:szCs w:val="18"/>
    </w:rPr>
  </w:style>
  <w:style w:type="character" w:customStyle="1" w:styleId="af">
    <w:name w:val="页眉 字符"/>
    <w:basedOn w:val="a0"/>
    <w:link w:val="ae"/>
    <w:uiPriority w:val="99"/>
    <w:rsid w:val="006F6E4D"/>
    <w:rPr>
      <w:rFonts w:ascii="Times New Roman" w:hAnsi="Times New Roman" w:cs="Times New Roman"/>
      <w:kern w:val="0"/>
      <w:sz w:val="18"/>
      <w:szCs w:val="18"/>
      <w14:ligatures w14:val="none"/>
    </w:rPr>
  </w:style>
  <w:style w:type="paragraph" w:styleId="af0">
    <w:name w:val="footer"/>
    <w:basedOn w:val="a"/>
    <w:link w:val="af1"/>
    <w:uiPriority w:val="99"/>
    <w:unhideWhenUsed/>
    <w:rsid w:val="006F6E4D"/>
    <w:pPr>
      <w:tabs>
        <w:tab w:val="center" w:pos="4153"/>
        <w:tab w:val="right" w:pos="8306"/>
      </w:tabs>
      <w:snapToGrid w:val="0"/>
    </w:pPr>
    <w:rPr>
      <w:sz w:val="18"/>
      <w:szCs w:val="18"/>
    </w:rPr>
  </w:style>
  <w:style w:type="character" w:customStyle="1" w:styleId="af1">
    <w:name w:val="页脚 字符"/>
    <w:basedOn w:val="a0"/>
    <w:link w:val="af0"/>
    <w:uiPriority w:val="99"/>
    <w:rsid w:val="006F6E4D"/>
    <w:rPr>
      <w:rFonts w:ascii="Times New Roman" w:hAnsi="Times New Roman" w:cs="Times New Roman"/>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406</Words>
  <Characters>2338</Characters>
  <Application>Microsoft Office Word</Application>
  <DocSecurity>0</DocSecurity>
  <Lines>49</Lines>
  <Paragraphs>23</Paragraphs>
  <ScaleCrop>false</ScaleCrop>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Liu</dc:creator>
  <cp:keywords/>
  <dc:description/>
  <cp:lastModifiedBy>Dean Liu</cp:lastModifiedBy>
  <cp:revision>41</cp:revision>
  <dcterms:created xsi:type="dcterms:W3CDTF">2025-12-18T11:41:00Z</dcterms:created>
  <dcterms:modified xsi:type="dcterms:W3CDTF">2026-06-01T05:58:00Z</dcterms:modified>
</cp:coreProperties>
</file>