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keepNext/>
        <w:spacing w:before="100" w:beforeAutospacing="1" w:after="100" w:afterAutospacing="1"/>
        <w:jc w:val="center"/>
      </w:pPr>
      <w:r>
        <w:rPr>
          <w:b/>
          <w:bCs/>
        </w:rPr>
        <w:t>Supplementary Table 2. Uncertainty envelopes and ecological heterogeneity summaries</w:t>
      </w:r>
    </w:p>
    <w:p>
      <w:pPr>
        <w:keepNext/>
        <w:spacing w:before="160" w:beforeAutospacing="1" w:after="80" w:afterAutospacing="1"/>
        <w:jc w:val="center"/>
      </w:pPr>
      <w:r>
        <w:rPr>
          <w:b/>
          <w:bCs/>
        </w:rPr>
        <w:t>A. Marginal uncertainty-envelope direction</w:t>
      </w:r>
    </w:p>
    <w:tbl>
      <w:tblPr>
        <w:tblW w:type="dxa" w:w="1044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blGrid>
        <w:gridCol w:w="1296"/>
        <w:gridCol w:w="1872"/>
        <w:gridCol w:w="1872"/>
        <w:gridCol w:w="5400"/>
      </w:tblGrid>
      <w:tr>
        <w:trPr>
          <w:cantSplit/>
          <w:tblHeader w:val="true"/>
        </w:trPr>
        <w:tc>
          <w:tcPr>
            <w:tcW w:type="dxa" w:w="129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  <w:shd w:fill="D9D9D9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Cause</w:t>
            </w:r>
          </w:p>
        </w:tc>
        <w:tc>
          <w:tcPr>
            <w:tcW w:type="dxa" w:w="1872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  <w:shd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Relative envelopes crossing null</w:t>
            </w:r>
          </w:p>
        </w:tc>
        <w:tc>
          <w:tcPr>
            <w:tcW w:type="dxa" w:w="1872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  <w:shd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Absolute envelopes crossing null</w:t>
            </w:r>
          </w:p>
        </w:tc>
        <w:tc>
          <w:tcPr>
            <w:tcW w:type="dxa" w:w="540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  <w:shd w:fill="D9D9D9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Interpretation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Overall</w:t>
            </w:r>
          </w:p>
        </w:tc>
        <w:tc>
          <w:tcPr>
            <w:tcW w:type="dxa" w:w="1872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13/13</w:t>
            </w:r>
          </w:p>
        </w:tc>
        <w:tc>
          <w:tcPr>
            <w:tcW w:type="dxa" w:w="1872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13/13</w:t>
            </w:r>
          </w:p>
        </w:tc>
        <w:tc>
          <w:tcPr>
            <w:tcW w:type="dxa" w:w="540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Direction indeterminate under marginal endpoints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Hip</w:t>
            </w:r>
          </w:p>
        </w:tc>
        <w:tc>
          <w:tcPr>
            <w:tcW w:type="dxa" w:w="1872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13/13</w:t>
            </w:r>
          </w:p>
        </w:tc>
        <w:tc>
          <w:tcPr>
            <w:tcW w:type="dxa" w:w="1872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13/13</w:t>
            </w:r>
          </w:p>
        </w:tc>
        <w:tc>
          <w:tcPr>
            <w:tcW w:type="dxa" w:w="540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Direction indeterminate under marginal endpoints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Knee</w:t>
            </w:r>
          </w:p>
        </w:tc>
        <w:tc>
          <w:tcPr>
            <w:tcW w:type="dxa" w:w="1872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13/13</w:t>
            </w:r>
          </w:p>
        </w:tc>
        <w:tc>
          <w:tcPr>
            <w:tcW w:type="dxa" w:w="1872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13/13</w:t>
            </w:r>
          </w:p>
        </w:tc>
        <w:tc>
          <w:tcPr>
            <w:tcW w:type="dxa" w:w="540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Direction indeterminate under marginal endpoints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Hand</w:t>
            </w:r>
          </w:p>
        </w:tc>
        <w:tc>
          <w:tcPr>
            <w:tcW w:type="dxa" w:w="1872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13/13</w:t>
            </w:r>
          </w:p>
        </w:tc>
        <w:tc>
          <w:tcPr>
            <w:tcW w:type="dxa" w:w="1872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13/13</w:t>
            </w:r>
          </w:p>
        </w:tc>
        <w:tc>
          <w:tcPr>
            <w:tcW w:type="dxa" w:w="540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Direction indeterminate under marginal endpoints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Other</w:t>
            </w:r>
          </w:p>
        </w:tc>
        <w:tc>
          <w:tcPr>
            <w:tcW w:type="dxa" w:w="1872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13/13</w:t>
            </w:r>
          </w:p>
        </w:tc>
        <w:tc>
          <w:tcPr>
            <w:tcW w:type="dxa" w:w="1872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13/13</w:t>
            </w:r>
          </w:p>
        </w:tc>
        <w:tc>
          <w:tcPr>
            <w:tcW w:type="dxa" w:w="540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Direction indeterminate under marginal endpoints</w:t>
            </w:r>
          </w:p>
        </w:tc>
      </w:tr>
    </w:tbl>
    <w:p>
      <w:pPr>
        <w:spacing w:before="80" w:beforeAutospacing="1" w:after="80" w:afterAutospacing="1"/>
      </w:pPr>
      <w:r>
        <w:rPr>
          <w:b/>
          <w:bCs/>
        </w:rPr>
        <w:t>Marginal envelopes are deterministic combinations of published female and male uncertainty endpoints. They are not joint 95% confidence intervals, hypothesis tests or evidence of no difference.</w:t>
      </w:r>
    </w:p>
    <w:p>
      <w:pPr>
        <w:keepNext/>
        <w:spacing w:before="160" w:beforeAutospacing="1" w:after="80" w:afterAutospacing="1"/>
        <w:jc w:val="center"/>
      </w:pPr>
      <w:r>
        <w:rPr>
          <w:b/>
          <w:bCs/>
        </w:rPr>
        <w:t>B. Unweighted 204-country point-estimate summaries</w:t>
      </w:r>
    </w:p>
    <w:tbl>
      <w:tblPr>
        <w:tblW w:type="dxa" w:w="1044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blGrid>
        <w:gridCol w:w="1080"/>
        <w:gridCol w:w="2376"/>
        <w:gridCol w:w="2376"/>
        <w:gridCol w:w="2376"/>
        <w:gridCol w:w="2232"/>
      </w:tblGrid>
      <w:tr>
        <w:trPr>
          <w:cantSplit/>
          <w:tblHeader w:val="true"/>
        </w:trPr>
        <w:tc>
          <w:tcPr>
            <w:tcW w:type="dxa" w:w="10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  <w:shd w:fill="D9D9D9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Cause</w:t>
            </w:r>
          </w:p>
        </w:tc>
        <w:tc>
          <w:tcPr>
            <w:tcW w:type="dxa" w:w="237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  <w:shd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Median log(F/M)</w:t>
            </w:r>
          </w:p>
        </w:tc>
        <w:tc>
          <w:tcPr>
            <w:tcW w:type="dxa" w:w="237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  <w:shd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Positive proportion, log(F/M)</w:t>
            </w:r>
          </w:p>
        </w:tc>
        <w:tc>
          <w:tcPr>
            <w:tcW w:type="dxa" w:w="237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  <w:shd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Median F-M per 100,000</w:t>
            </w:r>
          </w:p>
        </w:tc>
        <w:tc>
          <w:tcPr>
            <w:tcW w:type="dxa" w:w="2232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  <w:shd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Positive proportion, F-M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Overall</w:t>
            </w:r>
          </w:p>
        </w:tc>
        <w:tc>
          <w:tcPr>
            <w:tcW w:type="dxa" w:w="237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0.246655;0.251547;0.256065;0.264376</w:t>
            </w:r>
          </w:p>
        </w:tc>
        <w:tc>
          <w:tcPr>
            <w:tcW w:type="dxa" w:w="237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1.0000;1.0000;1.0000;1.0000</w:t>
            </w:r>
          </w:p>
        </w:tc>
        <w:tc>
          <w:tcPr>
            <w:tcW w:type="dxa" w:w="237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51.608;55.007;59.674;63.311</w:t>
            </w:r>
          </w:p>
        </w:tc>
        <w:tc>
          <w:tcPr>
            <w:tcW w:type="dxa" w:w="2232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1.0000;1.0000;1.0000;1.0000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Hip</w:t>
            </w:r>
          </w:p>
        </w:tc>
        <w:tc>
          <w:tcPr>
            <w:tcW w:type="dxa" w:w="237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-0.177216;-0.180153;-0.176255;-0.189604</w:t>
            </w:r>
          </w:p>
        </w:tc>
        <w:tc>
          <w:tcPr>
            <w:tcW w:type="dxa" w:w="237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0.1471;0.1569;0.1569;0.1520</w:t>
            </w:r>
          </w:p>
        </w:tc>
        <w:tc>
          <w:tcPr>
            <w:tcW w:type="dxa" w:w="237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-1.624;-1.810;-1.882;-2.019</w:t>
            </w:r>
          </w:p>
        </w:tc>
        <w:tc>
          <w:tcPr>
            <w:tcW w:type="dxa" w:w="2232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0.1471;0.1569;0.1569;0.1520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Knee</w:t>
            </w:r>
          </w:p>
        </w:tc>
        <w:tc>
          <w:tcPr>
            <w:tcW w:type="dxa" w:w="237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0.244180;0.231561;0.228987;0.226673</w:t>
            </w:r>
          </w:p>
        </w:tc>
        <w:tc>
          <w:tcPr>
            <w:tcW w:type="dxa" w:w="237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0.9951;0.9951;0.9951;0.9951</w:t>
            </w:r>
          </w:p>
        </w:tc>
        <w:tc>
          <w:tcPr>
            <w:tcW w:type="dxa" w:w="237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28.102;28.544;28.087;29.841</w:t>
            </w:r>
          </w:p>
        </w:tc>
        <w:tc>
          <w:tcPr>
            <w:tcW w:type="dxa" w:w="2232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0.9951;0.9951;0.9951;0.9951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Hand</w:t>
            </w:r>
          </w:p>
        </w:tc>
        <w:tc>
          <w:tcPr>
            <w:tcW w:type="dxa" w:w="237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0.575828;0.586544;0.603889;0.583211</w:t>
            </w:r>
          </w:p>
        </w:tc>
        <w:tc>
          <w:tcPr>
            <w:tcW w:type="dxa" w:w="237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1.0000;0.9951;1.0000;1.0000</w:t>
            </w:r>
          </w:p>
        </w:tc>
        <w:tc>
          <w:tcPr>
            <w:tcW w:type="dxa" w:w="237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31.037;33.173;35.655;38.353</w:t>
            </w:r>
          </w:p>
        </w:tc>
        <w:tc>
          <w:tcPr>
            <w:tcW w:type="dxa" w:w="2232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1.0000;0.9951;1.0000;1.0000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Other</w:t>
            </w:r>
          </w:p>
        </w:tc>
        <w:tc>
          <w:tcPr>
            <w:tcW w:type="dxa" w:w="237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-0.137680;-0.146562;-0.146983;-0.151449</w:t>
            </w:r>
          </w:p>
        </w:tc>
        <w:tc>
          <w:tcPr>
            <w:tcW w:type="dxa" w:w="237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0.1520;0.1520;0.1471;0.1520</w:t>
            </w:r>
          </w:p>
        </w:tc>
        <w:tc>
          <w:tcPr>
            <w:tcW w:type="dxa" w:w="2376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-2.963;-3.254;-3.359;-3.476</w:t>
            </w:r>
          </w:p>
        </w:tc>
        <w:tc>
          <w:tcPr>
            <w:tcW w:type="dxa" w:w="2232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0.1520;0.1520;0.1471;0.1520</w:t>
            </w:r>
          </w:p>
        </w:tc>
      </w:tr>
    </w:tbl>
    <w:p>
      <w:pPr>
        <w:spacing w:before="80" w:beforeAutospacing="1" w:after="80" w:afterAutospacing="1"/>
      </w:pPr>
      <w:r>
        <w:rPr>
          <w:b/>
          <w:bCs/>
        </w:rPr>
        <w:t>The direction signs on the two scales are algebraically related and are not independent validation.</w:t>
      </w:r>
    </w:p>
    <w:p>
      <w:pPr>
        <w:keepNext/>
        <w:spacing w:before="160" w:beforeAutospacing="1" w:after="80" w:afterAutospacing="1"/>
        <w:jc w:val="center"/>
      </w:pPr>
      <w:r>
        <w:rPr>
          <w:b/>
          <w:bCs/>
        </w:rPr>
        <w:t>C. Unweighted 184-country SDI correlations</w:t>
      </w:r>
    </w:p>
    <w:tbl>
      <w:tblPr>
        <w:tblW w:type="dxa" w:w="1044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blGrid>
        <w:gridCol w:w="1080"/>
        <w:gridCol w:w="2880"/>
        <w:gridCol w:w="2880"/>
        <w:gridCol w:w="3600"/>
      </w:tblGrid>
      <w:tr>
        <w:trPr>
          <w:cantSplit/>
          <w:tblHeader w:val="true"/>
        </w:trPr>
        <w:tc>
          <w:tcPr>
            <w:tcW w:type="dxa" w:w="10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  <w:shd w:fill="D9D9D9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Cause</w:t>
            </w:r>
          </w:p>
        </w:tc>
        <w:tc>
          <w:tcPr>
            <w:tcW w:type="dxa" w:w="28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  <w:shd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log(F/M) rho</w:t>
            </w:r>
          </w:p>
        </w:tc>
        <w:tc>
          <w:tcPr>
            <w:tcW w:type="dxa" w:w="28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  <w:shd w:fill="D9D9D9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F-M rho</w:t>
            </w:r>
          </w:p>
        </w:tc>
        <w:tc>
          <w:tcPr>
            <w:tcW w:type="dxa" w:w="360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  <w:shd w:fill="D9D9D9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Scope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Overall</w:t>
            </w:r>
          </w:p>
        </w:tc>
        <w:tc>
          <w:tcPr>
            <w:tcW w:type="dxa" w:w="28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0.500077;0.544468;0.594019;0.572170</w:t>
            </w:r>
          </w:p>
        </w:tc>
        <w:tc>
          <w:tcPr>
            <w:tcW w:type="dxa" w:w="28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0.691235;0.690054;0.691705;0.677930</w:t>
            </w:r>
          </w:p>
        </w:tc>
        <w:tc>
          <w:tcPr>
            <w:tcW w:type="dxa" w:w="360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Ecological, unweighted, no p values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Hip</w:t>
            </w:r>
          </w:p>
        </w:tc>
        <w:tc>
          <w:tcPr>
            <w:tcW w:type="dxa" w:w="28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0.008528;0.115450;0.204171;0.267720</w:t>
            </w:r>
          </w:p>
        </w:tc>
        <w:tc>
          <w:tcPr>
            <w:tcW w:type="dxa" w:w="28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-0.039595;0.002930;0.042280;0.075260</w:t>
            </w:r>
          </w:p>
        </w:tc>
        <w:tc>
          <w:tcPr>
            <w:tcW w:type="dxa" w:w="360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Ecological, unweighted, no p values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Knee</w:t>
            </w:r>
          </w:p>
        </w:tc>
        <w:tc>
          <w:tcPr>
            <w:tcW w:type="dxa" w:w="28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0.359120;0.373089;0.359051;0.374599</w:t>
            </w:r>
          </w:p>
        </w:tc>
        <w:tc>
          <w:tcPr>
            <w:tcW w:type="dxa" w:w="28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0.361442;0.407619;0.380470;0.398800</w:t>
            </w:r>
          </w:p>
        </w:tc>
        <w:tc>
          <w:tcPr>
            <w:tcW w:type="dxa" w:w="360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Ecological, unweighted, no p values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Hand</w:t>
            </w:r>
          </w:p>
        </w:tc>
        <w:tc>
          <w:tcPr>
            <w:tcW w:type="dxa" w:w="28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-0.283406;-0.347075;-0.299967;-0.251047</w:t>
            </w:r>
          </w:p>
        </w:tc>
        <w:tc>
          <w:tcPr>
            <w:tcW w:type="dxa" w:w="28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0.466150;0.453755;0.483610;0.461178</w:t>
            </w:r>
          </w:p>
        </w:tc>
        <w:tc>
          <w:tcPr>
            <w:tcW w:type="dxa" w:w="360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Ecological, unweighted, no p values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Other</w:t>
            </w:r>
          </w:p>
        </w:tc>
        <w:tc>
          <w:tcPr>
            <w:tcW w:type="dxa" w:w="28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0.091562;0.149882;0.174892;0.261016</w:t>
            </w:r>
          </w:p>
        </w:tc>
        <w:tc>
          <w:tcPr>
            <w:tcW w:type="dxa" w:w="288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0.036576;0.065096;0.049429;0.060400</w:t>
            </w:r>
          </w:p>
        </w:tc>
        <w:tc>
          <w:tcPr>
            <w:tcW w:type="dxa" w:w="3600"/>
            <w:vAlign w:val="center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Ecological, unweighted, no p values</w:t>
            </w:r>
          </w:p>
        </w:tc>
      </w:tr>
    </w:tbl>
    <w:p>
      <w:pPr>
        <w:spacing w:before="80" w:beforeAutospacing="1" w:after="80" w:afterAutospacing="1"/>
      </w:pPr>
      <w:r>
        <w:rPr>
          <w:b/>
          <w:bCs/>
        </w:rPr>
        <w:t>Earlier era and leave-one-year-out statuses from the straight-line-versus-hinge classifier are excluded from this successor table. They do not validate a change point and cannot rescue the former composite classification.</w:t>
      </w:r>
    </w:p>
    <w:sectPr w:rsidR="009C241F" w:rsidRPr="000D07D6" w:rsidSect="00730FEE">
      <w:pgSz w:w="11906" w:h="16838"/>
      <w:pgMar w:top="360" w:right="720" w:bottom="36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AC756" w14:textId="77777777" w:rsidR="006B1F30" w:rsidRDefault="006B1F30" w:rsidP="006F6E4D">
      <w:r>
        <w:separator/>
      </w:r>
    </w:p>
  </w:endnote>
  <w:endnote w:type="continuationSeparator" w:id="0">
    <w:p w14:paraId="338826DC" w14:textId="77777777" w:rsidR="006B1F30" w:rsidRDefault="006B1F30" w:rsidP="006F6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F1682" w14:textId="77777777" w:rsidR="006B1F30" w:rsidRDefault="006B1F30" w:rsidP="006F6E4D">
      <w:r>
        <w:separator/>
      </w:r>
    </w:p>
  </w:footnote>
  <w:footnote w:type="continuationSeparator" w:id="0">
    <w:p w14:paraId="71D880A6" w14:textId="77777777" w:rsidR="006B1F30" w:rsidRDefault="006B1F30" w:rsidP="006F6E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41F"/>
    <w:rsid w:val="000103D6"/>
    <w:rsid w:val="00071BC4"/>
    <w:rsid w:val="000B6B7B"/>
    <w:rsid w:val="000D07D6"/>
    <w:rsid w:val="000F0764"/>
    <w:rsid w:val="00124E95"/>
    <w:rsid w:val="00141AC4"/>
    <w:rsid w:val="0014398D"/>
    <w:rsid w:val="00190D99"/>
    <w:rsid w:val="00220BB2"/>
    <w:rsid w:val="00256DE7"/>
    <w:rsid w:val="00264DCD"/>
    <w:rsid w:val="002755D5"/>
    <w:rsid w:val="002A3DB4"/>
    <w:rsid w:val="002C776B"/>
    <w:rsid w:val="00300F31"/>
    <w:rsid w:val="00392C45"/>
    <w:rsid w:val="003A171C"/>
    <w:rsid w:val="003D38F6"/>
    <w:rsid w:val="0049385E"/>
    <w:rsid w:val="004D1087"/>
    <w:rsid w:val="004F3476"/>
    <w:rsid w:val="0061166B"/>
    <w:rsid w:val="00673F1C"/>
    <w:rsid w:val="006B1F30"/>
    <w:rsid w:val="006B46E2"/>
    <w:rsid w:val="006B7C99"/>
    <w:rsid w:val="006F6E4D"/>
    <w:rsid w:val="00730FEE"/>
    <w:rsid w:val="00745615"/>
    <w:rsid w:val="0074593B"/>
    <w:rsid w:val="00795C4E"/>
    <w:rsid w:val="007F7671"/>
    <w:rsid w:val="0080599B"/>
    <w:rsid w:val="008209D1"/>
    <w:rsid w:val="00857FDB"/>
    <w:rsid w:val="00865A1E"/>
    <w:rsid w:val="008918A6"/>
    <w:rsid w:val="00893895"/>
    <w:rsid w:val="009A434D"/>
    <w:rsid w:val="009C241F"/>
    <w:rsid w:val="00A03FBA"/>
    <w:rsid w:val="00A42F27"/>
    <w:rsid w:val="00AB217A"/>
    <w:rsid w:val="00AC22AF"/>
    <w:rsid w:val="00AD45EF"/>
    <w:rsid w:val="00B30622"/>
    <w:rsid w:val="00C231A9"/>
    <w:rsid w:val="00C42259"/>
    <w:rsid w:val="00C45F94"/>
    <w:rsid w:val="00C6448C"/>
    <w:rsid w:val="00C70D5E"/>
    <w:rsid w:val="00C71284"/>
    <w:rsid w:val="00D47B8C"/>
    <w:rsid w:val="00D638AF"/>
    <w:rsid w:val="00DB6D75"/>
    <w:rsid w:val="00E10AB9"/>
    <w:rsid w:val="00E4610D"/>
    <w:rsid w:val="00E93BF5"/>
    <w:rsid w:val="00EB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9F6077"/>
  <w15:chartTrackingRefBased/>
  <w15:docId w15:val="{F5D190F6-6382-4733-BBF0-B3F2A45A4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41F"/>
    <w:pPr>
      <w:widowControl w:val="0"/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241F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4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241F"/>
    <w:pPr>
      <w:keepNext/>
      <w:keepLines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241F"/>
    <w:pPr>
      <w:keepNext/>
      <w:keepLines/>
      <w:spacing w:before="80" w:after="40" w:line="278" w:lineRule="auto"/>
      <w:outlineLvl w:val="3"/>
    </w:pPr>
    <w:rPr>
      <w:rFonts w:asciiTheme="minorHAnsi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241F"/>
    <w:pPr>
      <w:keepNext/>
      <w:keepLines/>
      <w:spacing w:before="80" w:after="40" w:line="278" w:lineRule="auto"/>
      <w:outlineLvl w:val="4"/>
    </w:pPr>
    <w:rPr>
      <w:rFonts w:asciiTheme="minorHAnsi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241F"/>
    <w:pPr>
      <w:keepNext/>
      <w:keepLines/>
      <w:spacing w:before="40" w:line="278" w:lineRule="auto"/>
      <w:outlineLvl w:val="5"/>
    </w:pPr>
    <w:rPr>
      <w:rFonts w:asciiTheme="minorHAnsi" w:hAnsiTheme="minorHAnsi" w:cstheme="majorBidi"/>
      <w:b/>
      <w:bCs/>
      <w:color w:val="2F5496" w:themeColor="accent1" w:themeShade="BF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241F"/>
    <w:pPr>
      <w:keepNext/>
      <w:keepLines/>
      <w:spacing w:before="40" w:line="278" w:lineRule="auto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241F"/>
    <w:pPr>
      <w:keepNext/>
      <w:keepLines/>
      <w:spacing w:line="278" w:lineRule="auto"/>
      <w:outlineLvl w:val="7"/>
    </w:pPr>
    <w:rPr>
      <w:rFonts w:asciiTheme="minorHAnsi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241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C241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C24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C24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C241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C241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C241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C241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C241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C241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C241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C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241F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C24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241F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C24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241F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9C241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24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C241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C241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F6E4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F6E4D"/>
    <w:rPr>
      <w:rFonts w:ascii="Times New Roman" w:hAnsi="Times New Roman" w:cs="Times New Roman"/>
      <w:kern w:val="0"/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6F6E4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F6E4D"/>
    <w:rPr>
      <w:rFonts w:ascii="Times New Roman" w:hAnsi="Times New Roman" w:cs="Times New Roman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406</Words>
  <Characters>2338</Characters>
  <Application>Microsoft Office Word</Application>
  <DocSecurity>0</DocSecurity>
  <Lines>49</Lines>
  <Paragraphs>23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Table 2. Uncertainty envelopes and ecological heterogeneity summaries</dc:title>
  <dc:subject>Internal Rev10.2.1 Phase D Supplementary Table 2 successor; pending independent review</dc:subject>
  <dc:creator>Dean Liu</dc:creator>
  <cp:keywords>Rev10.2.1; Phase D; internal successor; pending independent review</cp:keywords>
  <dc:description>Internal non-active successor; not for upload or submission.</dc:description>
  <cp:lastModifiedBy>Dean Liu</cp:lastModifiedBy>
  <cp:revision>41</cp:revision>
  <dcterms:created xsi:type="dcterms:W3CDTF">2025-12-18T11:41:00Z</dcterms:created>
  <dcterms:modified xsi:type="dcterms:W3CDTF">2025-12-18T11:41:00Z</dcterms:modified>
</cp:coreProperties>
</file>