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28E101" w14:textId="77777777" w:rsidR="00E93703" w:rsidRDefault="00000000">
      <w:r>
        <w:rPr>
          <w:b/>
          <w:sz w:val="30"/>
        </w:rPr>
        <w:t>Supplementary Material</w:t>
      </w:r>
    </w:p>
    <w:p w14:paraId="334CC3B9" w14:textId="77777777" w:rsidR="00E93703" w:rsidRDefault="00000000">
      <w:r>
        <w:rPr>
          <w:i/>
        </w:rPr>
        <w:t>Artificial intelligence for early sepsis detection in adults: a systematic review of opportunities for clinical decision support and antimicrobial stewardship, and the case for responsible use</w:t>
      </w:r>
    </w:p>
    <w:p w14:paraId="22FD5A50" w14:textId="77777777" w:rsidR="00E93703" w:rsidRDefault="00000000">
      <w:r>
        <w:t>Madina Ali, Aser Waleed Mohamed Marzok, Rasha Abdelsalam Elshenawy</w:t>
      </w:r>
    </w:p>
    <w:p w14:paraId="6C7E7B30" w14:textId="77777777" w:rsidR="00E93703" w:rsidRDefault="00E93703"/>
    <w:p w14:paraId="4B48CF42" w14:textId="77777777" w:rsidR="00E93703" w:rsidRDefault="00000000">
      <w:r>
        <w:t>Contents: Supplementary Table S1 (full search strings); Supplementary Table S2 (PICO framework); Supplementary Table S3 (full data-extraction table); Supplementary Table S4 (PROBAST+AI domain judgements); Supplementary Table S5 (reporting completeness); Supplementary Figure S1 (country of each study); Supplementary Figure S2 (reported accuracy against study size and risk of bias); PRISMA 2020 checklist; SWiM checklist.</w:t>
      </w:r>
    </w:p>
    <w:p w14:paraId="4343E354" w14:textId="77777777" w:rsidR="00E93703" w:rsidRDefault="00000000">
      <w:r>
        <w:br w:type="page"/>
      </w:r>
    </w:p>
    <w:p w14:paraId="1E74EAE1" w14:textId="77777777" w:rsidR="00E93703" w:rsidRDefault="00000000">
      <w:r>
        <w:rPr>
          <w:b/>
          <w:sz w:val="24"/>
        </w:rPr>
        <w:lastRenderedPageBreak/>
        <w:t>Supplementary Table S1. Full search strings by database (searches run 2016–2026).</w:t>
      </w:r>
    </w:p>
    <w:tbl>
      <w:tblPr>
        <w:tblStyle w:val="TableGrid"/>
        <w:tblW w:w="0" w:type="auto"/>
        <w:tblLook w:val="04A0" w:firstRow="1" w:lastRow="0" w:firstColumn="1" w:lastColumn="0" w:noHBand="0" w:noVBand="1"/>
      </w:tblPr>
      <w:tblGrid>
        <w:gridCol w:w="4814"/>
        <w:gridCol w:w="4814"/>
      </w:tblGrid>
      <w:tr w:rsidR="00E93703" w14:paraId="523891E8" w14:textId="77777777">
        <w:tc>
          <w:tcPr>
            <w:tcW w:w="4819" w:type="dxa"/>
          </w:tcPr>
          <w:p w14:paraId="066379A8" w14:textId="77777777" w:rsidR="00E93703" w:rsidRDefault="00000000">
            <w:pPr>
              <w:spacing w:line="240" w:lineRule="auto"/>
            </w:pPr>
            <w:r>
              <w:rPr>
                <w:b/>
                <w:sz w:val="16"/>
              </w:rPr>
              <w:t>Database</w:t>
            </w:r>
          </w:p>
        </w:tc>
        <w:tc>
          <w:tcPr>
            <w:tcW w:w="4819" w:type="dxa"/>
          </w:tcPr>
          <w:p w14:paraId="313ED32F" w14:textId="77777777" w:rsidR="00E93703" w:rsidRDefault="00000000">
            <w:pPr>
              <w:spacing w:line="240" w:lineRule="auto"/>
            </w:pPr>
            <w:r>
              <w:rPr>
                <w:b/>
                <w:sz w:val="16"/>
              </w:rPr>
              <w:t>Search string</w:t>
            </w:r>
          </w:p>
        </w:tc>
      </w:tr>
      <w:tr w:rsidR="00E93703" w14:paraId="704DD764" w14:textId="77777777">
        <w:tc>
          <w:tcPr>
            <w:tcW w:w="4819" w:type="dxa"/>
          </w:tcPr>
          <w:p w14:paraId="5F425755" w14:textId="77777777" w:rsidR="00E93703" w:rsidRDefault="00000000">
            <w:pPr>
              <w:spacing w:line="240" w:lineRule="auto"/>
            </w:pPr>
            <w:r>
              <w:rPr>
                <w:sz w:val="16"/>
              </w:rPr>
              <w:t>PubMed</w:t>
            </w:r>
          </w:p>
        </w:tc>
        <w:tc>
          <w:tcPr>
            <w:tcW w:w="4819" w:type="dxa"/>
          </w:tcPr>
          <w:p w14:paraId="0F1D40DB" w14:textId="77777777" w:rsidR="00E93703" w:rsidRDefault="00000000">
            <w:pPr>
              <w:spacing w:line="240" w:lineRule="auto"/>
            </w:pPr>
            <w:r>
              <w:rPr>
                <w:sz w:val="16"/>
              </w:rPr>
              <w:t>("Sepsis"[MeSH Terms] OR sepsis[tiab] OR "septic shock"[tiab] OR "severe sepsis"[tiab] OR septicaemia[tiab] OR septicemia[tiab]) AND ("Artificial Intelligence"[MeSH Terms] OR "artificial intelligence"[tiab] OR "machine learning"[tiab] OR "deep learning"[tiab] OR "neural network*"[tiab] OR "predictive model*"[tiab] OR algorithm*[tiab] OR "clinical decision support"[tiab]) AND ("early detection"[tiab] OR "early prediction"[tiab] OR "early recognition"[tiab] OR "early diagnosis"[tiab] OR predict*[tiab] OR "diagnostic accuracy"[tiab]). Filters: 2016–2026, English, Humans.</w:t>
            </w:r>
          </w:p>
        </w:tc>
      </w:tr>
      <w:tr w:rsidR="00E93703" w14:paraId="4417BE66" w14:textId="77777777">
        <w:tc>
          <w:tcPr>
            <w:tcW w:w="4819" w:type="dxa"/>
          </w:tcPr>
          <w:p w14:paraId="754CFC41" w14:textId="77777777" w:rsidR="00E93703" w:rsidRDefault="00000000">
            <w:pPr>
              <w:spacing w:line="240" w:lineRule="auto"/>
            </w:pPr>
            <w:r>
              <w:rPr>
                <w:sz w:val="16"/>
              </w:rPr>
              <w:t>CINAHL (EBSCOhost)</w:t>
            </w:r>
          </w:p>
        </w:tc>
        <w:tc>
          <w:tcPr>
            <w:tcW w:w="4819" w:type="dxa"/>
          </w:tcPr>
          <w:p w14:paraId="25763D3B" w14:textId="77777777" w:rsidR="00E93703" w:rsidRDefault="00000000">
            <w:pPr>
              <w:spacing w:line="240" w:lineRule="auto"/>
            </w:pPr>
            <w:r>
              <w:rPr>
                <w:sz w:val="16"/>
              </w:rPr>
              <w:t>S1 (MH "Sepsis+") OR TI sepsis OR AB sepsis OR TI "septic shock" OR AB "severe sepsis" OR TI septicaemia OR AB septicemia; S2 (MH "Artificial Intelligence+") OR (MH "Machine Learning") OR TI "artificial intelligence" OR AB "machine learning" OR TI "deep learning" OR TI "neural network*" OR AB "predictive model*" OR TI algorithm* OR AB "clinical decision support"; S3 TI "early detection" OR AB "early detection" OR TI "early prediction" OR TI "early recognition" OR AB "early diagnosis" OR TI predict* OR AB "diagnostic accuracy"; S4 S1 AND S2 AND S3. Limits: 2016–2026, English, peer-reviewed.</w:t>
            </w:r>
          </w:p>
        </w:tc>
      </w:tr>
      <w:tr w:rsidR="00E93703" w14:paraId="31F8A38A" w14:textId="77777777">
        <w:tc>
          <w:tcPr>
            <w:tcW w:w="4819" w:type="dxa"/>
          </w:tcPr>
          <w:p w14:paraId="5DF03136" w14:textId="77777777" w:rsidR="00E93703" w:rsidRDefault="00000000">
            <w:pPr>
              <w:spacing w:line="240" w:lineRule="auto"/>
            </w:pPr>
            <w:r>
              <w:rPr>
                <w:sz w:val="16"/>
              </w:rPr>
              <w:t>Scopus</w:t>
            </w:r>
          </w:p>
        </w:tc>
        <w:tc>
          <w:tcPr>
            <w:tcW w:w="4819" w:type="dxa"/>
          </w:tcPr>
          <w:p w14:paraId="629CBC82" w14:textId="77777777" w:rsidR="00E93703" w:rsidRDefault="00000000">
            <w:pPr>
              <w:spacing w:line="240" w:lineRule="auto"/>
            </w:pPr>
            <w:r>
              <w:rPr>
                <w:sz w:val="16"/>
              </w:rPr>
              <w:t>TITLE-ABS-KEY (sepsis OR "septic shock" OR "severe sepsis" OR septicaemia OR septicemia) AND TITLE-ABS-KEY ("artificial intelligence" OR "machine learning" OR "deep learning" OR "neural network*" OR "predictive model*" OR algorithm* OR "clinical decision support") AND TITLE-ABS-KEY ("early detection" OR "early prediction" OR "early recognition" OR "early diagnosis" OR predict* OR "diagnostic accuracy"). Limits: PUBYEAR &gt; 2015, English.</w:t>
            </w:r>
          </w:p>
        </w:tc>
      </w:tr>
      <w:tr w:rsidR="00E93703" w14:paraId="07B6FFA1" w14:textId="77777777">
        <w:tc>
          <w:tcPr>
            <w:tcW w:w="4819" w:type="dxa"/>
          </w:tcPr>
          <w:p w14:paraId="2AA6B695" w14:textId="77777777" w:rsidR="00E93703" w:rsidRDefault="00000000">
            <w:pPr>
              <w:spacing w:line="240" w:lineRule="auto"/>
            </w:pPr>
            <w:r>
              <w:rPr>
                <w:sz w:val="16"/>
              </w:rPr>
              <w:t>Cochrane Library (CENTRAL)</w:t>
            </w:r>
          </w:p>
        </w:tc>
        <w:tc>
          <w:tcPr>
            <w:tcW w:w="4819" w:type="dxa"/>
          </w:tcPr>
          <w:p w14:paraId="58B7369D" w14:textId="77777777" w:rsidR="00E93703" w:rsidRDefault="00000000">
            <w:pPr>
              <w:spacing w:line="240" w:lineRule="auto"/>
            </w:pPr>
            <w:r>
              <w:rPr>
                <w:sz w:val="16"/>
              </w:rPr>
              <w:t>#1 MeSH descriptor: [Sepsis] explode all trees; #2 (sepsis OR "septic shock" OR "severe sepsis" OR septicaemia OR septicemia):ti,ab,kw; #3 #1 OR #2; #4 MeSH descriptor: [Artificial Intelligence] explode all trees; #5 ("artificial intelligence" OR "machine learning" OR "deep learning" OR "neural network*" OR "predictive model*" OR algorithm*):ti,ab,kw; #6 #4 OR #5; #7 ("early detection" OR "early prediction" OR "early recognition" OR "early diagnosis" OR predict* OR "diagnostic accuracy"):ti,ab,kw; #8 #3 AND #6 AND #7. Date limit: 2016–2026.</w:t>
            </w:r>
          </w:p>
        </w:tc>
      </w:tr>
      <w:tr w:rsidR="00E93703" w14:paraId="277A5801" w14:textId="77777777">
        <w:tc>
          <w:tcPr>
            <w:tcW w:w="4819" w:type="dxa"/>
          </w:tcPr>
          <w:p w14:paraId="127967C2" w14:textId="77777777" w:rsidR="00E93703" w:rsidRDefault="00000000">
            <w:pPr>
              <w:spacing w:line="240" w:lineRule="auto"/>
            </w:pPr>
            <w:r>
              <w:rPr>
                <w:sz w:val="16"/>
              </w:rPr>
              <w:t>Google Scholar (supplementary)</w:t>
            </w:r>
          </w:p>
        </w:tc>
        <w:tc>
          <w:tcPr>
            <w:tcW w:w="4819" w:type="dxa"/>
          </w:tcPr>
          <w:p w14:paraId="568E2DA8" w14:textId="77777777" w:rsidR="00E93703" w:rsidRDefault="00000000">
            <w:pPr>
              <w:spacing w:line="240" w:lineRule="auto"/>
            </w:pPr>
            <w:r>
              <w:rPr>
                <w:sz w:val="16"/>
              </w:rPr>
              <w:t>sepsis ("machine learning" OR "artificial intelligence" OR "deep learning") ("early detection" OR "early prediction" OR prediction); "Since 2016" filter; first 200 results screened.</w:t>
            </w:r>
          </w:p>
        </w:tc>
      </w:tr>
    </w:tbl>
    <w:p w14:paraId="1B8EED44" w14:textId="77777777" w:rsidR="00E93703" w:rsidRDefault="00000000">
      <w:r>
        <w:br w:type="page"/>
      </w:r>
    </w:p>
    <w:p w14:paraId="55310771" w14:textId="77777777" w:rsidR="00E93703" w:rsidRDefault="00000000">
      <w:r>
        <w:rPr>
          <w:b/>
          <w:sz w:val="24"/>
        </w:rPr>
        <w:lastRenderedPageBreak/>
        <w:t>Supplementary Table S2. PICO framework.</w:t>
      </w:r>
    </w:p>
    <w:tbl>
      <w:tblPr>
        <w:tblStyle w:val="TableGrid"/>
        <w:tblW w:w="0" w:type="auto"/>
        <w:tblLook w:val="04A0" w:firstRow="1" w:lastRow="0" w:firstColumn="1" w:lastColumn="0" w:noHBand="0" w:noVBand="1"/>
      </w:tblPr>
      <w:tblGrid>
        <w:gridCol w:w="4814"/>
        <w:gridCol w:w="4814"/>
      </w:tblGrid>
      <w:tr w:rsidR="00E93703" w14:paraId="5EAF0947" w14:textId="77777777">
        <w:tc>
          <w:tcPr>
            <w:tcW w:w="4819" w:type="dxa"/>
          </w:tcPr>
          <w:p w14:paraId="54F76DAA" w14:textId="77777777" w:rsidR="00E93703" w:rsidRDefault="00000000">
            <w:pPr>
              <w:spacing w:line="240" w:lineRule="auto"/>
            </w:pPr>
            <w:r>
              <w:rPr>
                <w:b/>
                <w:sz w:val="18"/>
              </w:rPr>
              <w:t>Element</w:t>
            </w:r>
          </w:p>
        </w:tc>
        <w:tc>
          <w:tcPr>
            <w:tcW w:w="4819" w:type="dxa"/>
          </w:tcPr>
          <w:p w14:paraId="3336F703" w14:textId="77777777" w:rsidR="00E93703" w:rsidRDefault="00000000">
            <w:pPr>
              <w:spacing w:line="240" w:lineRule="auto"/>
            </w:pPr>
            <w:r>
              <w:rPr>
                <w:b/>
                <w:sz w:val="18"/>
              </w:rPr>
              <w:t>Description</w:t>
            </w:r>
          </w:p>
        </w:tc>
      </w:tr>
      <w:tr w:rsidR="00E93703" w14:paraId="5A51F6F9" w14:textId="77777777">
        <w:tc>
          <w:tcPr>
            <w:tcW w:w="4819" w:type="dxa"/>
          </w:tcPr>
          <w:p w14:paraId="7C03C4CD" w14:textId="77777777" w:rsidR="00E93703" w:rsidRDefault="00000000">
            <w:pPr>
              <w:spacing w:line="240" w:lineRule="auto"/>
            </w:pPr>
            <w:r>
              <w:rPr>
                <w:sz w:val="18"/>
              </w:rPr>
              <w:t>P — Population</w:t>
            </w:r>
          </w:p>
        </w:tc>
        <w:tc>
          <w:tcPr>
            <w:tcW w:w="4819" w:type="dxa"/>
          </w:tcPr>
          <w:p w14:paraId="37A1EEC6" w14:textId="77777777" w:rsidR="00E93703" w:rsidRDefault="00000000">
            <w:pPr>
              <w:spacing w:line="240" w:lineRule="auto"/>
            </w:pPr>
            <w:r>
              <w:rPr>
                <w:sz w:val="18"/>
              </w:rPr>
              <w:t>Adults (≥18 years) with suspected or confirmed sepsis in acute, emergency or critical care settings</w:t>
            </w:r>
          </w:p>
        </w:tc>
      </w:tr>
      <w:tr w:rsidR="00E93703" w14:paraId="12C40179" w14:textId="77777777">
        <w:tc>
          <w:tcPr>
            <w:tcW w:w="4819" w:type="dxa"/>
          </w:tcPr>
          <w:p w14:paraId="157C8E85" w14:textId="77777777" w:rsidR="00E93703" w:rsidRDefault="00000000">
            <w:pPr>
              <w:spacing w:line="240" w:lineRule="auto"/>
            </w:pPr>
            <w:r>
              <w:rPr>
                <w:sz w:val="18"/>
              </w:rPr>
              <w:t>I — Intervention/exposure</w:t>
            </w:r>
          </w:p>
        </w:tc>
        <w:tc>
          <w:tcPr>
            <w:tcW w:w="4819" w:type="dxa"/>
          </w:tcPr>
          <w:p w14:paraId="6674328C" w14:textId="77777777" w:rsidR="00E93703" w:rsidRDefault="00000000">
            <w:pPr>
              <w:spacing w:line="240" w:lineRule="auto"/>
            </w:pPr>
            <w:r>
              <w:rPr>
                <w:sz w:val="18"/>
              </w:rPr>
              <w:t>AI or machine-learning models and clinical decision-support systems for early detection or prediction of sepsis and related outcomes, using vital signs, laboratory results and electronic health record data</w:t>
            </w:r>
          </w:p>
        </w:tc>
      </w:tr>
      <w:tr w:rsidR="00E93703" w14:paraId="1E8DA49A" w14:textId="77777777">
        <w:tc>
          <w:tcPr>
            <w:tcW w:w="4819" w:type="dxa"/>
          </w:tcPr>
          <w:p w14:paraId="047945EB" w14:textId="77777777" w:rsidR="00E93703" w:rsidRDefault="00000000">
            <w:pPr>
              <w:spacing w:line="240" w:lineRule="auto"/>
            </w:pPr>
            <w:r>
              <w:rPr>
                <w:sz w:val="18"/>
              </w:rPr>
              <w:t>C — Comparison</w:t>
            </w:r>
          </w:p>
        </w:tc>
        <w:tc>
          <w:tcPr>
            <w:tcW w:w="4819" w:type="dxa"/>
          </w:tcPr>
          <w:p w14:paraId="3B7BFC5F" w14:textId="77777777" w:rsidR="00E93703" w:rsidRDefault="00000000">
            <w:pPr>
              <w:spacing w:line="240" w:lineRule="auto"/>
            </w:pPr>
            <w:r>
              <w:rPr>
                <w:sz w:val="18"/>
              </w:rPr>
              <w:t>Conventional sepsis screening tools (SIRS, qSOFA, NEWS2/MEWS, SOFA) or standard clinical assessment, where reported</w:t>
            </w:r>
          </w:p>
        </w:tc>
      </w:tr>
      <w:tr w:rsidR="00E93703" w14:paraId="00E71D72" w14:textId="77777777">
        <w:tc>
          <w:tcPr>
            <w:tcW w:w="4819" w:type="dxa"/>
          </w:tcPr>
          <w:p w14:paraId="3AF0647D" w14:textId="77777777" w:rsidR="00E93703" w:rsidRDefault="00000000">
            <w:pPr>
              <w:spacing w:line="240" w:lineRule="auto"/>
            </w:pPr>
            <w:r>
              <w:rPr>
                <w:sz w:val="18"/>
              </w:rPr>
              <w:t>O — Outcome</w:t>
            </w:r>
          </w:p>
        </w:tc>
        <w:tc>
          <w:tcPr>
            <w:tcW w:w="4819" w:type="dxa"/>
          </w:tcPr>
          <w:p w14:paraId="334BE042" w14:textId="77777777" w:rsidR="00E93703" w:rsidRDefault="00000000">
            <w:pPr>
              <w:spacing w:line="240" w:lineRule="auto"/>
            </w:pPr>
            <w:r>
              <w:rPr>
                <w:sz w:val="18"/>
              </w:rPr>
              <w:t>Diagnostic accuracy (AUROC, sensitivity, specificity, calibration, net benefit), timeliness of detection, implementation outcomes, antibiotic-use and antimicrobial-resistance outcomes, and patient outcomes</w:t>
            </w:r>
          </w:p>
        </w:tc>
      </w:tr>
    </w:tbl>
    <w:p w14:paraId="3D614D3F" w14:textId="77777777" w:rsidR="00E93703" w:rsidRDefault="00000000">
      <w:r>
        <w:br w:type="page"/>
      </w:r>
    </w:p>
    <w:p w14:paraId="58DD3185" w14:textId="77777777" w:rsidR="00E93703" w:rsidRDefault="00E93703">
      <w:pPr>
        <w:sectPr w:rsidR="00E93703">
          <w:pgSz w:w="11906" w:h="16838"/>
          <w:pgMar w:top="1134" w:right="1134" w:bottom="1134" w:left="1134" w:header="720" w:footer="720" w:gutter="0"/>
          <w:cols w:space="720"/>
          <w:docGrid w:linePitch="360"/>
        </w:sectPr>
      </w:pPr>
    </w:p>
    <w:p w14:paraId="38C19322" w14:textId="77777777" w:rsidR="00E93703" w:rsidRDefault="00000000">
      <w:r>
        <w:rPr>
          <w:b/>
          <w:sz w:val="24"/>
        </w:rPr>
        <w:lastRenderedPageBreak/>
        <w:t>Supplementary Table S3. Full data-extraction table for the 17 included studies.</w:t>
      </w:r>
    </w:p>
    <w:tbl>
      <w:tblPr>
        <w:tblStyle w:val="TableGrid"/>
        <w:tblW w:w="0" w:type="auto"/>
        <w:tblLook w:val="04A0" w:firstRow="1" w:lastRow="0" w:firstColumn="1" w:lastColumn="0" w:noHBand="0" w:noVBand="1"/>
      </w:tblPr>
      <w:tblGrid>
        <w:gridCol w:w="1705"/>
        <w:gridCol w:w="1707"/>
        <w:gridCol w:w="1706"/>
        <w:gridCol w:w="1706"/>
        <w:gridCol w:w="1707"/>
        <w:gridCol w:w="1706"/>
        <w:gridCol w:w="1706"/>
        <w:gridCol w:w="1705"/>
        <w:gridCol w:w="1706"/>
      </w:tblGrid>
      <w:tr w:rsidR="00E93703" w14:paraId="69F40D13" w14:textId="77777777">
        <w:tc>
          <w:tcPr>
            <w:tcW w:w="1707" w:type="dxa"/>
          </w:tcPr>
          <w:p w14:paraId="753654B1" w14:textId="77777777" w:rsidR="00E93703" w:rsidRDefault="00000000">
            <w:pPr>
              <w:spacing w:line="240" w:lineRule="auto"/>
            </w:pPr>
            <w:r>
              <w:rPr>
                <w:b/>
                <w:sz w:val="13"/>
              </w:rPr>
              <w:t>Study [ref]</w:t>
            </w:r>
          </w:p>
        </w:tc>
        <w:tc>
          <w:tcPr>
            <w:tcW w:w="1707" w:type="dxa"/>
          </w:tcPr>
          <w:p w14:paraId="405C063C" w14:textId="77777777" w:rsidR="00E93703" w:rsidRDefault="00000000">
            <w:pPr>
              <w:spacing w:line="240" w:lineRule="auto"/>
            </w:pPr>
            <w:r>
              <w:rPr>
                <w:b/>
                <w:sz w:val="13"/>
              </w:rPr>
              <w:t>Design &amp; setting</w:t>
            </w:r>
          </w:p>
        </w:tc>
        <w:tc>
          <w:tcPr>
            <w:tcW w:w="1707" w:type="dxa"/>
          </w:tcPr>
          <w:p w14:paraId="2567EFE9" w14:textId="77777777" w:rsidR="00E93703" w:rsidRDefault="00000000">
            <w:pPr>
              <w:spacing w:line="240" w:lineRule="auto"/>
            </w:pPr>
            <w:r>
              <w:rPr>
                <w:b/>
                <w:sz w:val="13"/>
              </w:rPr>
              <w:t>Population (n; sepsis)</w:t>
            </w:r>
          </w:p>
        </w:tc>
        <w:tc>
          <w:tcPr>
            <w:tcW w:w="1707" w:type="dxa"/>
          </w:tcPr>
          <w:p w14:paraId="1F6B7565" w14:textId="77777777" w:rsidR="00E93703" w:rsidRDefault="00000000">
            <w:pPr>
              <w:spacing w:line="240" w:lineRule="auto"/>
            </w:pPr>
            <w:r>
              <w:rPr>
                <w:b/>
                <w:sz w:val="13"/>
              </w:rPr>
              <w:t>AI/ML model &amp; inputs</w:t>
            </w:r>
          </w:p>
        </w:tc>
        <w:tc>
          <w:tcPr>
            <w:tcW w:w="1707" w:type="dxa"/>
          </w:tcPr>
          <w:p w14:paraId="78835C8F" w14:textId="77777777" w:rsidR="00E93703" w:rsidRDefault="00000000">
            <w:pPr>
              <w:spacing w:line="240" w:lineRule="auto"/>
            </w:pPr>
            <w:r>
              <w:rPr>
                <w:b/>
                <w:sz w:val="13"/>
              </w:rPr>
              <w:t>Prediction target &amp; lead time (fit)</w:t>
            </w:r>
          </w:p>
        </w:tc>
        <w:tc>
          <w:tcPr>
            <w:tcW w:w="1707" w:type="dxa"/>
          </w:tcPr>
          <w:p w14:paraId="6282D4FB" w14:textId="77777777" w:rsidR="00E93703" w:rsidRDefault="00000000">
            <w:pPr>
              <w:spacing w:line="240" w:lineRule="auto"/>
            </w:pPr>
            <w:r>
              <w:rPr>
                <w:b/>
                <w:sz w:val="13"/>
              </w:rPr>
              <w:t>Performance &amp; validation</w:t>
            </w:r>
          </w:p>
        </w:tc>
        <w:tc>
          <w:tcPr>
            <w:tcW w:w="1707" w:type="dxa"/>
          </w:tcPr>
          <w:p w14:paraId="503184C3" w14:textId="77777777" w:rsidR="00E93703" w:rsidRDefault="00000000">
            <w:pPr>
              <w:spacing w:line="240" w:lineRule="auto"/>
            </w:pPr>
            <w:r>
              <w:rPr>
                <w:b/>
                <w:sz w:val="13"/>
              </w:rPr>
              <w:t>Antibiotic / AMR relevance</w:t>
            </w:r>
          </w:p>
        </w:tc>
        <w:tc>
          <w:tcPr>
            <w:tcW w:w="1707" w:type="dxa"/>
          </w:tcPr>
          <w:p w14:paraId="16BF160B" w14:textId="77777777" w:rsidR="00E93703" w:rsidRDefault="00000000">
            <w:pPr>
              <w:spacing w:line="240" w:lineRule="auto"/>
            </w:pPr>
            <w:r>
              <w:rPr>
                <w:b/>
                <w:sz w:val="13"/>
              </w:rPr>
              <w:t>Quality (CASP)</w:t>
            </w:r>
          </w:p>
        </w:tc>
        <w:tc>
          <w:tcPr>
            <w:tcW w:w="1707" w:type="dxa"/>
          </w:tcPr>
          <w:p w14:paraId="3BBD585F" w14:textId="77777777" w:rsidR="00E93703" w:rsidRDefault="00000000">
            <w:pPr>
              <w:spacing w:line="240" w:lineRule="auto"/>
            </w:pPr>
            <w:r>
              <w:rPr>
                <w:b/>
                <w:sz w:val="13"/>
              </w:rPr>
              <w:t>Main findings vs review objectives &amp; outcome</w:t>
            </w:r>
          </w:p>
        </w:tc>
      </w:tr>
      <w:tr w:rsidR="00E93703" w14:paraId="3C63B2A6" w14:textId="77777777">
        <w:tc>
          <w:tcPr>
            <w:tcW w:w="1707" w:type="dxa"/>
          </w:tcPr>
          <w:p w14:paraId="52A68691" w14:textId="77777777" w:rsidR="00E93703" w:rsidRDefault="00000000">
            <w:pPr>
              <w:spacing w:line="240" w:lineRule="auto"/>
            </w:pPr>
            <w:r>
              <w:rPr>
                <w:sz w:val="13"/>
              </w:rPr>
              <w:t>Han et al. 2025 [15]</w:t>
            </w:r>
          </w:p>
        </w:tc>
        <w:tc>
          <w:tcPr>
            <w:tcW w:w="1707" w:type="dxa"/>
          </w:tcPr>
          <w:p w14:paraId="59853B65" w14:textId="77777777" w:rsidR="00E93703" w:rsidRDefault="00000000">
            <w:pPr>
              <w:spacing w:line="240" w:lineRule="auto"/>
            </w:pPr>
            <w:r>
              <w:rPr>
                <w:sz w:val="13"/>
              </w:rPr>
              <w:t>Retrospective single-database ML development; internal validation only (7:3 + 10-fold CV). ICU, elderly ≥65 y.</w:t>
            </w:r>
          </w:p>
        </w:tc>
        <w:tc>
          <w:tcPr>
            <w:tcW w:w="1707" w:type="dxa"/>
          </w:tcPr>
          <w:p w14:paraId="67447FE9" w14:textId="77777777" w:rsidR="00E93703" w:rsidRDefault="00000000">
            <w:pPr>
              <w:spacing w:line="240" w:lineRule="auto"/>
            </w:pPr>
            <w:r>
              <w:rPr>
                <w:sz w:val="13"/>
              </w:rPr>
              <w:t>N=3,156 older ICU patients meeting Sepsis-3 criteria; outcome event = sepsis-associated encephalopathy (SAE) in 1,536 (48.7%).</w:t>
            </w:r>
          </w:p>
        </w:tc>
        <w:tc>
          <w:tcPr>
            <w:tcW w:w="1707" w:type="dxa"/>
          </w:tcPr>
          <w:p w14:paraId="49EBEEE7" w14:textId="77777777" w:rsidR="00E93703" w:rsidRDefault="00000000">
            <w:pPr>
              <w:spacing w:line="240" w:lineRule="auto"/>
            </w:pPr>
            <w:r>
              <w:rPr>
                <w:sz w:val="13"/>
              </w:rPr>
              <w:t>5 ML models, XGBoost best; 18 first-24 h features (vitals, severity scores, labs); SHAP.</w:t>
            </w:r>
          </w:p>
        </w:tc>
        <w:tc>
          <w:tcPr>
            <w:tcW w:w="1707" w:type="dxa"/>
          </w:tcPr>
          <w:p w14:paraId="7B38E4EA" w14:textId="77777777" w:rsidR="00E93703" w:rsidRDefault="00000000">
            <w:pPr>
              <w:spacing w:line="240" w:lineRule="auto"/>
            </w:pPr>
            <w:r>
              <w:rPr>
                <w:sz w:val="13"/>
              </w:rPr>
              <w:t>Predicts SAE (a complication) after day 1 , not sepsis onset. (Indirect)</w:t>
            </w:r>
          </w:p>
        </w:tc>
        <w:tc>
          <w:tcPr>
            <w:tcW w:w="1707" w:type="dxa"/>
          </w:tcPr>
          <w:p w14:paraId="50B2CC68" w14:textId="77777777" w:rsidR="00E93703" w:rsidRDefault="00000000">
            <w:pPr>
              <w:spacing w:line="240" w:lineRule="auto"/>
            </w:pPr>
            <w:r>
              <w:rPr>
                <w:sz w:val="13"/>
              </w:rPr>
              <w:t>AUROC 0.898 (test, no CI); Sens 0.82, Spec 0.84, PPV 0.82. Internal only; calibration/DCA reported.</w:t>
            </w:r>
          </w:p>
        </w:tc>
        <w:tc>
          <w:tcPr>
            <w:tcW w:w="1707" w:type="dxa"/>
          </w:tcPr>
          <w:p w14:paraId="7658A518" w14:textId="77777777" w:rsidR="00E93703" w:rsidRDefault="00000000">
            <w:pPr>
              <w:spacing w:line="240" w:lineRule="auto"/>
            </w:pPr>
            <w:r>
              <w:rPr>
                <w:sz w:val="13"/>
              </w:rPr>
              <w:t>None reported.</w:t>
            </w:r>
          </w:p>
        </w:tc>
        <w:tc>
          <w:tcPr>
            <w:tcW w:w="1707" w:type="dxa"/>
          </w:tcPr>
          <w:p w14:paraId="41C27877" w14:textId="77777777" w:rsidR="00E93703" w:rsidRDefault="00000000">
            <w:pPr>
              <w:spacing w:line="240" w:lineRule="auto"/>
            </w:pPr>
            <w:r>
              <w:rPr>
                <w:sz w:val="13"/>
              </w:rPr>
              <w:t>Medium</w:t>
            </w:r>
          </w:p>
        </w:tc>
        <w:tc>
          <w:tcPr>
            <w:tcW w:w="1707" w:type="dxa"/>
          </w:tcPr>
          <w:p w14:paraId="5C94328A" w14:textId="77777777" w:rsidR="00E93703" w:rsidRDefault="00000000">
            <w:pPr>
              <w:spacing w:line="240" w:lineRule="auto"/>
            </w:pPr>
            <w:r>
              <w:rPr>
                <w:sz w:val="13"/>
              </w:rPr>
              <w:t>XGBoost predicts SAE well and beats traditional scores, but the outcome is a complication of established sepsis, not early detection; single US database, retrospective, internal-only, no stewardship data.</w:t>
            </w:r>
          </w:p>
        </w:tc>
      </w:tr>
      <w:tr w:rsidR="00E93703" w14:paraId="4F1CC605" w14:textId="77777777">
        <w:tc>
          <w:tcPr>
            <w:tcW w:w="1707" w:type="dxa"/>
          </w:tcPr>
          <w:p w14:paraId="57C94DF7" w14:textId="77777777" w:rsidR="00E93703" w:rsidRDefault="00000000">
            <w:pPr>
              <w:spacing w:line="240" w:lineRule="auto"/>
            </w:pPr>
            <w:r>
              <w:rPr>
                <w:sz w:val="13"/>
              </w:rPr>
              <w:t>Wang et al. 2021 [16]</w:t>
            </w:r>
          </w:p>
        </w:tc>
        <w:tc>
          <w:tcPr>
            <w:tcW w:w="1707" w:type="dxa"/>
          </w:tcPr>
          <w:p w14:paraId="60C0D764" w14:textId="77777777" w:rsidR="00E93703" w:rsidRDefault="00000000">
            <w:pPr>
              <w:spacing w:line="240" w:lineRule="auto"/>
            </w:pPr>
            <w:r>
              <w:rPr>
                <w:sz w:val="13"/>
              </w:rPr>
              <w:t>Secondary analysis of a retrospective observational cohort; internal validation. ICU.</w:t>
            </w:r>
          </w:p>
        </w:tc>
        <w:tc>
          <w:tcPr>
            <w:tcW w:w="1707" w:type="dxa"/>
          </w:tcPr>
          <w:p w14:paraId="61140F49" w14:textId="77777777" w:rsidR="00E93703" w:rsidRDefault="00000000">
            <w:pPr>
              <w:spacing w:line="240" w:lineRule="auto"/>
            </w:pPr>
            <w:r>
              <w:rPr>
                <w:sz w:val="13"/>
              </w:rPr>
              <w:t>4,449 infected ICU adults; sepsis onset in 3,539 (79.5%).</w:t>
            </w:r>
          </w:p>
        </w:tc>
        <w:tc>
          <w:tcPr>
            <w:tcW w:w="1707" w:type="dxa"/>
          </w:tcPr>
          <w:p w14:paraId="599B5C4D" w14:textId="77777777" w:rsidR="00E93703" w:rsidRDefault="00000000">
            <w:pPr>
              <w:spacing w:line="240" w:lineRule="auto"/>
            </w:pPr>
            <w:r>
              <w:rPr>
                <w:sz w:val="13"/>
              </w:rPr>
              <w:t>Random Forest; 20 clinical/lab features (Gini importance).</w:t>
            </w:r>
          </w:p>
        </w:tc>
        <w:tc>
          <w:tcPr>
            <w:tcW w:w="1707" w:type="dxa"/>
          </w:tcPr>
          <w:p w14:paraId="3830EEAF" w14:textId="77777777" w:rsidR="00E93703" w:rsidRDefault="00000000">
            <w:pPr>
              <w:spacing w:line="240" w:lineRule="auto"/>
            </w:pPr>
            <w:r>
              <w:rPr>
                <w:sz w:val="13"/>
              </w:rPr>
              <w:t>Predicts sepsis onset in infected ICU patients; no explicit lead time. (Direct)</w:t>
            </w:r>
          </w:p>
        </w:tc>
        <w:tc>
          <w:tcPr>
            <w:tcW w:w="1707" w:type="dxa"/>
          </w:tcPr>
          <w:p w14:paraId="48417AF4" w14:textId="77777777" w:rsidR="00E93703" w:rsidRDefault="00000000">
            <w:pPr>
              <w:spacing w:line="240" w:lineRule="auto"/>
            </w:pPr>
            <w:r>
              <w:rPr>
                <w:sz w:val="13"/>
              </w:rPr>
              <w:t>AUROC 0.91 (test); Sens 0.95, PPV 0.89 (Spec NR). Internal only. (Abstract mislabels metrics.)</w:t>
            </w:r>
          </w:p>
        </w:tc>
        <w:tc>
          <w:tcPr>
            <w:tcW w:w="1707" w:type="dxa"/>
          </w:tcPr>
          <w:p w14:paraId="1316B225" w14:textId="77777777" w:rsidR="00E93703" w:rsidRDefault="00000000">
            <w:pPr>
              <w:spacing w:line="240" w:lineRule="auto"/>
            </w:pPr>
            <w:r>
              <w:rPr>
                <w:sz w:val="13"/>
              </w:rPr>
              <w:t>None reported.</w:t>
            </w:r>
          </w:p>
        </w:tc>
        <w:tc>
          <w:tcPr>
            <w:tcW w:w="1707" w:type="dxa"/>
          </w:tcPr>
          <w:p w14:paraId="68BCDE33" w14:textId="77777777" w:rsidR="00E93703" w:rsidRDefault="00000000">
            <w:pPr>
              <w:spacing w:line="240" w:lineRule="auto"/>
            </w:pPr>
            <w:r>
              <w:rPr>
                <w:sz w:val="13"/>
              </w:rPr>
              <w:t>Medium</w:t>
            </w:r>
          </w:p>
        </w:tc>
        <w:tc>
          <w:tcPr>
            <w:tcW w:w="1707" w:type="dxa"/>
          </w:tcPr>
          <w:p w14:paraId="30A5438A" w14:textId="77777777" w:rsidR="00E93703" w:rsidRDefault="00000000">
            <w:pPr>
              <w:spacing w:line="240" w:lineRule="auto"/>
            </w:pPr>
            <w:r>
              <w:rPr>
                <w:sz w:val="13"/>
              </w:rPr>
              <w:t>Routine admission variables predict sepsis onset with high AUROC, supporting early-detection feasibility , but single-centre, internally validated only, with no implementation or stewardship outcome.</w:t>
            </w:r>
          </w:p>
        </w:tc>
      </w:tr>
      <w:tr w:rsidR="00E93703" w14:paraId="1C2E52EC" w14:textId="77777777">
        <w:tc>
          <w:tcPr>
            <w:tcW w:w="1707" w:type="dxa"/>
          </w:tcPr>
          <w:p w14:paraId="1DE59332" w14:textId="77777777" w:rsidR="00E93703" w:rsidRDefault="00000000">
            <w:pPr>
              <w:spacing w:line="240" w:lineRule="auto"/>
            </w:pPr>
            <w:r>
              <w:rPr>
                <w:sz w:val="13"/>
              </w:rPr>
              <w:t>Nemati et al. 2018 [17]</w:t>
            </w:r>
          </w:p>
        </w:tc>
        <w:tc>
          <w:tcPr>
            <w:tcW w:w="1707" w:type="dxa"/>
          </w:tcPr>
          <w:p w14:paraId="0B4CB5CA" w14:textId="77777777" w:rsidR="00E93703" w:rsidRDefault="00000000">
            <w:pPr>
              <w:spacing w:line="240" w:lineRule="auto"/>
            </w:pPr>
            <w:r>
              <w:rPr>
                <w:sz w:val="13"/>
              </w:rPr>
              <w:t>Retrospective observational cohort with genuine external validation. ICU. (Not an RCT.)</w:t>
            </w:r>
          </w:p>
        </w:tc>
        <w:tc>
          <w:tcPr>
            <w:tcW w:w="1707" w:type="dxa"/>
          </w:tcPr>
          <w:p w14:paraId="18E6CAF2" w14:textId="77777777" w:rsidR="00E93703" w:rsidRDefault="00000000">
            <w:pPr>
              <w:spacing w:line="240" w:lineRule="auto"/>
            </w:pPr>
            <w:r>
              <w:rPr>
                <w:sz w:val="13"/>
              </w:rPr>
              <w:t>Development ~27,527 ICU admissions (2,375 [8.6%] sepsis); external ~42,000 (MIMIC-III).</w:t>
            </w:r>
          </w:p>
        </w:tc>
        <w:tc>
          <w:tcPr>
            <w:tcW w:w="1707" w:type="dxa"/>
          </w:tcPr>
          <w:p w14:paraId="6904611B" w14:textId="77777777" w:rsidR="00E93703" w:rsidRDefault="00000000">
            <w:pPr>
              <w:spacing w:line="240" w:lineRule="auto"/>
            </w:pPr>
            <w:r>
              <w:rPr>
                <w:sz w:val="13"/>
              </w:rPr>
              <w:t>AISE , Weibull–Cox survival model; 65 features computed hourly from EMR.</w:t>
            </w:r>
          </w:p>
        </w:tc>
        <w:tc>
          <w:tcPr>
            <w:tcW w:w="1707" w:type="dxa"/>
          </w:tcPr>
          <w:p w14:paraId="680E35AD" w14:textId="77777777" w:rsidR="00E93703" w:rsidRDefault="00000000">
            <w:pPr>
              <w:spacing w:line="240" w:lineRule="auto"/>
            </w:pPr>
            <w:r>
              <w:rPr>
                <w:sz w:val="13"/>
              </w:rPr>
              <w:t>Predicts sepsis onset 4–12 h before recognition (explicit lead time). (Direct)</w:t>
            </w:r>
          </w:p>
        </w:tc>
        <w:tc>
          <w:tcPr>
            <w:tcW w:w="1707" w:type="dxa"/>
          </w:tcPr>
          <w:p w14:paraId="042E2B22" w14:textId="77777777" w:rsidR="00E93703" w:rsidRDefault="00000000">
            <w:pPr>
              <w:spacing w:line="240" w:lineRule="auto"/>
            </w:pPr>
            <w:r>
              <w:rPr>
                <w:sz w:val="13"/>
              </w:rPr>
              <w:t>AUROC 0.83–0.85 (4–12 h); Sens fixed 0.85, Spec 0.67 at 4 h (≈33% false alarms). Development ≈ external (robust).</w:t>
            </w:r>
          </w:p>
        </w:tc>
        <w:tc>
          <w:tcPr>
            <w:tcW w:w="1707" w:type="dxa"/>
          </w:tcPr>
          <w:p w14:paraId="7A395F6F" w14:textId="77777777" w:rsidR="00E93703" w:rsidRDefault="00000000">
            <w:pPr>
              <w:spacing w:line="240" w:lineRule="auto"/>
            </w:pPr>
            <w:r>
              <w:rPr>
                <w:sz w:val="13"/>
              </w:rPr>
              <w:t>‘Sepsis interdiction’ (earlier antibiotics) discussed conceptually; not measured.</w:t>
            </w:r>
          </w:p>
        </w:tc>
        <w:tc>
          <w:tcPr>
            <w:tcW w:w="1707" w:type="dxa"/>
          </w:tcPr>
          <w:p w14:paraId="060F2C59" w14:textId="77777777" w:rsidR="00E93703" w:rsidRDefault="00000000">
            <w:pPr>
              <w:spacing w:line="240" w:lineRule="auto"/>
            </w:pPr>
            <w:r>
              <w:rPr>
                <w:sz w:val="13"/>
              </w:rPr>
              <w:t>High</w:t>
            </w:r>
          </w:p>
        </w:tc>
        <w:tc>
          <w:tcPr>
            <w:tcW w:w="1707" w:type="dxa"/>
          </w:tcPr>
          <w:p w14:paraId="0F2511F3" w14:textId="77777777" w:rsidR="00E93703" w:rsidRDefault="00000000">
            <w:pPr>
              <w:spacing w:line="240" w:lineRule="auto"/>
            </w:pPr>
            <w:r>
              <w:rPr>
                <w:sz w:val="13"/>
              </w:rPr>
              <w:t>Strongest early-detection evidence: flags sepsis hours ahead with externally robust discrimination. However moderate specificity implies a real false-alarm burden, and no outcome or stewardship endpoint was tested.</w:t>
            </w:r>
          </w:p>
        </w:tc>
      </w:tr>
      <w:tr w:rsidR="00E93703" w14:paraId="670A0CBD" w14:textId="77777777">
        <w:tc>
          <w:tcPr>
            <w:tcW w:w="1707" w:type="dxa"/>
          </w:tcPr>
          <w:p w14:paraId="382FF1B0" w14:textId="77777777" w:rsidR="00E93703" w:rsidRDefault="00000000">
            <w:pPr>
              <w:spacing w:line="240" w:lineRule="auto"/>
            </w:pPr>
            <w:r>
              <w:rPr>
                <w:sz w:val="13"/>
              </w:rPr>
              <w:t>Rahman et al. 2024 [18]</w:t>
            </w:r>
          </w:p>
        </w:tc>
        <w:tc>
          <w:tcPr>
            <w:tcW w:w="1707" w:type="dxa"/>
          </w:tcPr>
          <w:p w14:paraId="2257D17E" w14:textId="77777777" w:rsidR="00E93703" w:rsidRDefault="00000000">
            <w:pPr>
              <w:spacing w:line="240" w:lineRule="auto"/>
            </w:pPr>
            <w:r>
              <w:rPr>
                <w:sz w:val="13"/>
              </w:rPr>
              <w:t>Retrospective prognostic-model development; internal only (SMOTE-balanced CV). ICU.</w:t>
            </w:r>
          </w:p>
        </w:tc>
        <w:tc>
          <w:tcPr>
            <w:tcW w:w="1707" w:type="dxa"/>
          </w:tcPr>
          <w:p w14:paraId="1E0C9F79" w14:textId="77777777" w:rsidR="00E93703" w:rsidRDefault="00000000">
            <w:pPr>
              <w:spacing w:line="240" w:lineRule="auto"/>
            </w:pPr>
            <w:r>
              <w:rPr>
                <w:sz w:val="13"/>
              </w:rPr>
              <w:t>4,240 patients meeting Sepsis-3 criteria (all already have sepsis); 30-day mortality in 783 (18.5%).</w:t>
            </w:r>
          </w:p>
        </w:tc>
        <w:tc>
          <w:tcPr>
            <w:tcW w:w="1707" w:type="dxa"/>
          </w:tcPr>
          <w:p w14:paraId="654EB07C" w14:textId="77777777" w:rsidR="00E93703" w:rsidRDefault="00000000">
            <w:pPr>
              <w:spacing w:line="240" w:lineRule="auto"/>
            </w:pPr>
            <w:r>
              <w:rPr>
                <w:sz w:val="13"/>
              </w:rPr>
              <w:t>Stacking meta-classifier (‘Stacked LR’); 15 biomarkers.</w:t>
            </w:r>
          </w:p>
        </w:tc>
        <w:tc>
          <w:tcPr>
            <w:tcW w:w="1707" w:type="dxa"/>
          </w:tcPr>
          <w:p w14:paraId="16D5627C" w14:textId="77777777" w:rsidR="00E93703" w:rsidRDefault="00000000">
            <w:pPr>
              <w:spacing w:line="240" w:lineRule="auto"/>
            </w:pPr>
            <w:r>
              <w:rPr>
                <w:sz w:val="13"/>
              </w:rPr>
              <w:t>Predicts 30-day mortality in patients with established sepsis , not detection. (Indirect)</w:t>
            </w:r>
          </w:p>
        </w:tc>
        <w:tc>
          <w:tcPr>
            <w:tcW w:w="1707" w:type="dxa"/>
          </w:tcPr>
          <w:p w14:paraId="132FF5EF" w14:textId="77777777" w:rsidR="00E93703" w:rsidRDefault="00000000">
            <w:pPr>
              <w:spacing w:line="240" w:lineRule="auto"/>
            </w:pPr>
            <w:r>
              <w:rPr>
                <w:sz w:val="13"/>
              </w:rPr>
              <w:t>AUROC 0.99 (optimism signal: SMOTE + internal only); Sens 0.96, Spec 0.94.</w:t>
            </w:r>
          </w:p>
        </w:tc>
        <w:tc>
          <w:tcPr>
            <w:tcW w:w="1707" w:type="dxa"/>
          </w:tcPr>
          <w:p w14:paraId="31FA7EDB" w14:textId="77777777" w:rsidR="00E93703" w:rsidRDefault="00000000">
            <w:pPr>
              <w:spacing w:line="240" w:lineRule="auto"/>
            </w:pPr>
            <w:r>
              <w:rPr>
                <w:sz w:val="13"/>
              </w:rPr>
              <w:t>None reported.</w:t>
            </w:r>
          </w:p>
        </w:tc>
        <w:tc>
          <w:tcPr>
            <w:tcW w:w="1707" w:type="dxa"/>
          </w:tcPr>
          <w:p w14:paraId="71E177C4" w14:textId="77777777" w:rsidR="00E93703" w:rsidRDefault="00000000">
            <w:pPr>
              <w:spacing w:line="240" w:lineRule="auto"/>
            </w:pPr>
            <w:r>
              <w:rPr>
                <w:sz w:val="13"/>
              </w:rPr>
              <w:t>Low</w:t>
            </w:r>
          </w:p>
        </w:tc>
        <w:tc>
          <w:tcPr>
            <w:tcW w:w="1707" w:type="dxa"/>
          </w:tcPr>
          <w:p w14:paraId="71BC7CBB" w14:textId="77777777" w:rsidR="00E93703" w:rsidRDefault="00000000">
            <w:pPr>
              <w:spacing w:line="240" w:lineRule="auto"/>
            </w:pPr>
            <w:r>
              <w:rPr>
                <w:sz w:val="13"/>
              </w:rPr>
              <w:t>The near-perfect AUROC is an artefact of class-balancing and internal-only validation; the outcome is mortality, not sepsis onset , little relevance to the early-detection question.</w:t>
            </w:r>
          </w:p>
        </w:tc>
      </w:tr>
      <w:tr w:rsidR="00E93703" w14:paraId="162EB83A" w14:textId="77777777">
        <w:tc>
          <w:tcPr>
            <w:tcW w:w="1707" w:type="dxa"/>
          </w:tcPr>
          <w:p w14:paraId="0797A3C7" w14:textId="77777777" w:rsidR="00E93703" w:rsidRDefault="00000000">
            <w:pPr>
              <w:spacing w:line="240" w:lineRule="auto"/>
            </w:pPr>
            <w:r>
              <w:rPr>
                <w:sz w:val="13"/>
              </w:rPr>
              <w:t>Lin et al. 2025 [19]</w:t>
            </w:r>
          </w:p>
        </w:tc>
        <w:tc>
          <w:tcPr>
            <w:tcW w:w="1707" w:type="dxa"/>
          </w:tcPr>
          <w:p w14:paraId="5F72B918" w14:textId="77777777" w:rsidR="00E93703" w:rsidRDefault="00000000">
            <w:pPr>
              <w:spacing w:line="240" w:lineRule="auto"/>
            </w:pPr>
            <w:r>
              <w:rPr>
                <w:sz w:val="13"/>
              </w:rPr>
              <w:t>Retrospective single-centre diagnostic study; internal validation; deployed (un-evaluated) web CDSS. ICU cases vs outpatient controls.</w:t>
            </w:r>
          </w:p>
        </w:tc>
        <w:tc>
          <w:tcPr>
            <w:tcW w:w="1707" w:type="dxa"/>
          </w:tcPr>
          <w:p w14:paraId="4F33C993" w14:textId="77777777" w:rsidR="00E93703" w:rsidRDefault="00000000">
            <w:pPr>
              <w:spacing w:line="240" w:lineRule="auto"/>
            </w:pPr>
            <w:r>
              <w:rPr>
                <w:sz w:val="13"/>
              </w:rPr>
              <w:t>1,492 (654 sepsis); ICU suspected pneumonia-sepsis vs stable outpatient controls.</w:t>
            </w:r>
          </w:p>
        </w:tc>
        <w:tc>
          <w:tcPr>
            <w:tcW w:w="1707" w:type="dxa"/>
          </w:tcPr>
          <w:p w14:paraId="10C8EFE9" w14:textId="77777777" w:rsidR="00E93703" w:rsidRDefault="00000000">
            <w:pPr>
              <w:spacing w:line="240" w:lineRule="auto"/>
            </w:pPr>
            <w:r>
              <w:rPr>
                <w:sz w:val="13"/>
              </w:rPr>
              <w:t>LGBM (best of several); CBC + differential inputs only.</w:t>
            </w:r>
          </w:p>
        </w:tc>
        <w:tc>
          <w:tcPr>
            <w:tcW w:w="1707" w:type="dxa"/>
          </w:tcPr>
          <w:p w14:paraId="07A87984" w14:textId="77777777" w:rsidR="00E93703" w:rsidRDefault="00000000">
            <w:pPr>
              <w:spacing w:line="240" w:lineRule="auto"/>
            </w:pPr>
            <w:r>
              <w:rPr>
                <w:sz w:val="13"/>
              </w:rPr>
              <w:t>Cross-sectional sepsis vs non-sepsis classification (faster than culture, not hours-ahead). (Partial)</w:t>
            </w:r>
          </w:p>
        </w:tc>
        <w:tc>
          <w:tcPr>
            <w:tcW w:w="1707" w:type="dxa"/>
          </w:tcPr>
          <w:p w14:paraId="654A7572" w14:textId="77777777" w:rsidR="00E93703" w:rsidRDefault="00000000">
            <w:pPr>
              <w:spacing w:line="240" w:lineRule="auto"/>
            </w:pPr>
            <w:r>
              <w:rPr>
                <w:sz w:val="13"/>
              </w:rPr>
              <w:t>AUROC 0.90 (test; train 0.99 , gap); Sens 0.85, Spec 0.82, PPV 0.76. Internal; Brier calibration.</w:t>
            </w:r>
          </w:p>
        </w:tc>
        <w:tc>
          <w:tcPr>
            <w:tcW w:w="1707" w:type="dxa"/>
          </w:tcPr>
          <w:p w14:paraId="748894F7" w14:textId="77777777" w:rsidR="00E93703" w:rsidRDefault="00000000">
            <w:pPr>
              <w:spacing w:line="240" w:lineRule="auto"/>
            </w:pPr>
            <w:r>
              <w:rPr>
                <w:sz w:val="13"/>
              </w:rPr>
              <w:t>Conceptual link to faster antibiotics; not measured.</w:t>
            </w:r>
          </w:p>
        </w:tc>
        <w:tc>
          <w:tcPr>
            <w:tcW w:w="1707" w:type="dxa"/>
          </w:tcPr>
          <w:p w14:paraId="36C7BFEB" w14:textId="77777777" w:rsidR="00E93703" w:rsidRDefault="00000000">
            <w:pPr>
              <w:spacing w:line="240" w:lineRule="auto"/>
            </w:pPr>
            <w:r>
              <w:rPr>
                <w:sz w:val="13"/>
              </w:rPr>
              <w:t>Medium</w:t>
            </w:r>
          </w:p>
        </w:tc>
        <w:tc>
          <w:tcPr>
            <w:tcW w:w="1707" w:type="dxa"/>
          </w:tcPr>
          <w:p w14:paraId="281A5B56" w14:textId="77777777" w:rsidR="00E93703" w:rsidRDefault="00000000">
            <w:pPr>
              <w:spacing w:line="240" w:lineRule="auto"/>
            </w:pPr>
            <w:r>
              <w:rPr>
                <w:sz w:val="13"/>
              </w:rPr>
              <w:t>Routine CBC alone classifies sepsis well and is deployed as a CDSS, but outpatient controls bias the contrast, there is no outcome/RCT, and the stewardship benefit is asserted rather than measured.</w:t>
            </w:r>
          </w:p>
        </w:tc>
      </w:tr>
      <w:tr w:rsidR="00E93703" w14:paraId="7CDDCBD2" w14:textId="77777777">
        <w:tc>
          <w:tcPr>
            <w:tcW w:w="1707" w:type="dxa"/>
          </w:tcPr>
          <w:p w14:paraId="195E5593" w14:textId="77777777" w:rsidR="00E93703" w:rsidRDefault="00000000">
            <w:pPr>
              <w:spacing w:line="240" w:lineRule="auto"/>
            </w:pPr>
            <w:r>
              <w:rPr>
                <w:sz w:val="13"/>
              </w:rPr>
              <w:t>Zhou H et al. 2026 [20]</w:t>
            </w:r>
          </w:p>
        </w:tc>
        <w:tc>
          <w:tcPr>
            <w:tcW w:w="1707" w:type="dxa"/>
          </w:tcPr>
          <w:p w14:paraId="5305AD56" w14:textId="77777777" w:rsidR="00E93703" w:rsidRDefault="00000000">
            <w:pPr>
              <w:spacing w:line="240" w:lineRule="auto"/>
            </w:pPr>
            <w:r>
              <w:rPr>
                <w:sz w:val="13"/>
              </w:rPr>
              <w:t>Retrospective prediction-model development with external validation (eICU). ICU.</w:t>
            </w:r>
          </w:p>
        </w:tc>
        <w:tc>
          <w:tcPr>
            <w:tcW w:w="1707" w:type="dxa"/>
          </w:tcPr>
          <w:p w14:paraId="1BD79A48" w14:textId="77777777" w:rsidR="00E93703" w:rsidRDefault="00000000">
            <w:pPr>
              <w:spacing w:line="240" w:lineRule="auto"/>
            </w:pPr>
            <w:r>
              <w:rPr>
                <w:sz w:val="13"/>
              </w:rPr>
              <w:t>Training 5,561 (MIMIC-IV); external 2,259 (eICU); patients with sepsis progressing to shock.</w:t>
            </w:r>
          </w:p>
        </w:tc>
        <w:tc>
          <w:tcPr>
            <w:tcW w:w="1707" w:type="dxa"/>
          </w:tcPr>
          <w:p w14:paraId="39466E0F" w14:textId="77777777" w:rsidR="00E93703" w:rsidRDefault="00000000">
            <w:pPr>
              <w:spacing w:line="240" w:lineRule="auto"/>
            </w:pPr>
            <w:r>
              <w:rPr>
                <w:sz w:val="13"/>
              </w:rPr>
              <w:t>6 ML algorithms, Random Forest best; ~23 LASSO features; SHAP.</w:t>
            </w:r>
          </w:p>
        </w:tc>
        <w:tc>
          <w:tcPr>
            <w:tcW w:w="1707" w:type="dxa"/>
          </w:tcPr>
          <w:p w14:paraId="5DF90E3D" w14:textId="77777777" w:rsidR="00E93703" w:rsidRDefault="00000000">
            <w:pPr>
              <w:spacing w:line="240" w:lineRule="auto"/>
            </w:pPr>
            <w:r>
              <w:rPr>
                <w:sz w:val="13"/>
              </w:rPr>
              <w:t>Predicts progression sepsis→septic shock (first-24 h) , a complication, not onset. (Indirect)</w:t>
            </w:r>
          </w:p>
        </w:tc>
        <w:tc>
          <w:tcPr>
            <w:tcW w:w="1707" w:type="dxa"/>
          </w:tcPr>
          <w:p w14:paraId="36A41D5E" w14:textId="77777777" w:rsidR="00E93703" w:rsidRDefault="00000000">
            <w:pPr>
              <w:spacing w:line="240" w:lineRule="auto"/>
            </w:pPr>
            <w:r>
              <w:rPr>
                <w:sz w:val="13"/>
              </w:rPr>
              <w:t>AUROC 0.785 (external; 95% CI 0.77–0.80); Sens 0.74, Spec 0.70. Good calibration (Brier 0.189).</w:t>
            </w:r>
          </w:p>
        </w:tc>
        <w:tc>
          <w:tcPr>
            <w:tcW w:w="1707" w:type="dxa"/>
          </w:tcPr>
          <w:p w14:paraId="51076581" w14:textId="77777777" w:rsidR="00E93703" w:rsidRDefault="00000000">
            <w:pPr>
              <w:spacing w:line="240" w:lineRule="auto"/>
            </w:pPr>
            <w:r>
              <w:rPr>
                <w:sz w:val="13"/>
              </w:rPr>
              <w:t>None reported.</w:t>
            </w:r>
          </w:p>
        </w:tc>
        <w:tc>
          <w:tcPr>
            <w:tcW w:w="1707" w:type="dxa"/>
          </w:tcPr>
          <w:p w14:paraId="23CDF535" w14:textId="77777777" w:rsidR="00E93703" w:rsidRDefault="00000000">
            <w:pPr>
              <w:spacing w:line="240" w:lineRule="auto"/>
            </w:pPr>
            <w:r>
              <w:rPr>
                <w:sz w:val="13"/>
              </w:rPr>
              <w:t>High</w:t>
            </w:r>
          </w:p>
        </w:tc>
        <w:tc>
          <w:tcPr>
            <w:tcW w:w="1707" w:type="dxa"/>
          </w:tcPr>
          <w:p w14:paraId="2F44C8F3" w14:textId="77777777" w:rsidR="00E93703" w:rsidRDefault="00000000">
            <w:pPr>
              <w:spacing w:line="240" w:lineRule="auto"/>
            </w:pPr>
            <w:r>
              <w:rPr>
                <w:sz w:val="13"/>
              </w:rPr>
              <w:t>A methodologically honest external validation showing only moderate discrimination for shock progression , a key generalisability lesson (single-database performance does not transfer) , but not early sepsis detection.</w:t>
            </w:r>
          </w:p>
        </w:tc>
      </w:tr>
      <w:tr w:rsidR="00E93703" w14:paraId="7783A94A" w14:textId="77777777">
        <w:tc>
          <w:tcPr>
            <w:tcW w:w="1707" w:type="dxa"/>
          </w:tcPr>
          <w:p w14:paraId="63E1244F" w14:textId="77777777" w:rsidR="00E93703" w:rsidRDefault="00000000">
            <w:pPr>
              <w:spacing w:line="240" w:lineRule="auto"/>
            </w:pPr>
            <w:r>
              <w:rPr>
                <w:sz w:val="13"/>
              </w:rPr>
              <w:t>Tranchellini et al. 2026 [21]</w:t>
            </w:r>
          </w:p>
        </w:tc>
        <w:tc>
          <w:tcPr>
            <w:tcW w:w="1707" w:type="dxa"/>
          </w:tcPr>
          <w:p w14:paraId="4F3ACFA1" w14:textId="77777777" w:rsidR="00E93703" w:rsidRDefault="00000000">
            <w:pPr>
              <w:spacing w:line="240" w:lineRule="auto"/>
            </w:pPr>
            <w:r>
              <w:rPr>
                <w:sz w:val="13"/>
              </w:rPr>
              <w:t>Retrospective multi-database deep-learning study; cross-database (external) generalisation. ICU.</w:t>
            </w:r>
          </w:p>
        </w:tc>
        <w:tc>
          <w:tcPr>
            <w:tcW w:w="1707" w:type="dxa"/>
          </w:tcPr>
          <w:p w14:paraId="1E3C20AB" w14:textId="77777777" w:rsidR="00E93703" w:rsidRDefault="00000000">
            <w:pPr>
              <w:spacing w:line="240" w:lineRule="auto"/>
            </w:pPr>
            <w:r>
              <w:rPr>
                <w:sz w:val="13"/>
              </w:rPr>
              <w:t>216,536 ICU stays; ~10,817 sepsis (4.6–6.3% across databases).</w:t>
            </w:r>
          </w:p>
        </w:tc>
        <w:tc>
          <w:tcPr>
            <w:tcW w:w="1707" w:type="dxa"/>
          </w:tcPr>
          <w:p w14:paraId="03BDF70C" w14:textId="77777777" w:rsidR="00E93703" w:rsidRDefault="00000000">
            <w:pPr>
              <w:spacing w:line="240" w:lineRule="auto"/>
            </w:pPr>
            <w:r>
              <w:rPr>
                <w:sz w:val="13"/>
              </w:rPr>
              <w:t>3 deep-learning architectures (CNN most robust); 48 dynamic features.</w:t>
            </w:r>
          </w:p>
        </w:tc>
        <w:tc>
          <w:tcPr>
            <w:tcW w:w="1707" w:type="dxa"/>
          </w:tcPr>
          <w:p w14:paraId="29BB404E" w14:textId="77777777" w:rsidR="00E93703" w:rsidRDefault="00000000">
            <w:pPr>
              <w:spacing w:line="240" w:lineRule="auto"/>
            </w:pPr>
            <w:r>
              <w:rPr>
                <w:sz w:val="13"/>
              </w:rPr>
              <w:t>Predicts sepsis onset 6 h ahead (label true 6 h before onset). (Direct)</w:t>
            </w:r>
          </w:p>
        </w:tc>
        <w:tc>
          <w:tcPr>
            <w:tcW w:w="1707" w:type="dxa"/>
          </w:tcPr>
          <w:p w14:paraId="0F9ECBFA" w14:textId="77777777" w:rsidR="00E93703" w:rsidRDefault="00000000">
            <w:pPr>
              <w:spacing w:line="240" w:lineRule="auto"/>
            </w:pPr>
            <w:r>
              <w:rPr>
                <w:sz w:val="13"/>
              </w:rPr>
              <w:t>AUROC ≈0.61–0.77 across database pairs (no CIs); discrimination only moderate cross-domain; Sens/Spec NR.</w:t>
            </w:r>
          </w:p>
        </w:tc>
        <w:tc>
          <w:tcPr>
            <w:tcW w:w="1707" w:type="dxa"/>
          </w:tcPr>
          <w:p w14:paraId="5A03EEEA" w14:textId="77777777" w:rsidR="00E93703" w:rsidRDefault="00000000">
            <w:pPr>
              <w:spacing w:line="240" w:lineRule="auto"/>
            </w:pPr>
            <w:r>
              <w:rPr>
                <w:sz w:val="13"/>
              </w:rPr>
              <w:t>Antibiotic timing used only to define the label; no stewardship outcome.</w:t>
            </w:r>
          </w:p>
        </w:tc>
        <w:tc>
          <w:tcPr>
            <w:tcW w:w="1707" w:type="dxa"/>
          </w:tcPr>
          <w:p w14:paraId="63F17094" w14:textId="77777777" w:rsidR="00E93703" w:rsidRDefault="00000000">
            <w:pPr>
              <w:spacing w:line="240" w:lineRule="auto"/>
            </w:pPr>
            <w:r>
              <w:rPr>
                <w:sz w:val="13"/>
              </w:rPr>
              <w:t>High</w:t>
            </w:r>
          </w:p>
        </w:tc>
        <w:tc>
          <w:tcPr>
            <w:tcW w:w="1707" w:type="dxa"/>
          </w:tcPr>
          <w:p w14:paraId="4078DB59" w14:textId="77777777" w:rsidR="00E93703" w:rsidRDefault="00000000">
            <w:pPr>
              <w:spacing w:line="240" w:lineRule="auto"/>
            </w:pPr>
            <w:r>
              <w:rPr>
                <w:sz w:val="13"/>
              </w:rPr>
              <w:t>The largest, most rigorous generalisation study: true early-detection AUROC falls to moderate when models cross hospitals/databases , central evidence that high single-</w:t>
            </w:r>
            <w:r>
              <w:rPr>
                <w:sz w:val="13"/>
              </w:rPr>
              <w:lastRenderedPageBreak/>
              <w:t>database performance overstates real-world accuracy.</w:t>
            </w:r>
          </w:p>
        </w:tc>
      </w:tr>
      <w:tr w:rsidR="00E93703" w14:paraId="781834FE" w14:textId="77777777">
        <w:tc>
          <w:tcPr>
            <w:tcW w:w="1707" w:type="dxa"/>
          </w:tcPr>
          <w:p w14:paraId="1102726C" w14:textId="77777777" w:rsidR="00E93703" w:rsidRDefault="00000000">
            <w:pPr>
              <w:spacing w:line="240" w:lineRule="auto"/>
            </w:pPr>
            <w:r>
              <w:rPr>
                <w:sz w:val="13"/>
              </w:rPr>
              <w:lastRenderedPageBreak/>
              <w:t>Despraz et al. 2026 [22]</w:t>
            </w:r>
          </w:p>
        </w:tc>
        <w:tc>
          <w:tcPr>
            <w:tcW w:w="1707" w:type="dxa"/>
          </w:tcPr>
          <w:p w14:paraId="25EC5A59" w14:textId="77777777" w:rsidR="00E93703" w:rsidRDefault="00000000">
            <w:pPr>
              <w:spacing w:line="240" w:lineRule="auto"/>
            </w:pPr>
            <w:r>
              <w:rPr>
                <w:sz w:val="13"/>
              </w:rPr>
              <w:t>Prospective before–after, quasi-experimental; deployed real-world Sepsis Learning Health System.</w:t>
            </w:r>
          </w:p>
        </w:tc>
        <w:tc>
          <w:tcPr>
            <w:tcW w:w="1707" w:type="dxa"/>
          </w:tcPr>
          <w:p w14:paraId="7752DC40" w14:textId="77777777" w:rsidR="00E93703" w:rsidRDefault="00000000">
            <w:pPr>
              <w:spacing w:line="240" w:lineRule="auto"/>
            </w:pPr>
            <w:r>
              <w:rPr>
                <w:sz w:val="13"/>
              </w:rPr>
              <w:t>Sepsis registry 97,559 stays; SLHS 40,502; control wards 25,851.</w:t>
            </w:r>
          </w:p>
        </w:tc>
        <w:tc>
          <w:tcPr>
            <w:tcW w:w="1707" w:type="dxa"/>
          </w:tcPr>
          <w:p w14:paraId="40D86DE0" w14:textId="77777777" w:rsidR="00E93703" w:rsidRDefault="00000000">
            <w:pPr>
              <w:spacing w:line="240" w:lineRule="auto"/>
            </w:pPr>
            <w:r>
              <w:rPr>
                <w:sz w:val="13"/>
              </w:rPr>
              <w:t>HERACLES ensemble (Random Forest + LSTM); 240 features over 7-day windows.</w:t>
            </w:r>
          </w:p>
        </w:tc>
        <w:tc>
          <w:tcPr>
            <w:tcW w:w="1707" w:type="dxa"/>
          </w:tcPr>
          <w:p w14:paraId="49FBF022" w14:textId="77777777" w:rsidR="00E93703" w:rsidRDefault="00000000">
            <w:pPr>
              <w:spacing w:line="240" w:lineRule="auto"/>
            </w:pPr>
            <w:r>
              <w:rPr>
                <w:sz w:val="13"/>
              </w:rPr>
              <w:t>Sepsis case identification/surveillance, computed every 6 h retrospectively (not real-time onset). (Partial)</w:t>
            </w:r>
          </w:p>
        </w:tc>
        <w:tc>
          <w:tcPr>
            <w:tcW w:w="1707" w:type="dxa"/>
          </w:tcPr>
          <w:p w14:paraId="6138264F" w14:textId="77777777" w:rsidR="00E93703" w:rsidRDefault="00000000">
            <w:pPr>
              <w:spacing w:line="240" w:lineRule="auto"/>
            </w:pPr>
            <w:r>
              <w:rPr>
                <w:sz w:val="13"/>
              </w:rPr>
              <w:t>AUROC 0.88 (confirmed sepsis, internal, no CI); Sens 0.62–0.83, PPV 0.60–0.76; rigorous test set exposed low recall.</w:t>
            </w:r>
          </w:p>
        </w:tc>
        <w:tc>
          <w:tcPr>
            <w:tcW w:w="1707" w:type="dxa"/>
          </w:tcPr>
          <w:p w14:paraId="42229C5C" w14:textId="77777777" w:rsidR="00E93703" w:rsidRDefault="00000000">
            <w:pPr>
              <w:spacing w:line="240" w:lineRule="auto"/>
            </w:pPr>
            <w:r>
              <w:rPr>
                <w:sz w:val="13"/>
              </w:rPr>
              <w:t>Measured: pathway patients more likely to receive antibiotics within 1 h (propensity-matched).</w:t>
            </w:r>
          </w:p>
        </w:tc>
        <w:tc>
          <w:tcPr>
            <w:tcW w:w="1707" w:type="dxa"/>
          </w:tcPr>
          <w:p w14:paraId="44D55255" w14:textId="77777777" w:rsidR="00E93703" w:rsidRDefault="00000000">
            <w:pPr>
              <w:spacing w:line="240" w:lineRule="auto"/>
            </w:pPr>
            <w:r>
              <w:rPr>
                <w:sz w:val="13"/>
              </w:rPr>
              <w:t>High</w:t>
            </w:r>
          </w:p>
        </w:tc>
        <w:tc>
          <w:tcPr>
            <w:tcW w:w="1707" w:type="dxa"/>
          </w:tcPr>
          <w:p w14:paraId="46C469B6" w14:textId="77777777" w:rsidR="00E93703" w:rsidRDefault="00000000">
            <w:pPr>
              <w:spacing w:line="240" w:lineRule="auto"/>
            </w:pPr>
            <w:r>
              <w:rPr>
                <w:sz w:val="13"/>
              </w:rPr>
              <w:t>The only real-world deployed learning-health-system; associated with faster antibiotics and reduced in-hospital mortality (20.5%→15.3%) , the strongest implementation and stewardship evidence , though single-institution and not an RCT.</w:t>
            </w:r>
          </w:p>
        </w:tc>
      </w:tr>
      <w:tr w:rsidR="00E93703" w14:paraId="3727F9D1" w14:textId="77777777">
        <w:tc>
          <w:tcPr>
            <w:tcW w:w="1707" w:type="dxa"/>
          </w:tcPr>
          <w:p w14:paraId="53B5F839" w14:textId="77777777" w:rsidR="00E93703" w:rsidRDefault="00000000">
            <w:pPr>
              <w:spacing w:line="240" w:lineRule="auto"/>
            </w:pPr>
            <w:r>
              <w:rPr>
                <w:sz w:val="13"/>
              </w:rPr>
              <w:t>Shi et al. 2025 [23]</w:t>
            </w:r>
          </w:p>
        </w:tc>
        <w:tc>
          <w:tcPr>
            <w:tcW w:w="1707" w:type="dxa"/>
          </w:tcPr>
          <w:p w14:paraId="0700779B" w14:textId="77777777" w:rsidR="00E93703" w:rsidRDefault="00000000">
            <w:pPr>
              <w:spacing w:line="240" w:lineRule="auto"/>
            </w:pPr>
            <w:r>
              <w:rPr>
                <w:sz w:val="13"/>
              </w:rPr>
              <w:t>Retrospective prognostic-model development; internal validation. ICU.</w:t>
            </w:r>
          </w:p>
        </w:tc>
        <w:tc>
          <w:tcPr>
            <w:tcW w:w="1707" w:type="dxa"/>
          </w:tcPr>
          <w:p w14:paraId="37F92111" w14:textId="77777777" w:rsidR="00E93703" w:rsidRDefault="00000000">
            <w:pPr>
              <w:spacing w:line="240" w:lineRule="auto"/>
            </w:pPr>
            <w:r>
              <w:rPr>
                <w:sz w:val="13"/>
              </w:rPr>
              <w:t>2,389 ICU patients meeting Sepsis-3 criteria; in-hospital mortality 526 (22.0%).</w:t>
            </w:r>
          </w:p>
        </w:tc>
        <w:tc>
          <w:tcPr>
            <w:tcW w:w="1707" w:type="dxa"/>
          </w:tcPr>
          <w:p w14:paraId="6B766602" w14:textId="77777777" w:rsidR="00E93703" w:rsidRDefault="00000000">
            <w:pPr>
              <w:spacing w:line="240" w:lineRule="auto"/>
            </w:pPr>
            <w:r>
              <w:rPr>
                <w:sz w:val="13"/>
              </w:rPr>
              <w:t>LASSO + Cox PH nomogram (11 predictors); web calculator.</w:t>
            </w:r>
          </w:p>
        </w:tc>
        <w:tc>
          <w:tcPr>
            <w:tcW w:w="1707" w:type="dxa"/>
          </w:tcPr>
          <w:p w14:paraId="38345CF4" w14:textId="77777777" w:rsidR="00E93703" w:rsidRDefault="00000000">
            <w:pPr>
              <w:spacing w:line="240" w:lineRule="auto"/>
            </w:pPr>
            <w:r>
              <w:rPr>
                <w:sz w:val="13"/>
              </w:rPr>
              <w:t>Predicts in-hospital mortality (survival) , not detection. (Indirect)</w:t>
            </w:r>
          </w:p>
        </w:tc>
        <w:tc>
          <w:tcPr>
            <w:tcW w:w="1707" w:type="dxa"/>
          </w:tcPr>
          <w:p w14:paraId="4BDECAA4" w14:textId="77777777" w:rsidR="00E93703" w:rsidRDefault="00000000">
            <w:pPr>
              <w:spacing w:line="240" w:lineRule="auto"/>
            </w:pPr>
            <w:r>
              <w:rPr>
                <w:sz w:val="13"/>
              </w:rPr>
              <w:t>AUROC 0.85 (4-week validation, with 95% CIs); C-index 0.84; Sens/Spec NR; net benefit &gt; SOFA.</w:t>
            </w:r>
          </w:p>
        </w:tc>
        <w:tc>
          <w:tcPr>
            <w:tcW w:w="1707" w:type="dxa"/>
          </w:tcPr>
          <w:p w14:paraId="3D10D2CA" w14:textId="77777777" w:rsidR="00E93703" w:rsidRDefault="00000000">
            <w:pPr>
              <w:spacing w:line="240" w:lineRule="auto"/>
            </w:pPr>
            <w:r>
              <w:rPr>
                <w:sz w:val="13"/>
              </w:rPr>
              <w:t>None reported.</w:t>
            </w:r>
          </w:p>
        </w:tc>
        <w:tc>
          <w:tcPr>
            <w:tcW w:w="1707" w:type="dxa"/>
          </w:tcPr>
          <w:p w14:paraId="497367B9" w14:textId="77777777" w:rsidR="00E93703" w:rsidRDefault="00000000">
            <w:pPr>
              <w:spacing w:line="240" w:lineRule="auto"/>
            </w:pPr>
            <w:r>
              <w:rPr>
                <w:sz w:val="13"/>
              </w:rPr>
              <w:t>Medium</w:t>
            </w:r>
          </w:p>
        </w:tc>
        <w:tc>
          <w:tcPr>
            <w:tcW w:w="1707" w:type="dxa"/>
          </w:tcPr>
          <w:p w14:paraId="6B5F03F7" w14:textId="77777777" w:rsidR="00E93703" w:rsidRDefault="00000000">
            <w:pPr>
              <w:spacing w:line="240" w:lineRule="auto"/>
            </w:pPr>
            <w:r>
              <w:rPr>
                <w:sz w:val="13"/>
              </w:rPr>
              <w:t>A well-calibrated mortality nomogram outperforming SOFA on decision-curve analysis, but a prognostic tool for patients with established sepsis (not early detection) and internally validated only.</w:t>
            </w:r>
          </w:p>
        </w:tc>
      </w:tr>
      <w:tr w:rsidR="00E93703" w14:paraId="59C353B3" w14:textId="77777777">
        <w:tc>
          <w:tcPr>
            <w:tcW w:w="1707" w:type="dxa"/>
          </w:tcPr>
          <w:p w14:paraId="13A78DBC" w14:textId="77777777" w:rsidR="00E93703" w:rsidRDefault="00000000">
            <w:pPr>
              <w:spacing w:line="240" w:lineRule="auto"/>
            </w:pPr>
            <w:r>
              <w:rPr>
                <w:sz w:val="13"/>
              </w:rPr>
              <w:t>Hwang et al. 2026 [24]</w:t>
            </w:r>
          </w:p>
        </w:tc>
        <w:tc>
          <w:tcPr>
            <w:tcW w:w="1707" w:type="dxa"/>
          </w:tcPr>
          <w:p w14:paraId="1DF531BA" w14:textId="77777777" w:rsidR="00E93703" w:rsidRDefault="00000000">
            <w:pPr>
              <w:spacing w:line="240" w:lineRule="auto"/>
            </w:pPr>
            <w:r>
              <w:rPr>
                <w:sz w:val="13"/>
              </w:rPr>
              <w:t>Retrospective secondary EMR analysis; internal 5-fold CV. Hospital-wide, non-ICU (ED/wards/outpatient).</w:t>
            </w:r>
          </w:p>
        </w:tc>
        <w:tc>
          <w:tcPr>
            <w:tcW w:w="1707" w:type="dxa"/>
          </w:tcPr>
          <w:p w14:paraId="62816A89" w14:textId="77777777" w:rsidR="00E93703" w:rsidRDefault="00000000">
            <w:pPr>
              <w:spacing w:line="240" w:lineRule="auto"/>
            </w:pPr>
            <w:r>
              <w:rPr>
                <w:sz w:val="13"/>
              </w:rPr>
              <w:t>22,400 patients; sepsis 7,655 (34.2%).</w:t>
            </w:r>
          </w:p>
        </w:tc>
        <w:tc>
          <w:tcPr>
            <w:tcW w:w="1707" w:type="dxa"/>
          </w:tcPr>
          <w:p w14:paraId="19E0EBEE" w14:textId="77777777" w:rsidR="00E93703" w:rsidRDefault="00000000">
            <w:pPr>
              <w:spacing w:line="240" w:lineRule="auto"/>
            </w:pPr>
            <w:r>
              <w:rPr>
                <w:sz w:val="13"/>
              </w:rPr>
              <w:t>CatBoost/XGBoost (best); routine labs at initial point of care.</w:t>
            </w:r>
          </w:p>
        </w:tc>
        <w:tc>
          <w:tcPr>
            <w:tcW w:w="1707" w:type="dxa"/>
          </w:tcPr>
          <w:p w14:paraId="64C7BAFD" w14:textId="77777777" w:rsidR="00E93703" w:rsidRDefault="00000000">
            <w:pPr>
              <w:spacing w:line="240" w:lineRule="auto"/>
            </w:pPr>
            <w:r>
              <w:rPr>
                <w:sz w:val="13"/>
              </w:rPr>
              <w:t>Cross-sectional sepsis identification from early-presentation labs (non-ICU). (Partial)</w:t>
            </w:r>
          </w:p>
        </w:tc>
        <w:tc>
          <w:tcPr>
            <w:tcW w:w="1707" w:type="dxa"/>
          </w:tcPr>
          <w:p w14:paraId="5D5D5838" w14:textId="77777777" w:rsidR="00E93703" w:rsidRDefault="00000000">
            <w:pPr>
              <w:spacing w:line="240" w:lineRule="auto"/>
            </w:pPr>
            <w:r>
              <w:rPr>
                <w:sz w:val="13"/>
              </w:rPr>
              <w:t>AUROC 0.95 (CatBoost, internal, no CI); Sens 0.92, Spec 0.79, PPV 0.78.</w:t>
            </w:r>
          </w:p>
        </w:tc>
        <w:tc>
          <w:tcPr>
            <w:tcW w:w="1707" w:type="dxa"/>
          </w:tcPr>
          <w:p w14:paraId="610E5427" w14:textId="77777777" w:rsidR="00E93703" w:rsidRDefault="00000000">
            <w:pPr>
              <w:spacing w:line="240" w:lineRule="auto"/>
            </w:pPr>
            <w:r>
              <w:rPr>
                <w:sz w:val="13"/>
              </w:rPr>
              <w:t>Antibiotic-delay mortality cited as motivation; not measured.</w:t>
            </w:r>
          </w:p>
        </w:tc>
        <w:tc>
          <w:tcPr>
            <w:tcW w:w="1707" w:type="dxa"/>
          </w:tcPr>
          <w:p w14:paraId="7DBF4703" w14:textId="77777777" w:rsidR="00E93703" w:rsidRDefault="00000000">
            <w:pPr>
              <w:spacing w:line="240" w:lineRule="auto"/>
            </w:pPr>
            <w:r>
              <w:rPr>
                <w:sz w:val="13"/>
              </w:rPr>
              <w:t>Medium</w:t>
            </w:r>
          </w:p>
        </w:tc>
        <w:tc>
          <w:tcPr>
            <w:tcW w:w="1707" w:type="dxa"/>
          </w:tcPr>
          <w:p w14:paraId="2E143F0B" w14:textId="77777777" w:rsidR="00E93703" w:rsidRDefault="00000000">
            <w:pPr>
              <w:spacing w:line="240" w:lineRule="auto"/>
            </w:pPr>
            <w:r>
              <w:rPr>
                <w:sz w:val="13"/>
              </w:rPr>
              <w:t>High discrimination for early sepsis identification outside the ICU using only routine labs , extends AI beyond critical care , but internal-only, no clinical outcome, and the sepsis label is not strict Sepsis-3.</w:t>
            </w:r>
          </w:p>
        </w:tc>
      </w:tr>
      <w:tr w:rsidR="00E93703" w14:paraId="5F269B3D" w14:textId="77777777">
        <w:tc>
          <w:tcPr>
            <w:tcW w:w="1707" w:type="dxa"/>
          </w:tcPr>
          <w:p w14:paraId="356ED78A" w14:textId="77777777" w:rsidR="00E93703" w:rsidRDefault="00000000">
            <w:pPr>
              <w:spacing w:line="240" w:lineRule="auto"/>
            </w:pPr>
            <w:r>
              <w:rPr>
                <w:sz w:val="13"/>
              </w:rPr>
              <w:t>Drysch et al. 2025 [25]</w:t>
            </w:r>
          </w:p>
        </w:tc>
        <w:tc>
          <w:tcPr>
            <w:tcW w:w="1707" w:type="dxa"/>
          </w:tcPr>
          <w:p w14:paraId="784F96FB" w14:textId="77777777" w:rsidR="00E93703" w:rsidRDefault="00000000">
            <w:pPr>
              <w:spacing w:line="240" w:lineRule="auto"/>
            </w:pPr>
            <w:r>
              <w:rPr>
                <w:sz w:val="13"/>
              </w:rPr>
              <w:t>Retrospective multicentre registry study; internal validation (bootstrapped CIs). Burn ICU.</w:t>
            </w:r>
          </w:p>
        </w:tc>
        <w:tc>
          <w:tcPr>
            <w:tcW w:w="1707" w:type="dxa"/>
          </w:tcPr>
          <w:p w14:paraId="206010D3" w14:textId="77777777" w:rsidR="00E93703" w:rsidRDefault="00000000">
            <w:pPr>
              <w:spacing w:line="240" w:lineRule="auto"/>
            </w:pPr>
            <w:r>
              <w:rPr>
                <w:sz w:val="13"/>
              </w:rPr>
              <w:t>6,629 burn patients; sepsis 521 (7.9%).</w:t>
            </w:r>
          </w:p>
        </w:tc>
        <w:tc>
          <w:tcPr>
            <w:tcW w:w="1707" w:type="dxa"/>
          </w:tcPr>
          <w:p w14:paraId="207228E0" w14:textId="77777777" w:rsidR="00E93703" w:rsidRDefault="00000000">
            <w:pPr>
              <w:spacing w:line="240" w:lineRule="auto"/>
            </w:pPr>
            <w:r>
              <w:rPr>
                <w:sz w:val="13"/>
              </w:rPr>
              <w:t>Random Forest (6 EDA-selected features).</w:t>
            </w:r>
          </w:p>
        </w:tc>
        <w:tc>
          <w:tcPr>
            <w:tcW w:w="1707" w:type="dxa"/>
          </w:tcPr>
          <w:p w14:paraId="5696D205" w14:textId="77777777" w:rsidR="00E93703" w:rsidRDefault="00000000">
            <w:pPr>
              <w:spacing w:line="240" w:lineRule="auto"/>
            </w:pPr>
            <w:r>
              <w:rPr>
                <w:sz w:val="13"/>
              </w:rPr>
              <w:t>Admission-time sepsis risk stratification (any time during stay), not hours-ahead. (Partial)</w:t>
            </w:r>
          </w:p>
        </w:tc>
        <w:tc>
          <w:tcPr>
            <w:tcW w:w="1707" w:type="dxa"/>
          </w:tcPr>
          <w:p w14:paraId="7303EFF1" w14:textId="77777777" w:rsidR="00E93703" w:rsidRDefault="00000000">
            <w:pPr>
              <w:spacing w:line="240" w:lineRule="auto"/>
            </w:pPr>
            <w:r>
              <w:rPr>
                <w:sz w:val="13"/>
              </w:rPr>
              <w:t>AUROC 0.91 (95% CI 0.88–0.93); Sens 0.81, Spec 0.85, PPV 0.31 (low prevalence), NPV 0.99.</w:t>
            </w:r>
          </w:p>
        </w:tc>
        <w:tc>
          <w:tcPr>
            <w:tcW w:w="1707" w:type="dxa"/>
          </w:tcPr>
          <w:p w14:paraId="7918E07E" w14:textId="77777777" w:rsidR="00E93703" w:rsidRDefault="00000000">
            <w:pPr>
              <w:spacing w:line="240" w:lineRule="auto"/>
            </w:pPr>
            <w:r>
              <w:rPr>
                <w:sz w:val="13"/>
              </w:rPr>
              <w:t>High NPV framed as supporting antibiotic rule-out/stewardship; not measured.</w:t>
            </w:r>
          </w:p>
        </w:tc>
        <w:tc>
          <w:tcPr>
            <w:tcW w:w="1707" w:type="dxa"/>
          </w:tcPr>
          <w:p w14:paraId="4A6929D9" w14:textId="77777777" w:rsidR="00E93703" w:rsidRDefault="00000000">
            <w:pPr>
              <w:spacing w:line="240" w:lineRule="auto"/>
            </w:pPr>
            <w:r>
              <w:rPr>
                <w:sz w:val="13"/>
              </w:rPr>
              <w:t>Medium</w:t>
            </w:r>
          </w:p>
        </w:tc>
        <w:tc>
          <w:tcPr>
            <w:tcW w:w="1707" w:type="dxa"/>
          </w:tcPr>
          <w:p w14:paraId="3F774F36" w14:textId="77777777" w:rsidR="00E93703" w:rsidRDefault="00000000">
            <w:pPr>
              <w:spacing w:line="240" w:lineRule="auto"/>
            </w:pPr>
            <w:r>
              <w:rPr>
                <w:sz w:val="13"/>
              </w:rPr>
              <w:t>First burns-specific model; strong rule-out value (high NPV) of potential stewardship use, but population-specific, internally validated, and low PPV means many false positives.</w:t>
            </w:r>
          </w:p>
        </w:tc>
      </w:tr>
      <w:tr w:rsidR="00E93703" w14:paraId="0B07C163" w14:textId="77777777">
        <w:tc>
          <w:tcPr>
            <w:tcW w:w="1707" w:type="dxa"/>
          </w:tcPr>
          <w:p w14:paraId="671E5E15" w14:textId="77777777" w:rsidR="00E93703" w:rsidRDefault="00000000">
            <w:pPr>
              <w:spacing w:line="240" w:lineRule="auto"/>
            </w:pPr>
            <w:r>
              <w:rPr>
                <w:sz w:val="13"/>
              </w:rPr>
              <w:t>Zhou K et al. 2026 [26]</w:t>
            </w:r>
          </w:p>
        </w:tc>
        <w:tc>
          <w:tcPr>
            <w:tcW w:w="1707" w:type="dxa"/>
          </w:tcPr>
          <w:p w14:paraId="130C2D30" w14:textId="77777777" w:rsidR="00E93703" w:rsidRDefault="00000000">
            <w:pPr>
              <w:spacing w:line="240" w:lineRule="auto"/>
            </w:pPr>
            <w:r>
              <w:rPr>
                <w:sz w:val="13"/>
              </w:rPr>
              <w:t>Prospective exploratory, double-blind feasibility study. ICU.</w:t>
            </w:r>
          </w:p>
        </w:tc>
        <w:tc>
          <w:tcPr>
            <w:tcW w:w="1707" w:type="dxa"/>
          </w:tcPr>
          <w:p w14:paraId="552E50F2" w14:textId="77777777" w:rsidR="00E93703" w:rsidRDefault="00000000">
            <w:pPr>
              <w:spacing w:line="240" w:lineRule="auto"/>
            </w:pPr>
            <w:r>
              <w:rPr>
                <w:sz w:val="13"/>
              </w:rPr>
              <w:t>52 ICU patients meeting Sepsis-3 criteria.</w:t>
            </w:r>
          </w:p>
        </w:tc>
        <w:tc>
          <w:tcPr>
            <w:tcW w:w="1707" w:type="dxa"/>
          </w:tcPr>
          <w:p w14:paraId="6CE42AD4" w14:textId="77777777" w:rsidR="00E93703" w:rsidRDefault="00000000">
            <w:pPr>
              <w:spacing w:line="240" w:lineRule="auto"/>
            </w:pPr>
            <w:r>
              <w:rPr>
                <w:sz w:val="13"/>
              </w:rPr>
              <w:t>Off-the-shelf LLMs (ChatGPT-4o, DeepSeek-R1) via structured prompts; no training.</w:t>
            </w:r>
          </w:p>
        </w:tc>
        <w:tc>
          <w:tcPr>
            <w:tcW w:w="1707" w:type="dxa"/>
          </w:tcPr>
          <w:p w14:paraId="084BFBD5" w14:textId="77777777" w:rsidR="00E93703" w:rsidRDefault="00000000">
            <w:pPr>
              <w:spacing w:line="240" w:lineRule="auto"/>
            </w:pPr>
            <w:r>
              <w:rPr>
                <w:sz w:val="13"/>
              </w:rPr>
              <w:t>Diagnostic-accuracy + prognosis (AKI/ARDS/mortality) on patients with established sepsis. (Indirect)</w:t>
            </w:r>
          </w:p>
        </w:tc>
        <w:tc>
          <w:tcPr>
            <w:tcW w:w="1707" w:type="dxa"/>
          </w:tcPr>
          <w:p w14:paraId="6608D4BF" w14:textId="77777777" w:rsidR="00E93703" w:rsidRDefault="00000000">
            <w:pPr>
              <w:spacing w:line="240" w:lineRule="auto"/>
            </w:pPr>
            <w:r>
              <w:rPr>
                <w:sz w:val="13"/>
              </w:rPr>
              <w:t>Best prognostic AUC ~0.85 (AKI); ARDS near chance; no sepsis-detection AUROC; Brier reported.</w:t>
            </w:r>
          </w:p>
        </w:tc>
        <w:tc>
          <w:tcPr>
            <w:tcW w:w="1707" w:type="dxa"/>
          </w:tcPr>
          <w:p w14:paraId="7BD69054" w14:textId="77777777" w:rsidR="00E93703" w:rsidRDefault="00000000">
            <w:pPr>
              <w:spacing w:line="240" w:lineRule="auto"/>
            </w:pPr>
            <w:r>
              <w:rPr>
                <w:sz w:val="13"/>
              </w:rPr>
              <w:t>AI regimens judged more guideline-concordant by experts (not a measured outcome); weak on local AMR tailoring.</w:t>
            </w:r>
          </w:p>
        </w:tc>
        <w:tc>
          <w:tcPr>
            <w:tcW w:w="1707" w:type="dxa"/>
          </w:tcPr>
          <w:p w14:paraId="716BEAC3" w14:textId="77777777" w:rsidR="00E93703" w:rsidRDefault="00000000">
            <w:pPr>
              <w:spacing w:line="240" w:lineRule="auto"/>
            </w:pPr>
            <w:r>
              <w:rPr>
                <w:sz w:val="13"/>
              </w:rPr>
              <w:t>Low</w:t>
            </w:r>
          </w:p>
        </w:tc>
        <w:tc>
          <w:tcPr>
            <w:tcW w:w="1707" w:type="dxa"/>
          </w:tcPr>
          <w:p w14:paraId="541A2B9B" w14:textId="77777777" w:rsidR="00E93703" w:rsidRDefault="00000000">
            <w:pPr>
              <w:spacing w:line="240" w:lineRule="auto"/>
            </w:pPr>
            <w:r>
              <w:rPr>
                <w:sz w:val="13"/>
              </w:rPr>
              <w:t>Proof-of-concept that LLMs can recognise sepsis/complications and propose guideline-concordant plans, but n=52, no detection metric, and explicitly adjunctive , preliminary feasibility only.</w:t>
            </w:r>
          </w:p>
        </w:tc>
      </w:tr>
      <w:tr w:rsidR="00E93703" w14:paraId="1AEB2980" w14:textId="77777777">
        <w:tc>
          <w:tcPr>
            <w:tcW w:w="1707" w:type="dxa"/>
          </w:tcPr>
          <w:p w14:paraId="4392B1E8" w14:textId="77777777" w:rsidR="00E93703" w:rsidRDefault="00000000">
            <w:pPr>
              <w:spacing w:line="240" w:lineRule="auto"/>
            </w:pPr>
            <w:r>
              <w:rPr>
                <w:sz w:val="13"/>
              </w:rPr>
              <w:t>Yang et al. 2026 [27]</w:t>
            </w:r>
          </w:p>
        </w:tc>
        <w:tc>
          <w:tcPr>
            <w:tcW w:w="1707" w:type="dxa"/>
          </w:tcPr>
          <w:p w14:paraId="6DBFDAEF" w14:textId="77777777" w:rsidR="00E93703" w:rsidRDefault="00000000">
            <w:pPr>
              <w:spacing w:line="240" w:lineRule="auto"/>
            </w:pPr>
            <w:r>
              <w:rPr>
                <w:sz w:val="13"/>
              </w:rPr>
              <w:t>Prospective national multicentre cohort; internal validation. ICU (suspected infection).</w:t>
            </w:r>
          </w:p>
        </w:tc>
        <w:tc>
          <w:tcPr>
            <w:tcW w:w="1707" w:type="dxa"/>
          </w:tcPr>
          <w:p w14:paraId="743EF1DD" w14:textId="77777777" w:rsidR="00E93703" w:rsidRDefault="00000000">
            <w:pPr>
              <w:spacing w:line="240" w:lineRule="auto"/>
            </w:pPr>
            <w:r>
              <w:rPr>
                <w:sz w:val="13"/>
              </w:rPr>
              <w:t>2,963 adults with suspected infection; mortality 10.9%; MDR infection 18.1%.</w:t>
            </w:r>
          </w:p>
        </w:tc>
        <w:tc>
          <w:tcPr>
            <w:tcW w:w="1707" w:type="dxa"/>
          </w:tcPr>
          <w:p w14:paraId="2DD1B2D5" w14:textId="77777777" w:rsidR="00E93703" w:rsidRDefault="00000000">
            <w:pPr>
              <w:spacing w:line="240" w:lineRule="auto"/>
            </w:pPr>
            <w:r>
              <w:rPr>
                <w:sz w:val="13"/>
              </w:rPr>
              <w:t>Logistic Regression (best of 4); admission predictors; two nomograms.</w:t>
            </w:r>
          </w:p>
        </w:tc>
        <w:tc>
          <w:tcPr>
            <w:tcW w:w="1707" w:type="dxa"/>
          </w:tcPr>
          <w:p w14:paraId="60C65F7B" w14:textId="77777777" w:rsidR="00E93703" w:rsidRDefault="00000000">
            <w:pPr>
              <w:spacing w:line="240" w:lineRule="auto"/>
            </w:pPr>
            <w:r>
              <w:rPr>
                <w:sz w:val="13"/>
              </w:rPr>
              <w:t>Predicts mortality + MDR-infection risk at admission , not sepsis onset. (Indirect)</w:t>
            </w:r>
          </w:p>
        </w:tc>
        <w:tc>
          <w:tcPr>
            <w:tcW w:w="1707" w:type="dxa"/>
          </w:tcPr>
          <w:p w14:paraId="3549E42D" w14:textId="77777777" w:rsidR="00E93703" w:rsidRDefault="00000000">
            <w:pPr>
              <w:spacing w:line="240" w:lineRule="auto"/>
            </w:pPr>
            <w:r>
              <w:rPr>
                <w:sz w:val="13"/>
              </w:rPr>
              <w:t>Mortality AUC 0.88 (0.84–0.91); MDR AUC 0.86 (0.83–0.90); internal only; PPV low (0.25 mortality).</w:t>
            </w:r>
          </w:p>
        </w:tc>
        <w:tc>
          <w:tcPr>
            <w:tcW w:w="1707" w:type="dxa"/>
          </w:tcPr>
          <w:p w14:paraId="6EC35ACD" w14:textId="77777777" w:rsidR="00E93703" w:rsidRDefault="00000000">
            <w:pPr>
              <w:spacing w:line="240" w:lineRule="auto"/>
            </w:pPr>
            <w:r>
              <w:rPr>
                <w:sz w:val="13"/>
              </w:rPr>
              <w:t>Measured: the only AMR model , predicts multidrug-resistant infection; explicit stewardship motivation.</w:t>
            </w:r>
          </w:p>
        </w:tc>
        <w:tc>
          <w:tcPr>
            <w:tcW w:w="1707" w:type="dxa"/>
          </w:tcPr>
          <w:p w14:paraId="577F5D1D" w14:textId="77777777" w:rsidR="00E93703" w:rsidRDefault="00000000">
            <w:pPr>
              <w:spacing w:line="240" w:lineRule="auto"/>
            </w:pPr>
            <w:r>
              <w:rPr>
                <w:sz w:val="13"/>
              </w:rPr>
              <w:t>Medium</w:t>
            </w:r>
          </w:p>
        </w:tc>
        <w:tc>
          <w:tcPr>
            <w:tcW w:w="1707" w:type="dxa"/>
          </w:tcPr>
          <w:p w14:paraId="4C23F7ED" w14:textId="77777777" w:rsidR="00E93703" w:rsidRDefault="00000000">
            <w:pPr>
              <w:spacing w:line="240" w:lineRule="auto"/>
            </w:pPr>
            <w:r>
              <w:rPr>
                <w:sz w:val="13"/>
              </w:rPr>
              <w:t>The only study modelling an AMR outcome , predicts MDR infection at ICU admission with good discrimination, directly serving the stewardship lens , although prognostic (not detection) and internally validated only.</w:t>
            </w:r>
          </w:p>
        </w:tc>
      </w:tr>
      <w:tr w:rsidR="00E93703" w14:paraId="3ECC52A3" w14:textId="77777777">
        <w:tc>
          <w:tcPr>
            <w:tcW w:w="1707" w:type="dxa"/>
          </w:tcPr>
          <w:p w14:paraId="4AA3C447" w14:textId="77777777" w:rsidR="00E93703" w:rsidRDefault="00000000">
            <w:pPr>
              <w:spacing w:line="240" w:lineRule="auto"/>
            </w:pPr>
            <w:r>
              <w:rPr>
                <w:sz w:val="13"/>
              </w:rPr>
              <w:t>Fransvea et al. 2026 [28]</w:t>
            </w:r>
          </w:p>
        </w:tc>
        <w:tc>
          <w:tcPr>
            <w:tcW w:w="1707" w:type="dxa"/>
          </w:tcPr>
          <w:p w14:paraId="07ADBB27" w14:textId="77777777" w:rsidR="00E93703" w:rsidRDefault="00000000">
            <w:pPr>
              <w:spacing w:line="240" w:lineRule="auto"/>
            </w:pPr>
            <w:r>
              <w:rPr>
                <w:sz w:val="13"/>
              </w:rPr>
              <w:t>Prospective multicentre cohort (secondary analysis); nested-CV (internal). Acute/emergency surgery, elderly.</w:t>
            </w:r>
          </w:p>
        </w:tc>
        <w:tc>
          <w:tcPr>
            <w:tcW w:w="1707" w:type="dxa"/>
          </w:tcPr>
          <w:p w14:paraId="2EF1751A" w14:textId="77777777" w:rsidR="00E93703" w:rsidRDefault="00000000">
            <w:pPr>
              <w:spacing w:line="240" w:lineRule="auto"/>
            </w:pPr>
            <w:r>
              <w:rPr>
                <w:sz w:val="13"/>
              </w:rPr>
              <w:t>2,563 elderly surgical patients; post-op ‘sepsis’ (qSOFA ≥2) in 119 (4.6%) , extreme imbalance.</w:t>
            </w:r>
          </w:p>
        </w:tc>
        <w:tc>
          <w:tcPr>
            <w:tcW w:w="1707" w:type="dxa"/>
          </w:tcPr>
          <w:p w14:paraId="00262730" w14:textId="77777777" w:rsidR="00E93703" w:rsidRDefault="00000000">
            <w:pPr>
              <w:spacing w:line="240" w:lineRule="auto"/>
            </w:pPr>
            <w:r>
              <w:rPr>
                <w:sz w:val="13"/>
              </w:rPr>
              <w:t>Ensemble + 5 learners (RF best); pre-operative data only.</w:t>
            </w:r>
          </w:p>
        </w:tc>
        <w:tc>
          <w:tcPr>
            <w:tcW w:w="1707" w:type="dxa"/>
          </w:tcPr>
          <w:p w14:paraId="52BA0D84" w14:textId="77777777" w:rsidR="00E93703" w:rsidRDefault="00000000">
            <w:pPr>
              <w:spacing w:line="240" w:lineRule="auto"/>
            </w:pPr>
            <w:r>
              <w:rPr>
                <w:sz w:val="13"/>
              </w:rPr>
              <w:t>Predicts post-op sepsis from pre-op data (forward). qSOFA-defined target. (Partial)</w:t>
            </w:r>
          </w:p>
        </w:tc>
        <w:tc>
          <w:tcPr>
            <w:tcW w:w="1707" w:type="dxa"/>
          </w:tcPr>
          <w:p w14:paraId="46A559D2" w14:textId="77777777" w:rsidR="00E93703" w:rsidRDefault="00000000">
            <w:pPr>
              <w:spacing w:line="240" w:lineRule="auto"/>
            </w:pPr>
            <w:r>
              <w:rPr>
                <w:sz w:val="13"/>
              </w:rPr>
              <w:t>AUROC 0.96 (nested-CV, CIs) BUT majority-class baseline already 0.954; Sens/Spec contradictory between Results and Discussion; AuPRC ~0.66–0.71.</w:t>
            </w:r>
          </w:p>
        </w:tc>
        <w:tc>
          <w:tcPr>
            <w:tcW w:w="1707" w:type="dxa"/>
          </w:tcPr>
          <w:p w14:paraId="50739F7C" w14:textId="77777777" w:rsidR="00E93703" w:rsidRDefault="00000000">
            <w:pPr>
              <w:spacing w:line="240" w:lineRule="auto"/>
            </w:pPr>
            <w:r>
              <w:rPr>
                <w:sz w:val="13"/>
              </w:rPr>
              <w:t>Perioperative antibiotic relevance noted; not measured.</w:t>
            </w:r>
          </w:p>
        </w:tc>
        <w:tc>
          <w:tcPr>
            <w:tcW w:w="1707" w:type="dxa"/>
          </w:tcPr>
          <w:p w14:paraId="7EBA3BD9" w14:textId="77777777" w:rsidR="00E93703" w:rsidRDefault="00000000">
            <w:pPr>
              <w:spacing w:line="240" w:lineRule="auto"/>
            </w:pPr>
            <w:r>
              <w:rPr>
                <w:sz w:val="13"/>
              </w:rPr>
              <w:t>Low</w:t>
            </w:r>
          </w:p>
        </w:tc>
        <w:tc>
          <w:tcPr>
            <w:tcW w:w="1707" w:type="dxa"/>
          </w:tcPr>
          <w:p w14:paraId="4996F1F0" w14:textId="77777777" w:rsidR="00E93703" w:rsidRDefault="00000000">
            <w:pPr>
              <w:spacing w:line="240" w:lineRule="auto"/>
            </w:pPr>
            <w:r>
              <w:rPr>
                <w:sz w:val="13"/>
              </w:rPr>
              <w:t xml:space="preserve">Headline accuracy is inflated by extreme class imbalance (baseline ≈ model) and the paper's own sensitivity/specificity figures are irreconcilable; the high AUROC should not be taken at face value, and </w:t>
            </w:r>
            <w:r>
              <w:rPr>
                <w:sz w:val="13"/>
              </w:rPr>
              <w:lastRenderedPageBreak/>
              <w:t>the qSOFA target is weak.</w:t>
            </w:r>
          </w:p>
        </w:tc>
      </w:tr>
      <w:tr w:rsidR="00E93703" w14:paraId="2A61A7C7" w14:textId="77777777">
        <w:tc>
          <w:tcPr>
            <w:tcW w:w="1707" w:type="dxa"/>
          </w:tcPr>
          <w:p w14:paraId="3F8B17DF" w14:textId="77777777" w:rsidR="00E93703" w:rsidRDefault="00000000">
            <w:pPr>
              <w:spacing w:line="240" w:lineRule="auto"/>
            </w:pPr>
            <w:r>
              <w:rPr>
                <w:sz w:val="13"/>
              </w:rPr>
              <w:lastRenderedPageBreak/>
              <w:t>Li et al. 2026 [29]</w:t>
            </w:r>
          </w:p>
        </w:tc>
        <w:tc>
          <w:tcPr>
            <w:tcW w:w="1707" w:type="dxa"/>
          </w:tcPr>
          <w:p w14:paraId="561FABFD" w14:textId="77777777" w:rsidR="00E93703" w:rsidRDefault="00000000">
            <w:pPr>
              <w:spacing w:line="240" w:lineRule="auto"/>
            </w:pPr>
            <w:r>
              <w:rPr>
                <w:sz w:val="13"/>
              </w:rPr>
              <w:t>Retrospective survival + clustering study; single internal split (leakage flags). ICU.</w:t>
            </w:r>
          </w:p>
        </w:tc>
        <w:tc>
          <w:tcPr>
            <w:tcW w:w="1707" w:type="dxa"/>
          </w:tcPr>
          <w:p w14:paraId="1815EAEB" w14:textId="77777777" w:rsidR="00E93703" w:rsidRDefault="00000000">
            <w:pPr>
              <w:spacing w:line="240" w:lineRule="auto"/>
            </w:pPr>
            <w:r>
              <w:rPr>
                <w:sz w:val="13"/>
              </w:rPr>
              <w:t>6,086 patients with sepsis (MIMIC-IV); 90-day mortality 23.9%.</w:t>
            </w:r>
          </w:p>
        </w:tc>
        <w:tc>
          <w:tcPr>
            <w:tcW w:w="1707" w:type="dxa"/>
          </w:tcPr>
          <w:p w14:paraId="1BE20354" w14:textId="77777777" w:rsidR="00E93703" w:rsidRDefault="00000000">
            <w:pPr>
              <w:spacing w:line="240" w:lineRule="auto"/>
            </w:pPr>
            <w:r>
              <w:rPr>
                <w:sz w:val="13"/>
              </w:rPr>
              <w:t>8 survival-ML algorithms (Ridge best) risk score + K-means subtypes.</w:t>
            </w:r>
          </w:p>
        </w:tc>
        <w:tc>
          <w:tcPr>
            <w:tcW w:w="1707" w:type="dxa"/>
          </w:tcPr>
          <w:p w14:paraId="48A66BB5" w14:textId="77777777" w:rsidR="00E93703" w:rsidRDefault="00000000">
            <w:pPr>
              <w:spacing w:line="240" w:lineRule="auto"/>
            </w:pPr>
            <w:r>
              <w:rPr>
                <w:sz w:val="13"/>
              </w:rPr>
              <w:t>90-day mortality risk + subtyping of patients with established sepsis , not detection. (Indirect)</w:t>
            </w:r>
          </w:p>
        </w:tc>
        <w:tc>
          <w:tcPr>
            <w:tcW w:w="1707" w:type="dxa"/>
          </w:tcPr>
          <w:p w14:paraId="337ECF74" w14:textId="77777777" w:rsidR="00E93703" w:rsidRDefault="00000000">
            <w:pPr>
              <w:spacing w:line="240" w:lineRule="auto"/>
            </w:pPr>
            <w:r>
              <w:rPr>
                <w:sz w:val="13"/>
              </w:rPr>
              <w:t>Harrell C-index 0.761 (no CI; authors: likely an upper bound due to leakage); no AUROC/Sens/Spec.</w:t>
            </w:r>
          </w:p>
        </w:tc>
        <w:tc>
          <w:tcPr>
            <w:tcW w:w="1707" w:type="dxa"/>
          </w:tcPr>
          <w:p w14:paraId="22E960AC" w14:textId="77777777" w:rsidR="00E93703" w:rsidRDefault="00000000">
            <w:pPr>
              <w:spacing w:line="240" w:lineRule="auto"/>
            </w:pPr>
            <w:r>
              <w:rPr>
                <w:sz w:val="13"/>
              </w:rPr>
              <w:t>‘Treatable traits’ hypothesised; not measured.</w:t>
            </w:r>
          </w:p>
        </w:tc>
        <w:tc>
          <w:tcPr>
            <w:tcW w:w="1707" w:type="dxa"/>
          </w:tcPr>
          <w:p w14:paraId="6E2E5D8E" w14:textId="77777777" w:rsidR="00E93703" w:rsidRDefault="00000000">
            <w:pPr>
              <w:spacing w:line="240" w:lineRule="auto"/>
            </w:pPr>
            <w:r>
              <w:rPr>
                <w:sz w:val="13"/>
              </w:rPr>
              <w:t>Medium</w:t>
            </w:r>
          </w:p>
        </w:tc>
        <w:tc>
          <w:tcPr>
            <w:tcW w:w="1707" w:type="dxa"/>
          </w:tcPr>
          <w:p w14:paraId="03C7FDD6" w14:textId="77777777" w:rsidR="00E93703" w:rsidRDefault="00000000">
            <w:pPr>
              <w:spacing w:line="240" w:lineRule="auto"/>
            </w:pPr>
            <w:r>
              <w:rPr>
                <w:sz w:val="13"/>
              </w:rPr>
              <w:t>Generates mortality-risk subtypes for patients with established sepsis but with explicit data-leakage/optimism warnings; prognostic and phenotyping in nature, not early detection.</w:t>
            </w:r>
          </w:p>
        </w:tc>
      </w:tr>
      <w:tr w:rsidR="00E93703" w14:paraId="16C38592" w14:textId="77777777">
        <w:tc>
          <w:tcPr>
            <w:tcW w:w="1707" w:type="dxa"/>
          </w:tcPr>
          <w:p w14:paraId="7F6E3722" w14:textId="77777777" w:rsidR="00E93703" w:rsidRDefault="00000000">
            <w:pPr>
              <w:spacing w:line="240" w:lineRule="auto"/>
            </w:pPr>
            <w:r>
              <w:rPr>
                <w:sz w:val="13"/>
              </w:rPr>
              <w:t>Jeong et al. 2026 [30]</w:t>
            </w:r>
          </w:p>
        </w:tc>
        <w:tc>
          <w:tcPr>
            <w:tcW w:w="1707" w:type="dxa"/>
          </w:tcPr>
          <w:p w14:paraId="42461C3F" w14:textId="77777777" w:rsidR="00E93703" w:rsidRDefault="00000000">
            <w:pPr>
              <w:spacing w:line="240" w:lineRule="auto"/>
            </w:pPr>
            <w:r>
              <w:rPr>
                <w:sz w:val="13"/>
              </w:rPr>
              <w:t>Retrospective single-centre descriptive/unsupervised study. Emergency Department.</w:t>
            </w:r>
          </w:p>
        </w:tc>
        <w:tc>
          <w:tcPr>
            <w:tcW w:w="1707" w:type="dxa"/>
          </w:tcPr>
          <w:p w14:paraId="16B67155" w14:textId="77777777" w:rsidR="00E93703" w:rsidRDefault="00000000">
            <w:pPr>
              <w:spacing w:line="240" w:lineRule="auto"/>
            </w:pPr>
            <w:r>
              <w:rPr>
                <w:sz w:val="13"/>
              </w:rPr>
              <w:t>14,402 suspected-sepsis ED adults; 28-day mortality 6.9%.</w:t>
            </w:r>
          </w:p>
        </w:tc>
        <w:tc>
          <w:tcPr>
            <w:tcW w:w="1707" w:type="dxa"/>
          </w:tcPr>
          <w:p w14:paraId="7026988D" w14:textId="77777777" w:rsidR="00E93703" w:rsidRDefault="00000000">
            <w:pPr>
              <w:spacing w:line="240" w:lineRule="auto"/>
            </w:pPr>
            <w:r>
              <w:rPr>
                <w:sz w:val="13"/>
              </w:rPr>
              <w:t>Unsupervised clustering (5 subtypes) + neural-network refinement.</w:t>
            </w:r>
          </w:p>
        </w:tc>
        <w:tc>
          <w:tcPr>
            <w:tcW w:w="1707" w:type="dxa"/>
          </w:tcPr>
          <w:p w14:paraId="13B74ECA" w14:textId="77777777" w:rsidR="00E93703" w:rsidRDefault="00000000">
            <w:pPr>
              <w:spacing w:line="240" w:lineRule="auto"/>
            </w:pPr>
            <w:r>
              <w:rPr>
                <w:sz w:val="13"/>
              </w:rPr>
              <w:t>Unsupervised ED phenotyping at presentation (no onset prediction). (Indirect)</w:t>
            </w:r>
          </w:p>
        </w:tc>
        <w:tc>
          <w:tcPr>
            <w:tcW w:w="1707" w:type="dxa"/>
          </w:tcPr>
          <w:p w14:paraId="7A564EB5" w14:textId="77777777" w:rsidR="00E93703" w:rsidRDefault="00000000">
            <w:pPr>
              <w:spacing w:line="240" w:lineRule="auto"/>
            </w:pPr>
            <w:r>
              <w:rPr>
                <w:sz w:val="13"/>
              </w:rPr>
              <w:t>No AUROC/Sens/Spec (unsupervised); reported 98% ‘accuracy’ = reproduction of self-generated labels, not detection; cluster indices only.</w:t>
            </w:r>
          </w:p>
        </w:tc>
        <w:tc>
          <w:tcPr>
            <w:tcW w:w="1707" w:type="dxa"/>
          </w:tcPr>
          <w:p w14:paraId="5C165FDA" w14:textId="77777777" w:rsidR="00E93703" w:rsidRDefault="00000000">
            <w:pPr>
              <w:spacing w:line="240" w:lineRule="auto"/>
            </w:pPr>
            <w:r>
              <w:rPr>
                <w:sz w:val="13"/>
              </w:rPr>
              <w:t>Measured: time-to-antibiotics by cluster (median 2.4 h; earliest phenotype 1.5 h).</w:t>
            </w:r>
          </w:p>
        </w:tc>
        <w:tc>
          <w:tcPr>
            <w:tcW w:w="1707" w:type="dxa"/>
          </w:tcPr>
          <w:p w14:paraId="61680FD3" w14:textId="77777777" w:rsidR="00E93703" w:rsidRDefault="00000000">
            <w:pPr>
              <w:spacing w:line="240" w:lineRule="auto"/>
            </w:pPr>
            <w:r>
              <w:rPr>
                <w:sz w:val="13"/>
              </w:rPr>
              <w:t>Low</w:t>
            </w:r>
          </w:p>
        </w:tc>
        <w:tc>
          <w:tcPr>
            <w:tcW w:w="1707" w:type="dxa"/>
          </w:tcPr>
          <w:p w14:paraId="7034057D" w14:textId="77777777" w:rsidR="00E93703" w:rsidRDefault="00000000">
            <w:pPr>
              <w:spacing w:line="240" w:lineRule="auto"/>
            </w:pPr>
            <w:r>
              <w:rPr>
                <w:sz w:val="13"/>
              </w:rPr>
              <w:t>Identifies high-severity ED phenotypes that received antibiotics earlier, suggesting a triage ‘safety net’, but it is unsupervised with no ground-truth detection metric , hypothesis-generating only.</w:t>
            </w:r>
          </w:p>
        </w:tc>
      </w:tr>
      <w:tr w:rsidR="00E93703" w14:paraId="488A1C34" w14:textId="77777777">
        <w:tc>
          <w:tcPr>
            <w:tcW w:w="1707" w:type="dxa"/>
          </w:tcPr>
          <w:p w14:paraId="65E800F0" w14:textId="77777777" w:rsidR="00E93703" w:rsidRDefault="00000000">
            <w:pPr>
              <w:spacing w:line="240" w:lineRule="auto"/>
            </w:pPr>
            <w:r>
              <w:rPr>
                <w:sz w:val="13"/>
              </w:rPr>
              <w:t>Shimabukuro et al. 2017 [31]</w:t>
            </w:r>
          </w:p>
        </w:tc>
        <w:tc>
          <w:tcPr>
            <w:tcW w:w="1707" w:type="dxa"/>
          </w:tcPr>
          <w:p w14:paraId="1078DB4C" w14:textId="77777777" w:rsidR="00E93703" w:rsidRDefault="00000000">
            <w:pPr>
              <w:spacing w:line="240" w:lineRule="auto"/>
            </w:pPr>
            <w:r>
              <w:rPr>
                <w:sz w:val="13"/>
              </w:rPr>
              <w:t>Randomised controlled trial (open-label); deployed real-time CDSS. Two mixed medical-surgical ICUs.</w:t>
            </w:r>
          </w:p>
        </w:tc>
        <w:tc>
          <w:tcPr>
            <w:tcW w:w="1707" w:type="dxa"/>
          </w:tcPr>
          <w:p w14:paraId="07819980" w14:textId="77777777" w:rsidR="00E93703" w:rsidRDefault="00000000">
            <w:pPr>
              <w:spacing w:line="240" w:lineRule="auto"/>
            </w:pPr>
            <w:r>
              <w:rPr>
                <w:sz w:val="13"/>
              </w:rPr>
              <w:t>142 ICU adults auto-enrolled; 67 experimental / 75 control.</w:t>
            </w:r>
          </w:p>
        </w:tc>
        <w:tc>
          <w:tcPr>
            <w:tcW w:w="1707" w:type="dxa"/>
          </w:tcPr>
          <w:p w14:paraId="11EA8165" w14:textId="77777777" w:rsidR="00E93703" w:rsidRDefault="00000000">
            <w:pPr>
              <w:spacing w:line="240" w:lineRule="auto"/>
            </w:pPr>
            <w:r>
              <w:rPr>
                <w:sz w:val="13"/>
              </w:rPr>
              <w:t>Dascena MLA (InSight family); 0–100 risk score hourly; telephonic alert to charge nurse.</w:t>
            </w:r>
          </w:p>
        </w:tc>
        <w:tc>
          <w:tcPr>
            <w:tcW w:w="1707" w:type="dxa"/>
          </w:tcPr>
          <w:p w14:paraId="6C72B483" w14:textId="77777777" w:rsidR="00E93703" w:rsidRDefault="00000000">
            <w:pPr>
              <w:spacing w:line="240" w:lineRule="auto"/>
            </w:pPr>
            <w:r>
              <w:rPr>
                <w:sz w:val="13"/>
              </w:rPr>
              <w:t>Predicts severe-sepsis onset (~4 h ahead per prior work); deployed in real time. (Direct)</w:t>
            </w:r>
          </w:p>
        </w:tc>
        <w:tc>
          <w:tcPr>
            <w:tcW w:w="1707" w:type="dxa"/>
          </w:tcPr>
          <w:p w14:paraId="078407F8" w14:textId="77777777" w:rsidR="00E93703" w:rsidRDefault="00000000">
            <w:pPr>
              <w:spacing w:line="240" w:lineRule="auto"/>
            </w:pPr>
            <w:r>
              <w:rPr>
                <w:sz w:val="13"/>
              </w:rPr>
              <w:t>Comparator AUROC 0.952 (vs SIRS/qSOFA); Sens 0.90, Spec 0.90 (few false alarms). Trial endpoints = outcomes (right).</w:t>
            </w:r>
          </w:p>
        </w:tc>
        <w:tc>
          <w:tcPr>
            <w:tcW w:w="1707" w:type="dxa"/>
          </w:tcPr>
          <w:p w14:paraId="6F326AAA" w14:textId="77777777" w:rsidR="00E93703" w:rsidRDefault="00000000">
            <w:pPr>
              <w:spacing w:line="240" w:lineRule="auto"/>
            </w:pPr>
            <w:r>
              <w:rPr>
                <w:sz w:val="13"/>
              </w:rPr>
              <w:t>Measured: antibiotics 2.76 h earlier and blood cultures 2.79 h earlier (note: fewer experimental patients received antibiotics overall).</w:t>
            </w:r>
          </w:p>
        </w:tc>
        <w:tc>
          <w:tcPr>
            <w:tcW w:w="1707" w:type="dxa"/>
          </w:tcPr>
          <w:p w14:paraId="7C32F716" w14:textId="77777777" w:rsidR="00E93703" w:rsidRDefault="00000000">
            <w:pPr>
              <w:spacing w:line="240" w:lineRule="auto"/>
            </w:pPr>
            <w:r>
              <w:rPr>
                <w:sz w:val="13"/>
              </w:rPr>
              <w:t>Medium</w:t>
            </w:r>
          </w:p>
        </w:tc>
        <w:tc>
          <w:tcPr>
            <w:tcW w:w="1707" w:type="dxa"/>
          </w:tcPr>
          <w:p w14:paraId="4A3E0672" w14:textId="77777777" w:rsidR="00E93703" w:rsidRDefault="00000000">
            <w:pPr>
              <w:spacing w:line="240" w:lineRule="auto"/>
            </w:pPr>
            <w:r>
              <w:rPr>
                <w:sz w:val="13"/>
              </w:rPr>
              <w:t>The only interventional RCT: real-time ML alerts reduced hospital length of stay (13.0→10.3 days, −20.6%) and in-hospital mortality, with earlier antibiotics and cultures , the strongest causal and stewardship signal , but small, single-centre and open-label.</w:t>
            </w:r>
          </w:p>
        </w:tc>
      </w:tr>
    </w:tbl>
    <w:p w14:paraId="7568DA18" w14:textId="77777777" w:rsidR="00E93703" w:rsidRDefault="00E93703"/>
    <w:p w14:paraId="5283B770" w14:textId="77777777" w:rsidR="00E93703" w:rsidRDefault="00000000">
      <w:r>
        <w:rPr>
          <w:b/>
          <w:sz w:val="24"/>
        </w:rPr>
        <w:t>Supplementary Table S4. PROBAST+AI domain and overall risk-of-bias judgements for the 17 included studies.</w:t>
      </w:r>
    </w:p>
    <w:tbl>
      <w:tblPr>
        <w:tblStyle w:val="TableGrid"/>
        <w:tblW w:w="0" w:type="auto"/>
        <w:tblLook w:val="04A0" w:firstRow="1" w:lastRow="0" w:firstColumn="1" w:lastColumn="0" w:noHBand="0" w:noVBand="1"/>
      </w:tblPr>
      <w:tblGrid>
        <w:gridCol w:w="2559"/>
        <w:gridCol w:w="2559"/>
        <w:gridCol w:w="2559"/>
        <w:gridCol w:w="2559"/>
        <w:gridCol w:w="2559"/>
        <w:gridCol w:w="2559"/>
      </w:tblGrid>
      <w:tr w:rsidR="00E93703" w14:paraId="4ED4171D" w14:textId="77777777">
        <w:tc>
          <w:tcPr>
            <w:tcW w:w="2561" w:type="dxa"/>
          </w:tcPr>
          <w:p w14:paraId="2221331C" w14:textId="77777777" w:rsidR="00E93703" w:rsidRDefault="00000000">
            <w:pPr>
              <w:spacing w:line="240" w:lineRule="auto"/>
            </w:pPr>
            <w:r>
              <w:rPr>
                <w:b/>
                <w:sz w:val="18"/>
              </w:rPr>
              <w:t>Study [ref]</w:t>
            </w:r>
          </w:p>
        </w:tc>
        <w:tc>
          <w:tcPr>
            <w:tcW w:w="2561" w:type="dxa"/>
          </w:tcPr>
          <w:p w14:paraId="6EB27077" w14:textId="77777777" w:rsidR="00E93703" w:rsidRDefault="00000000">
            <w:pPr>
              <w:spacing w:line="240" w:lineRule="auto"/>
            </w:pPr>
            <w:r>
              <w:rPr>
                <w:b/>
                <w:sz w:val="18"/>
              </w:rPr>
              <w:t>Participants</w:t>
            </w:r>
          </w:p>
        </w:tc>
        <w:tc>
          <w:tcPr>
            <w:tcW w:w="2561" w:type="dxa"/>
          </w:tcPr>
          <w:p w14:paraId="4E918761" w14:textId="77777777" w:rsidR="00E93703" w:rsidRDefault="00000000">
            <w:pPr>
              <w:spacing w:line="240" w:lineRule="auto"/>
            </w:pPr>
            <w:r>
              <w:rPr>
                <w:b/>
                <w:sz w:val="18"/>
              </w:rPr>
              <w:t>Predictors</w:t>
            </w:r>
          </w:p>
        </w:tc>
        <w:tc>
          <w:tcPr>
            <w:tcW w:w="2561" w:type="dxa"/>
          </w:tcPr>
          <w:p w14:paraId="400381B5" w14:textId="77777777" w:rsidR="00E93703" w:rsidRDefault="00000000">
            <w:pPr>
              <w:spacing w:line="240" w:lineRule="auto"/>
            </w:pPr>
            <w:r>
              <w:rPr>
                <w:b/>
                <w:sz w:val="18"/>
              </w:rPr>
              <w:t>Outcome</w:t>
            </w:r>
          </w:p>
        </w:tc>
        <w:tc>
          <w:tcPr>
            <w:tcW w:w="2561" w:type="dxa"/>
          </w:tcPr>
          <w:p w14:paraId="6193E50D" w14:textId="77777777" w:rsidR="00E93703" w:rsidRDefault="00000000">
            <w:pPr>
              <w:spacing w:line="240" w:lineRule="auto"/>
            </w:pPr>
            <w:r>
              <w:rPr>
                <w:b/>
                <w:sz w:val="18"/>
              </w:rPr>
              <w:t>Analysis</w:t>
            </w:r>
          </w:p>
        </w:tc>
        <w:tc>
          <w:tcPr>
            <w:tcW w:w="2561" w:type="dxa"/>
          </w:tcPr>
          <w:p w14:paraId="01C71DEF" w14:textId="77777777" w:rsidR="00E93703" w:rsidRDefault="00000000">
            <w:pPr>
              <w:spacing w:line="240" w:lineRule="auto"/>
            </w:pPr>
            <w:r>
              <w:rPr>
                <w:b/>
                <w:sz w:val="18"/>
              </w:rPr>
              <w:t>Overall</w:t>
            </w:r>
          </w:p>
        </w:tc>
      </w:tr>
      <w:tr w:rsidR="00E93703" w14:paraId="7897C0EC" w14:textId="77777777">
        <w:tc>
          <w:tcPr>
            <w:tcW w:w="2561" w:type="dxa"/>
          </w:tcPr>
          <w:p w14:paraId="3987A3B5" w14:textId="77777777" w:rsidR="00E93703" w:rsidRDefault="00000000">
            <w:pPr>
              <w:spacing w:line="240" w:lineRule="auto"/>
            </w:pPr>
            <w:r>
              <w:rPr>
                <w:sz w:val="18"/>
              </w:rPr>
              <w:t>Han et al. 2025 [15]</w:t>
            </w:r>
          </w:p>
        </w:tc>
        <w:tc>
          <w:tcPr>
            <w:tcW w:w="2561" w:type="dxa"/>
          </w:tcPr>
          <w:p w14:paraId="23A01E03" w14:textId="77777777" w:rsidR="00E93703" w:rsidRDefault="00000000">
            <w:pPr>
              <w:spacing w:line="240" w:lineRule="auto"/>
            </w:pPr>
            <w:r>
              <w:rPr>
                <w:sz w:val="18"/>
              </w:rPr>
              <w:t>L</w:t>
            </w:r>
          </w:p>
        </w:tc>
        <w:tc>
          <w:tcPr>
            <w:tcW w:w="2561" w:type="dxa"/>
          </w:tcPr>
          <w:p w14:paraId="50AC28F6" w14:textId="77777777" w:rsidR="00E93703" w:rsidRDefault="00000000">
            <w:pPr>
              <w:spacing w:line="240" w:lineRule="auto"/>
            </w:pPr>
            <w:r>
              <w:rPr>
                <w:sz w:val="18"/>
              </w:rPr>
              <w:t>L</w:t>
            </w:r>
          </w:p>
        </w:tc>
        <w:tc>
          <w:tcPr>
            <w:tcW w:w="2561" w:type="dxa"/>
          </w:tcPr>
          <w:p w14:paraId="77AC5754" w14:textId="77777777" w:rsidR="00E93703" w:rsidRDefault="00000000">
            <w:pPr>
              <w:spacing w:line="240" w:lineRule="auto"/>
            </w:pPr>
            <w:r>
              <w:rPr>
                <w:sz w:val="18"/>
              </w:rPr>
              <w:t>L</w:t>
            </w:r>
          </w:p>
        </w:tc>
        <w:tc>
          <w:tcPr>
            <w:tcW w:w="2561" w:type="dxa"/>
          </w:tcPr>
          <w:p w14:paraId="299F3C49" w14:textId="77777777" w:rsidR="00E93703" w:rsidRDefault="00000000">
            <w:pPr>
              <w:spacing w:line="240" w:lineRule="auto"/>
            </w:pPr>
            <w:r>
              <w:rPr>
                <w:sz w:val="18"/>
              </w:rPr>
              <w:t>H</w:t>
            </w:r>
          </w:p>
        </w:tc>
        <w:tc>
          <w:tcPr>
            <w:tcW w:w="2561" w:type="dxa"/>
          </w:tcPr>
          <w:p w14:paraId="5CD87F47" w14:textId="77777777" w:rsidR="00E93703" w:rsidRDefault="00000000">
            <w:pPr>
              <w:spacing w:line="240" w:lineRule="auto"/>
            </w:pPr>
            <w:r>
              <w:rPr>
                <w:sz w:val="18"/>
              </w:rPr>
              <w:t>H</w:t>
            </w:r>
          </w:p>
        </w:tc>
      </w:tr>
      <w:tr w:rsidR="00E93703" w14:paraId="7A5D94D3" w14:textId="77777777">
        <w:tc>
          <w:tcPr>
            <w:tcW w:w="2561" w:type="dxa"/>
          </w:tcPr>
          <w:p w14:paraId="70D120C8" w14:textId="77777777" w:rsidR="00E93703" w:rsidRDefault="00000000">
            <w:pPr>
              <w:spacing w:line="240" w:lineRule="auto"/>
            </w:pPr>
            <w:r>
              <w:rPr>
                <w:sz w:val="18"/>
              </w:rPr>
              <w:t>Wang et al. 2021 [16]</w:t>
            </w:r>
          </w:p>
        </w:tc>
        <w:tc>
          <w:tcPr>
            <w:tcW w:w="2561" w:type="dxa"/>
          </w:tcPr>
          <w:p w14:paraId="21E38D06" w14:textId="77777777" w:rsidR="00E93703" w:rsidRDefault="00000000">
            <w:pPr>
              <w:spacing w:line="240" w:lineRule="auto"/>
            </w:pPr>
            <w:r>
              <w:rPr>
                <w:sz w:val="18"/>
              </w:rPr>
              <w:t>L</w:t>
            </w:r>
          </w:p>
        </w:tc>
        <w:tc>
          <w:tcPr>
            <w:tcW w:w="2561" w:type="dxa"/>
          </w:tcPr>
          <w:p w14:paraId="31A5D61A" w14:textId="77777777" w:rsidR="00E93703" w:rsidRDefault="00000000">
            <w:pPr>
              <w:spacing w:line="240" w:lineRule="auto"/>
            </w:pPr>
            <w:r>
              <w:rPr>
                <w:sz w:val="18"/>
              </w:rPr>
              <w:t>L</w:t>
            </w:r>
          </w:p>
        </w:tc>
        <w:tc>
          <w:tcPr>
            <w:tcW w:w="2561" w:type="dxa"/>
          </w:tcPr>
          <w:p w14:paraId="421382C1" w14:textId="77777777" w:rsidR="00E93703" w:rsidRDefault="00000000">
            <w:pPr>
              <w:spacing w:line="240" w:lineRule="auto"/>
            </w:pPr>
            <w:r>
              <w:rPr>
                <w:sz w:val="18"/>
              </w:rPr>
              <w:t>L</w:t>
            </w:r>
          </w:p>
        </w:tc>
        <w:tc>
          <w:tcPr>
            <w:tcW w:w="2561" w:type="dxa"/>
          </w:tcPr>
          <w:p w14:paraId="018C01C1" w14:textId="77777777" w:rsidR="00E93703" w:rsidRDefault="00000000">
            <w:pPr>
              <w:spacing w:line="240" w:lineRule="auto"/>
            </w:pPr>
            <w:r>
              <w:rPr>
                <w:sz w:val="18"/>
              </w:rPr>
              <w:t>H</w:t>
            </w:r>
          </w:p>
        </w:tc>
        <w:tc>
          <w:tcPr>
            <w:tcW w:w="2561" w:type="dxa"/>
          </w:tcPr>
          <w:p w14:paraId="732C0235" w14:textId="77777777" w:rsidR="00E93703" w:rsidRDefault="00000000">
            <w:pPr>
              <w:spacing w:line="240" w:lineRule="auto"/>
            </w:pPr>
            <w:r>
              <w:rPr>
                <w:sz w:val="18"/>
              </w:rPr>
              <w:t>H</w:t>
            </w:r>
          </w:p>
        </w:tc>
      </w:tr>
      <w:tr w:rsidR="00E93703" w14:paraId="14FB2C02" w14:textId="77777777">
        <w:tc>
          <w:tcPr>
            <w:tcW w:w="2561" w:type="dxa"/>
          </w:tcPr>
          <w:p w14:paraId="73236BB2" w14:textId="77777777" w:rsidR="00E93703" w:rsidRDefault="00000000">
            <w:pPr>
              <w:spacing w:line="240" w:lineRule="auto"/>
            </w:pPr>
            <w:r>
              <w:rPr>
                <w:sz w:val="18"/>
              </w:rPr>
              <w:t>Nemati et al. 2018 [17]</w:t>
            </w:r>
          </w:p>
        </w:tc>
        <w:tc>
          <w:tcPr>
            <w:tcW w:w="2561" w:type="dxa"/>
          </w:tcPr>
          <w:p w14:paraId="30E76E0C" w14:textId="77777777" w:rsidR="00E93703" w:rsidRDefault="00000000">
            <w:pPr>
              <w:spacing w:line="240" w:lineRule="auto"/>
            </w:pPr>
            <w:r>
              <w:rPr>
                <w:sz w:val="18"/>
              </w:rPr>
              <w:t>L</w:t>
            </w:r>
          </w:p>
        </w:tc>
        <w:tc>
          <w:tcPr>
            <w:tcW w:w="2561" w:type="dxa"/>
          </w:tcPr>
          <w:p w14:paraId="397588DE" w14:textId="77777777" w:rsidR="00E93703" w:rsidRDefault="00000000">
            <w:pPr>
              <w:spacing w:line="240" w:lineRule="auto"/>
            </w:pPr>
            <w:r>
              <w:rPr>
                <w:sz w:val="18"/>
              </w:rPr>
              <w:t>L</w:t>
            </w:r>
          </w:p>
        </w:tc>
        <w:tc>
          <w:tcPr>
            <w:tcW w:w="2561" w:type="dxa"/>
          </w:tcPr>
          <w:p w14:paraId="6D108390" w14:textId="77777777" w:rsidR="00E93703" w:rsidRDefault="00000000">
            <w:pPr>
              <w:spacing w:line="240" w:lineRule="auto"/>
            </w:pPr>
            <w:r>
              <w:rPr>
                <w:sz w:val="18"/>
              </w:rPr>
              <w:t>L</w:t>
            </w:r>
          </w:p>
        </w:tc>
        <w:tc>
          <w:tcPr>
            <w:tcW w:w="2561" w:type="dxa"/>
          </w:tcPr>
          <w:p w14:paraId="2D942021" w14:textId="77777777" w:rsidR="00E93703" w:rsidRDefault="00000000">
            <w:pPr>
              <w:spacing w:line="240" w:lineRule="auto"/>
            </w:pPr>
            <w:r>
              <w:rPr>
                <w:sz w:val="18"/>
              </w:rPr>
              <w:t>U</w:t>
            </w:r>
          </w:p>
        </w:tc>
        <w:tc>
          <w:tcPr>
            <w:tcW w:w="2561" w:type="dxa"/>
          </w:tcPr>
          <w:p w14:paraId="26A14C5C" w14:textId="77777777" w:rsidR="00E93703" w:rsidRDefault="00000000">
            <w:pPr>
              <w:spacing w:line="240" w:lineRule="auto"/>
            </w:pPr>
            <w:r>
              <w:rPr>
                <w:sz w:val="18"/>
              </w:rPr>
              <w:t>U</w:t>
            </w:r>
          </w:p>
        </w:tc>
      </w:tr>
      <w:tr w:rsidR="00E93703" w14:paraId="1312C510" w14:textId="77777777">
        <w:tc>
          <w:tcPr>
            <w:tcW w:w="2561" w:type="dxa"/>
          </w:tcPr>
          <w:p w14:paraId="02D40041" w14:textId="77777777" w:rsidR="00E93703" w:rsidRDefault="00000000">
            <w:pPr>
              <w:spacing w:line="240" w:lineRule="auto"/>
            </w:pPr>
            <w:r>
              <w:rPr>
                <w:sz w:val="18"/>
              </w:rPr>
              <w:t>Rahman et al. 2024 [18]</w:t>
            </w:r>
          </w:p>
        </w:tc>
        <w:tc>
          <w:tcPr>
            <w:tcW w:w="2561" w:type="dxa"/>
          </w:tcPr>
          <w:p w14:paraId="1A1A6195" w14:textId="77777777" w:rsidR="00E93703" w:rsidRDefault="00000000">
            <w:pPr>
              <w:spacing w:line="240" w:lineRule="auto"/>
            </w:pPr>
            <w:r>
              <w:rPr>
                <w:sz w:val="18"/>
              </w:rPr>
              <w:t>L</w:t>
            </w:r>
          </w:p>
        </w:tc>
        <w:tc>
          <w:tcPr>
            <w:tcW w:w="2561" w:type="dxa"/>
          </w:tcPr>
          <w:p w14:paraId="011E4BCE" w14:textId="77777777" w:rsidR="00E93703" w:rsidRDefault="00000000">
            <w:pPr>
              <w:spacing w:line="240" w:lineRule="auto"/>
            </w:pPr>
            <w:r>
              <w:rPr>
                <w:sz w:val="18"/>
              </w:rPr>
              <w:t>H</w:t>
            </w:r>
          </w:p>
        </w:tc>
        <w:tc>
          <w:tcPr>
            <w:tcW w:w="2561" w:type="dxa"/>
          </w:tcPr>
          <w:p w14:paraId="024ECA92" w14:textId="77777777" w:rsidR="00E93703" w:rsidRDefault="00000000">
            <w:pPr>
              <w:spacing w:line="240" w:lineRule="auto"/>
            </w:pPr>
            <w:r>
              <w:rPr>
                <w:sz w:val="18"/>
              </w:rPr>
              <w:t>L</w:t>
            </w:r>
          </w:p>
        </w:tc>
        <w:tc>
          <w:tcPr>
            <w:tcW w:w="2561" w:type="dxa"/>
          </w:tcPr>
          <w:p w14:paraId="23BE0760" w14:textId="77777777" w:rsidR="00E93703" w:rsidRDefault="00000000">
            <w:pPr>
              <w:spacing w:line="240" w:lineRule="auto"/>
            </w:pPr>
            <w:r>
              <w:rPr>
                <w:sz w:val="18"/>
              </w:rPr>
              <w:t>H</w:t>
            </w:r>
          </w:p>
        </w:tc>
        <w:tc>
          <w:tcPr>
            <w:tcW w:w="2561" w:type="dxa"/>
          </w:tcPr>
          <w:p w14:paraId="4C2DC606" w14:textId="77777777" w:rsidR="00E93703" w:rsidRDefault="00000000">
            <w:pPr>
              <w:spacing w:line="240" w:lineRule="auto"/>
            </w:pPr>
            <w:r>
              <w:rPr>
                <w:sz w:val="18"/>
              </w:rPr>
              <w:t>H</w:t>
            </w:r>
          </w:p>
        </w:tc>
      </w:tr>
      <w:tr w:rsidR="00E93703" w14:paraId="248A94C0" w14:textId="77777777">
        <w:tc>
          <w:tcPr>
            <w:tcW w:w="2561" w:type="dxa"/>
          </w:tcPr>
          <w:p w14:paraId="521EAFC2" w14:textId="77777777" w:rsidR="00E93703" w:rsidRDefault="00000000">
            <w:pPr>
              <w:spacing w:line="240" w:lineRule="auto"/>
            </w:pPr>
            <w:r>
              <w:rPr>
                <w:sz w:val="18"/>
              </w:rPr>
              <w:t>Lin et al. 2025 [19]</w:t>
            </w:r>
          </w:p>
        </w:tc>
        <w:tc>
          <w:tcPr>
            <w:tcW w:w="2561" w:type="dxa"/>
          </w:tcPr>
          <w:p w14:paraId="7E49811C" w14:textId="77777777" w:rsidR="00E93703" w:rsidRDefault="00000000">
            <w:pPr>
              <w:spacing w:line="240" w:lineRule="auto"/>
            </w:pPr>
            <w:r>
              <w:rPr>
                <w:sz w:val="18"/>
              </w:rPr>
              <w:t>H</w:t>
            </w:r>
          </w:p>
        </w:tc>
        <w:tc>
          <w:tcPr>
            <w:tcW w:w="2561" w:type="dxa"/>
          </w:tcPr>
          <w:p w14:paraId="64EB14FE" w14:textId="77777777" w:rsidR="00E93703" w:rsidRDefault="00000000">
            <w:pPr>
              <w:spacing w:line="240" w:lineRule="auto"/>
            </w:pPr>
            <w:r>
              <w:rPr>
                <w:sz w:val="18"/>
              </w:rPr>
              <w:t>L</w:t>
            </w:r>
          </w:p>
        </w:tc>
        <w:tc>
          <w:tcPr>
            <w:tcW w:w="2561" w:type="dxa"/>
          </w:tcPr>
          <w:p w14:paraId="29913DD9" w14:textId="77777777" w:rsidR="00E93703" w:rsidRDefault="00000000">
            <w:pPr>
              <w:spacing w:line="240" w:lineRule="auto"/>
            </w:pPr>
            <w:r>
              <w:rPr>
                <w:sz w:val="18"/>
              </w:rPr>
              <w:t>L</w:t>
            </w:r>
          </w:p>
        </w:tc>
        <w:tc>
          <w:tcPr>
            <w:tcW w:w="2561" w:type="dxa"/>
          </w:tcPr>
          <w:p w14:paraId="43FE850C" w14:textId="77777777" w:rsidR="00E93703" w:rsidRDefault="00000000">
            <w:pPr>
              <w:spacing w:line="240" w:lineRule="auto"/>
            </w:pPr>
            <w:r>
              <w:rPr>
                <w:sz w:val="18"/>
              </w:rPr>
              <w:t>H</w:t>
            </w:r>
          </w:p>
        </w:tc>
        <w:tc>
          <w:tcPr>
            <w:tcW w:w="2561" w:type="dxa"/>
          </w:tcPr>
          <w:p w14:paraId="164307AF" w14:textId="77777777" w:rsidR="00E93703" w:rsidRDefault="00000000">
            <w:pPr>
              <w:spacing w:line="240" w:lineRule="auto"/>
            </w:pPr>
            <w:r>
              <w:rPr>
                <w:sz w:val="18"/>
              </w:rPr>
              <w:t>H</w:t>
            </w:r>
          </w:p>
        </w:tc>
      </w:tr>
      <w:tr w:rsidR="00E93703" w14:paraId="7C4BBF04" w14:textId="77777777">
        <w:tc>
          <w:tcPr>
            <w:tcW w:w="2561" w:type="dxa"/>
          </w:tcPr>
          <w:p w14:paraId="73794ADC" w14:textId="77777777" w:rsidR="00E93703" w:rsidRDefault="00000000">
            <w:pPr>
              <w:spacing w:line="240" w:lineRule="auto"/>
            </w:pPr>
            <w:r>
              <w:rPr>
                <w:sz w:val="18"/>
              </w:rPr>
              <w:t>Zhou H et al. 2026 [20]</w:t>
            </w:r>
          </w:p>
        </w:tc>
        <w:tc>
          <w:tcPr>
            <w:tcW w:w="2561" w:type="dxa"/>
          </w:tcPr>
          <w:p w14:paraId="0F39D435" w14:textId="77777777" w:rsidR="00E93703" w:rsidRDefault="00000000">
            <w:pPr>
              <w:spacing w:line="240" w:lineRule="auto"/>
            </w:pPr>
            <w:r>
              <w:rPr>
                <w:sz w:val="18"/>
              </w:rPr>
              <w:t>L</w:t>
            </w:r>
          </w:p>
        </w:tc>
        <w:tc>
          <w:tcPr>
            <w:tcW w:w="2561" w:type="dxa"/>
          </w:tcPr>
          <w:p w14:paraId="388EB984" w14:textId="77777777" w:rsidR="00E93703" w:rsidRDefault="00000000">
            <w:pPr>
              <w:spacing w:line="240" w:lineRule="auto"/>
            </w:pPr>
            <w:r>
              <w:rPr>
                <w:sz w:val="18"/>
              </w:rPr>
              <w:t>L</w:t>
            </w:r>
          </w:p>
        </w:tc>
        <w:tc>
          <w:tcPr>
            <w:tcW w:w="2561" w:type="dxa"/>
          </w:tcPr>
          <w:p w14:paraId="566FC2A3" w14:textId="77777777" w:rsidR="00E93703" w:rsidRDefault="00000000">
            <w:pPr>
              <w:spacing w:line="240" w:lineRule="auto"/>
            </w:pPr>
            <w:r>
              <w:rPr>
                <w:sz w:val="18"/>
              </w:rPr>
              <w:t>L</w:t>
            </w:r>
          </w:p>
        </w:tc>
        <w:tc>
          <w:tcPr>
            <w:tcW w:w="2561" w:type="dxa"/>
          </w:tcPr>
          <w:p w14:paraId="188ABE36" w14:textId="77777777" w:rsidR="00E93703" w:rsidRDefault="00000000">
            <w:pPr>
              <w:spacing w:line="240" w:lineRule="auto"/>
            </w:pPr>
            <w:r>
              <w:rPr>
                <w:sz w:val="18"/>
              </w:rPr>
              <w:t>L</w:t>
            </w:r>
          </w:p>
        </w:tc>
        <w:tc>
          <w:tcPr>
            <w:tcW w:w="2561" w:type="dxa"/>
          </w:tcPr>
          <w:p w14:paraId="1DAFCCAD" w14:textId="77777777" w:rsidR="00E93703" w:rsidRDefault="00000000">
            <w:pPr>
              <w:spacing w:line="240" w:lineRule="auto"/>
            </w:pPr>
            <w:r>
              <w:rPr>
                <w:sz w:val="18"/>
              </w:rPr>
              <w:t>L</w:t>
            </w:r>
          </w:p>
        </w:tc>
      </w:tr>
      <w:tr w:rsidR="00E93703" w14:paraId="6D506619" w14:textId="77777777">
        <w:tc>
          <w:tcPr>
            <w:tcW w:w="2561" w:type="dxa"/>
          </w:tcPr>
          <w:p w14:paraId="00EC092C" w14:textId="77777777" w:rsidR="00E93703" w:rsidRDefault="00000000">
            <w:pPr>
              <w:spacing w:line="240" w:lineRule="auto"/>
            </w:pPr>
            <w:r>
              <w:rPr>
                <w:sz w:val="18"/>
              </w:rPr>
              <w:t>Tranchellini et al. 2026 [21]</w:t>
            </w:r>
          </w:p>
        </w:tc>
        <w:tc>
          <w:tcPr>
            <w:tcW w:w="2561" w:type="dxa"/>
          </w:tcPr>
          <w:p w14:paraId="7A28951A" w14:textId="77777777" w:rsidR="00E93703" w:rsidRDefault="00000000">
            <w:pPr>
              <w:spacing w:line="240" w:lineRule="auto"/>
            </w:pPr>
            <w:r>
              <w:rPr>
                <w:sz w:val="18"/>
              </w:rPr>
              <w:t>L</w:t>
            </w:r>
          </w:p>
        </w:tc>
        <w:tc>
          <w:tcPr>
            <w:tcW w:w="2561" w:type="dxa"/>
          </w:tcPr>
          <w:p w14:paraId="01ED0887" w14:textId="77777777" w:rsidR="00E93703" w:rsidRDefault="00000000">
            <w:pPr>
              <w:spacing w:line="240" w:lineRule="auto"/>
            </w:pPr>
            <w:r>
              <w:rPr>
                <w:sz w:val="18"/>
              </w:rPr>
              <w:t>L</w:t>
            </w:r>
          </w:p>
        </w:tc>
        <w:tc>
          <w:tcPr>
            <w:tcW w:w="2561" w:type="dxa"/>
          </w:tcPr>
          <w:p w14:paraId="7D6CC847" w14:textId="77777777" w:rsidR="00E93703" w:rsidRDefault="00000000">
            <w:pPr>
              <w:spacing w:line="240" w:lineRule="auto"/>
            </w:pPr>
            <w:r>
              <w:rPr>
                <w:sz w:val="18"/>
              </w:rPr>
              <w:t>L</w:t>
            </w:r>
          </w:p>
        </w:tc>
        <w:tc>
          <w:tcPr>
            <w:tcW w:w="2561" w:type="dxa"/>
          </w:tcPr>
          <w:p w14:paraId="514C5690" w14:textId="77777777" w:rsidR="00E93703" w:rsidRDefault="00000000">
            <w:pPr>
              <w:spacing w:line="240" w:lineRule="auto"/>
            </w:pPr>
            <w:r>
              <w:rPr>
                <w:sz w:val="18"/>
              </w:rPr>
              <w:t>U</w:t>
            </w:r>
          </w:p>
        </w:tc>
        <w:tc>
          <w:tcPr>
            <w:tcW w:w="2561" w:type="dxa"/>
          </w:tcPr>
          <w:p w14:paraId="78A1AC00" w14:textId="77777777" w:rsidR="00E93703" w:rsidRDefault="00000000">
            <w:pPr>
              <w:spacing w:line="240" w:lineRule="auto"/>
            </w:pPr>
            <w:r>
              <w:rPr>
                <w:sz w:val="18"/>
              </w:rPr>
              <w:t>U</w:t>
            </w:r>
          </w:p>
        </w:tc>
      </w:tr>
      <w:tr w:rsidR="00E93703" w14:paraId="5F346843" w14:textId="77777777">
        <w:tc>
          <w:tcPr>
            <w:tcW w:w="2561" w:type="dxa"/>
          </w:tcPr>
          <w:p w14:paraId="4069AEB7" w14:textId="77777777" w:rsidR="00E93703" w:rsidRDefault="00000000">
            <w:pPr>
              <w:spacing w:line="240" w:lineRule="auto"/>
            </w:pPr>
            <w:r>
              <w:rPr>
                <w:sz w:val="18"/>
              </w:rPr>
              <w:t>Despraz et al. 2026 [22]</w:t>
            </w:r>
          </w:p>
        </w:tc>
        <w:tc>
          <w:tcPr>
            <w:tcW w:w="2561" w:type="dxa"/>
          </w:tcPr>
          <w:p w14:paraId="31607008" w14:textId="77777777" w:rsidR="00E93703" w:rsidRDefault="00000000">
            <w:pPr>
              <w:spacing w:line="240" w:lineRule="auto"/>
            </w:pPr>
            <w:r>
              <w:rPr>
                <w:sz w:val="18"/>
              </w:rPr>
              <w:t>U</w:t>
            </w:r>
          </w:p>
        </w:tc>
        <w:tc>
          <w:tcPr>
            <w:tcW w:w="2561" w:type="dxa"/>
          </w:tcPr>
          <w:p w14:paraId="5BB6BCAB" w14:textId="77777777" w:rsidR="00E93703" w:rsidRDefault="00000000">
            <w:pPr>
              <w:spacing w:line="240" w:lineRule="auto"/>
            </w:pPr>
            <w:r>
              <w:rPr>
                <w:sz w:val="18"/>
              </w:rPr>
              <w:t>L</w:t>
            </w:r>
          </w:p>
        </w:tc>
        <w:tc>
          <w:tcPr>
            <w:tcW w:w="2561" w:type="dxa"/>
          </w:tcPr>
          <w:p w14:paraId="0C70DD31" w14:textId="77777777" w:rsidR="00E93703" w:rsidRDefault="00000000">
            <w:pPr>
              <w:spacing w:line="240" w:lineRule="auto"/>
            </w:pPr>
            <w:r>
              <w:rPr>
                <w:sz w:val="18"/>
              </w:rPr>
              <w:t>L</w:t>
            </w:r>
          </w:p>
        </w:tc>
        <w:tc>
          <w:tcPr>
            <w:tcW w:w="2561" w:type="dxa"/>
          </w:tcPr>
          <w:p w14:paraId="60E257F2" w14:textId="77777777" w:rsidR="00E93703" w:rsidRDefault="00000000">
            <w:pPr>
              <w:spacing w:line="240" w:lineRule="auto"/>
            </w:pPr>
            <w:r>
              <w:rPr>
                <w:sz w:val="18"/>
              </w:rPr>
              <w:t>U</w:t>
            </w:r>
          </w:p>
        </w:tc>
        <w:tc>
          <w:tcPr>
            <w:tcW w:w="2561" w:type="dxa"/>
          </w:tcPr>
          <w:p w14:paraId="6654D320" w14:textId="77777777" w:rsidR="00E93703" w:rsidRDefault="00000000">
            <w:pPr>
              <w:spacing w:line="240" w:lineRule="auto"/>
            </w:pPr>
            <w:r>
              <w:rPr>
                <w:sz w:val="18"/>
              </w:rPr>
              <w:t>U</w:t>
            </w:r>
          </w:p>
        </w:tc>
      </w:tr>
      <w:tr w:rsidR="00E93703" w14:paraId="5F0DA682" w14:textId="77777777">
        <w:tc>
          <w:tcPr>
            <w:tcW w:w="2561" w:type="dxa"/>
          </w:tcPr>
          <w:p w14:paraId="7890B2EB" w14:textId="77777777" w:rsidR="00E93703" w:rsidRDefault="00000000">
            <w:pPr>
              <w:spacing w:line="240" w:lineRule="auto"/>
            </w:pPr>
            <w:r>
              <w:rPr>
                <w:sz w:val="18"/>
              </w:rPr>
              <w:t>Shi et al. 2025 [23]</w:t>
            </w:r>
          </w:p>
        </w:tc>
        <w:tc>
          <w:tcPr>
            <w:tcW w:w="2561" w:type="dxa"/>
          </w:tcPr>
          <w:p w14:paraId="622CE6BE" w14:textId="77777777" w:rsidR="00E93703" w:rsidRDefault="00000000">
            <w:pPr>
              <w:spacing w:line="240" w:lineRule="auto"/>
            </w:pPr>
            <w:r>
              <w:rPr>
                <w:sz w:val="18"/>
              </w:rPr>
              <w:t>L</w:t>
            </w:r>
          </w:p>
        </w:tc>
        <w:tc>
          <w:tcPr>
            <w:tcW w:w="2561" w:type="dxa"/>
          </w:tcPr>
          <w:p w14:paraId="6F9CED26" w14:textId="77777777" w:rsidR="00E93703" w:rsidRDefault="00000000">
            <w:pPr>
              <w:spacing w:line="240" w:lineRule="auto"/>
            </w:pPr>
            <w:r>
              <w:rPr>
                <w:sz w:val="18"/>
              </w:rPr>
              <w:t>L</w:t>
            </w:r>
          </w:p>
        </w:tc>
        <w:tc>
          <w:tcPr>
            <w:tcW w:w="2561" w:type="dxa"/>
          </w:tcPr>
          <w:p w14:paraId="7242BABF" w14:textId="77777777" w:rsidR="00E93703" w:rsidRDefault="00000000">
            <w:pPr>
              <w:spacing w:line="240" w:lineRule="auto"/>
            </w:pPr>
            <w:r>
              <w:rPr>
                <w:sz w:val="18"/>
              </w:rPr>
              <w:t>L</w:t>
            </w:r>
          </w:p>
        </w:tc>
        <w:tc>
          <w:tcPr>
            <w:tcW w:w="2561" w:type="dxa"/>
          </w:tcPr>
          <w:p w14:paraId="05031977" w14:textId="77777777" w:rsidR="00E93703" w:rsidRDefault="00000000">
            <w:pPr>
              <w:spacing w:line="240" w:lineRule="auto"/>
            </w:pPr>
            <w:r>
              <w:rPr>
                <w:sz w:val="18"/>
              </w:rPr>
              <w:t>U</w:t>
            </w:r>
          </w:p>
        </w:tc>
        <w:tc>
          <w:tcPr>
            <w:tcW w:w="2561" w:type="dxa"/>
          </w:tcPr>
          <w:p w14:paraId="62F4A93E" w14:textId="77777777" w:rsidR="00E93703" w:rsidRDefault="00000000">
            <w:pPr>
              <w:spacing w:line="240" w:lineRule="auto"/>
            </w:pPr>
            <w:r>
              <w:rPr>
                <w:sz w:val="18"/>
              </w:rPr>
              <w:t>U</w:t>
            </w:r>
          </w:p>
        </w:tc>
      </w:tr>
      <w:tr w:rsidR="00E93703" w14:paraId="75C1E81E" w14:textId="77777777">
        <w:tc>
          <w:tcPr>
            <w:tcW w:w="2561" w:type="dxa"/>
          </w:tcPr>
          <w:p w14:paraId="29B9B427" w14:textId="77777777" w:rsidR="00E93703" w:rsidRDefault="00000000">
            <w:pPr>
              <w:spacing w:line="240" w:lineRule="auto"/>
            </w:pPr>
            <w:r>
              <w:rPr>
                <w:sz w:val="18"/>
              </w:rPr>
              <w:t>Hwang et al. 2026 [24]</w:t>
            </w:r>
          </w:p>
        </w:tc>
        <w:tc>
          <w:tcPr>
            <w:tcW w:w="2561" w:type="dxa"/>
          </w:tcPr>
          <w:p w14:paraId="5440F75C" w14:textId="77777777" w:rsidR="00E93703" w:rsidRDefault="00000000">
            <w:pPr>
              <w:spacing w:line="240" w:lineRule="auto"/>
            </w:pPr>
            <w:r>
              <w:rPr>
                <w:sz w:val="18"/>
              </w:rPr>
              <w:t>H</w:t>
            </w:r>
          </w:p>
        </w:tc>
        <w:tc>
          <w:tcPr>
            <w:tcW w:w="2561" w:type="dxa"/>
          </w:tcPr>
          <w:p w14:paraId="5B5E714B" w14:textId="77777777" w:rsidR="00E93703" w:rsidRDefault="00000000">
            <w:pPr>
              <w:spacing w:line="240" w:lineRule="auto"/>
            </w:pPr>
            <w:r>
              <w:rPr>
                <w:sz w:val="18"/>
              </w:rPr>
              <w:t>L</w:t>
            </w:r>
          </w:p>
        </w:tc>
        <w:tc>
          <w:tcPr>
            <w:tcW w:w="2561" w:type="dxa"/>
          </w:tcPr>
          <w:p w14:paraId="512D212A" w14:textId="77777777" w:rsidR="00E93703" w:rsidRDefault="00000000">
            <w:pPr>
              <w:spacing w:line="240" w:lineRule="auto"/>
            </w:pPr>
            <w:r>
              <w:rPr>
                <w:sz w:val="18"/>
              </w:rPr>
              <w:t>H</w:t>
            </w:r>
          </w:p>
        </w:tc>
        <w:tc>
          <w:tcPr>
            <w:tcW w:w="2561" w:type="dxa"/>
          </w:tcPr>
          <w:p w14:paraId="4B5E16B5" w14:textId="77777777" w:rsidR="00E93703" w:rsidRDefault="00000000">
            <w:pPr>
              <w:spacing w:line="240" w:lineRule="auto"/>
            </w:pPr>
            <w:r>
              <w:rPr>
                <w:sz w:val="18"/>
              </w:rPr>
              <w:t>H</w:t>
            </w:r>
          </w:p>
        </w:tc>
        <w:tc>
          <w:tcPr>
            <w:tcW w:w="2561" w:type="dxa"/>
          </w:tcPr>
          <w:p w14:paraId="7399FE69" w14:textId="77777777" w:rsidR="00E93703" w:rsidRDefault="00000000">
            <w:pPr>
              <w:spacing w:line="240" w:lineRule="auto"/>
            </w:pPr>
            <w:r>
              <w:rPr>
                <w:sz w:val="18"/>
              </w:rPr>
              <w:t>H</w:t>
            </w:r>
          </w:p>
        </w:tc>
      </w:tr>
      <w:tr w:rsidR="00E93703" w14:paraId="73206DAE" w14:textId="77777777">
        <w:tc>
          <w:tcPr>
            <w:tcW w:w="2561" w:type="dxa"/>
          </w:tcPr>
          <w:p w14:paraId="2AF2CF58" w14:textId="77777777" w:rsidR="00E93703" w:rsidRDefault="00000000">
            <w:pPr>
              <w:spacing w:line="240" w:lineRule="auto"/>
            </w:pPr>
            <w:r>
              <w:rPr>
                <w:sz w:val="18"/>
              </w:rPr>
              <w:t>Drysch et al. 2025 [25]</w:t>
            </w:r>
          </w:p>
        </w:tc>
        <w:tc>
          <w:tcPr>
            <w:tcW w:w="2561" w:type="dxa"/>
          </w:tcPr>
          <w:p w14:paraId="400933F7" w14:textId="77777777" w:rsidR="00E93703" w:rsidRDefault="00000000">
            <w:pPr>
              <w:spacing w:line="240" w:lineRule="auto"/>
            </w:pPr>
            <w:r>
              <w:rPr>
                <w:sz w:val="18"/>
              </w:rPr>
              <w:t>L</w:t>
            </w:r>
          </w:p>
        </w:tc>
        <w:tc>
          <w:tcPr>
            <w:tcW w:w="2561" w:type="dxa"/>
          </w:tcPr>
          <w:p w14:paraId="3C1B7222" w14:textId="77777777" w:rsidR="00E93703" w:rsidRDefault="00000000">
            <w:pPr>
              <w:spacing w:line="240" w:lineRule="auto"/>
            </w:pPr>
            <w:r>
              <w:rPr>
                <w:sz w:val="18"/>
              </w:rPr>
              <w:t>L</w:t>
            </w:r>
          </w:p>
        </w:tc>
        <w:tc>
          <w:tcPr>
            <w:tcW w:w="2561" w:type="dxa"/>
          </w:tcPr>
          <w:p w14:paraId="03F64F4F" w14:textId="77777777" w:rsidR="00E93703" w:rsidRDefault="00000000">
            <w:pPr>
              <w:spacing w:line="240" w:lineRule="auto"/>
            </w:pPr>
            <w:r>
              <w:rPr>
                <w:sz w:val="18"/>
              </w:rPr>
              <w:t>U</w:t>
            </w:r>
          </w:p>
        </w:tc>
        <w:tc>
          <w:tcPr>
            <w:tcW w:w="2561" w:type="dxa"/>
          </w:tcPr>
          <w:p w14:paraId="1B4D2BB8" w14:textId="77777777" w:rsidR="00E93703" w:rsidRDefault="00000000">
            <w:pPr>
              <w:spacing w:line="240" w:lineRule="auto"/>
            </w:pPr>
            <w:r>
              <w:rPr>
                <w:sz w:val="18"/>
              </w:rPr>
              <w:t>H</w:t>
            </w:r>
          </w:p>
        </w:tc>
        <w:tc>
          <w:tcPr>
            <w:tcW w:w="2561" w:type="dxa"/>
          </w:tcPr>
          <w:p w14:paraId="7A92F726" w14:textId="77777777" w:rsidR="00E93703" w:rsidRDefault="00000000">
            <w:pPr>
              <w:spacing w:line="240" w:lineRule="auto"/>
            </w:pPr>
            <w:r>
              <w:rPr>
                <w:sz w:val="18"/>
              </w:rPr>
              <w:t>H</w:t>
            </w:r>
          </w:p>
        </w:tc>
      </w:tr>
      <w:tr w:rsidR="00E93703" w14:paraId="7A767DAC" w14:textId="77777777">
        <w:tc>
          <w:tcPr>
            <w:tcW w:w="2561" w:type="dxa"/>
          </w:tcPr>
          <w:p w14:paraId="3E1C963C" w14:textId="77777777" w:rsidR="00E93703" w:rsidRDefault="00000000">
            <w:pPr>
              <w:spacing w:line="240" w:lineRule="auto"/>
            </w:pPr>
            <w:r>
              <w:rPr>
                <w:sz w:val="18"/>
              </w:rPr>
              <w:t>Zhou K et al. 2026 [26]</w:t>
            </w:r>
          </w:p>
        </w:tc>
        <w:tc>
          <w:tcPr>
            <w:tcW w:w="2561" w:type="dxa"/>
          </w:tcPr>
          <w:p w14:paraId="69BC5688" w14:textId="77777777" w:rsidR="00E93703" w:rsidRDefault="00000000">
            <w:pPr>
              <w:spacing w:line="240" w:lineRule="auto"/>
            </w:pPr>
            <w:r>
              <w:rPr>
                <w:sz w:val="18"/>
              </w:rPr>
              <w:t>H</w:t>
            </w:r>
          </w:p>
        </w:tc>
        <w:tc>
          <w:tcPr>
            <w:tcW w:w="2561" w:type="dxa"/>
          </w:tcPr>
          <w:p w14:paraId="79509E55" w14:textId="77777777" w:rsidR="00E93703" w:rsidRDefault="00000000">
            <w:pPr>
              <w:spacing w:line="240" w:lineRule="auto"/>
            </w:pPr>
            <w:r>
              <w:rPr>
                <w:sz w:val="18"/>
              </w:rPr>
              <w:t>U</w:t>
            </w:r>
          </w:p>
        </w:tc>
        <w:tc>
          <w:tcPr>
            <w:tcW w:w="2561" w:type="dxa"/>
          </w:tcPr>
          <w:p w14:paraId="24D7178B" w14:textId="77777777" w:rsidR="00E93703" w:rsidRDefault="00000000">
            <w:pPr>
              <w:spacing w:line="240" w:lineRule="auto"/>
            </w:pPr>
            <w:r>
              <w:rPr>
                <w:sz w:val="18"/>
              </w:rPr>
              <w:t>L</w:t>
            </w:r>
          </w:p>
        </w:tc>
        <w:tc>
          <w:tcPr>
            <w:tcW w:w="2561" w:type="dxa"/>
          </w:tcPr>
          <w:p w14:paraId="6AAF024A" w14:textId="77777777" w:rsidR="00E93703" w:rsidRDefault="00000000">
            <w:pPr>
              <w:spacing w:line="240" w:lineRule="auto"/>
            </w:pPr>
            <w:r>
              <w:rPr>
                <w:sz w:val="18"/>
              </w:rPr>
              <w:t>H</w:t>
            </w:r>
          </w:p>
        </w:tc>
        <w:tc>
          <w:tcPr>
            <w:tcW w:w="2561" w:type="dxa"/>
          </w:tcPr>
          <w:p w14:paraId="56F7C612" w14:textId="77777777" w:rsidR="00E93703" w:rsidRDefault="00000000">
            <w:pPr>
              <w:spacing w:line="240" w:lineRule="auto"/>
            </w:pPr>
            <w:r>
              <w:rPr>
                <w:sz w:val="18"/>
              </w:rPr>
              <w:t>H</w:t>
            </w:r>
          </w:p>
        </w:tc>
      </w:tr>
      <w:tr w:rsidR="00E93703" w14:paraId="159DDF0F" w14:textId="77777777">
        <w:tc>
          <w:tcPr>
            <w:tcW w:w="2561" w:type="dxa"/>
          </w:tcPr>
          <w:p w14:paraId="2EC02739" w14:textId="77777777" w:rsidR="00E93703" w:rsidRDefault="00000000">
            <w:pPr>
              <w:spacing w:line="240" w:lineRule="auto"/>
            </w:pPr>
            <w:r>
              <w:rPr>
                <w:sz w:val="18"/>
              </w:rPr>
              <w:t>Yang et al. 2026 [27]</w:t>
            </w:r>
          </w:p>
        </w:tc>
        <w:tc>
          <w:tcPr>
            <w:tcW w:w="2561" w:type="dxa"/>
          </w:tcPr>
          <w:p w14:paraId="1CAD733A" w14:textId="77777777" w:rsidR="00E93703" w:rsidRDefault="00000000">
            <w:pPr>
              <w:spacing w:line="240" w:lineRule="auto"/>
            </w:pPr>
            <w:r>
              <w:rPr>
                <w:sz w:val="18"/>
              </w:rPr>
              <w:t>L</w:t>
            </w:r>
          </w:p>
        </w:tc>
        <w:tc>
          <w:tcPr>
            <w:tcW w:w="2561" w:type="dxa"/>
          </w:tcPr>
          <w:p w14:paraId="452A306B" w14:textId="77777777" w:rsidR="00E93703" w:rsidRDefault="00000000">
            <w:pPr>
              <w:spacing w:line="240" w:lineRule="auto"/>
            </w:pPr>
            <w:r>
              <w:rPr>
                <w:sz w:val="18"/>
              </w:rPr>
              <w:t>H</w:t>
            </w:r>
          </w:p>
        </w:tc>
        <w:tc>
          <w:tcPr>
            <w:tcW w:w="2561" w:type="dxa"/>
          </w:tcPr>
          <w:p w14:paraId="7E90431F" w14:textId="77777777" w:rsidR="00E93703" w:rsidRDefault="00000000">
            <w:pPr>
              <w:spacing w:line="240" w:lineRule="auto"/>
            </w:pPr>
            <w:r>
              <w:rPr>
                <w:sz w:val="18"/>
              </w:rPr>
              <w:t>L</w:t>
            </w:r>
          </w:p>
        </w:tc>
        <w:tc>
          <w:tcPr>
            <w:tcW w:w="2561" w:type="dxa"/>
          </w:tcPr>
          <w:p w14:paraId="7F6BFCAF" w14:textId="77777777" w:rsidR="00E93703" w:rsidRDefault="00000000">
            <w:pPr>
              <w:spacing w:line="240" w:lineRule="auto"/>
            </w:pPr>
            <w:r>
              <w:rPr>
                <w:sz w:val="18"/>
              </w:rPr>
              <w:t>U</w:t>
            </w:r>
          </w:p>
        </w:tc>
        <w:tc>
          <w:tcPr>
            <w:tcW w:w="2561" w:type="dxa"/>
          </w:tcPr>
          <w:p w14:paraId="6CC9D283" w14:textId="77777777" w:rsidR="00E93703" w:rsidRDefault="00000000">
            <w:pPr>
              <w:spacing w:line="240" w:lineRule="auto"/>
            </w:pPr>
            <w:r>
              <w:rPr>
                <w:sz w:val="18"/>
              </w:rPr>
              <w:t>H</w:t>
            </w:r>
          </w:p>
        </w:tc>
      </w:tr>
      <w:tr w:rsidR="00E93703" w14:paraId="66D41548" w14:textId="77777777">
        <w:tc>
          <w:tcPr>
            <w:tcW w:w="2561" w:type="dxa"/>
          </w:tcPr>
          <w:p w14:paraId="6482F27A" w14:textId="77777777" w:rsidR="00E93703" w:rsidRDefault="00000000">
            <w:pPr>
              <w:spacing w:line="240" w:lineRule="auto"/>
            </w:pPr>
            <w:r>
              <w:rPr>
                <w:sz w:val="18"/>
              </w:rPr>
              <w:lastRenderedPageBreak/>
              <w:t>Fransvea et al. 2026 [28]</w:t>
            </w:r>
          </w:p>
        </w:tc>
        <w:tc>
          <w:tcPr>
            <w:tcW w:w="2561" w:type="dxa"/>
          </w:tcPr>
          <w:p w14:paraId="0E9D1CB9" w14:textId="77777777" w:rsidR="00E93703" w:rsidRDefault="00000000">
            <w:pPr>
              <w:spacing w:line="240" w:lineRule="auto"/>
            </w:pPr>
            <w:r>
              <w:rPr>
                <w:sz w:val="18"/>
              </w:rPr>
              <w:t>L</w:t>
            </w:r>
          </w:p>
        </w:tc>
        <w:tc>
          <w:tcPr>
            <w:tcW w:w="2561" w:type="dxa"/>
          </w:tcPr>
          <w:p w14:paraId="3C6395FC" w14:textId="77777777" w:rsidR="00E93703" w:rsidRDefault="00000000">
            <w:pPr>
              <w:spacing w:line="240" w:lineRule="auto"/>
            </w:pPr>
            <w:r>
              <w:rPr>
                <w:sz w:val="18"/>
              </w:rPr>
              <w:t>L</w:t>
            </w:r>
          </w:p>
        </w:tc>
        <w:tc>
          <w:tcPr>
            <w:tcW w:w="2561" w:type="dxa"/>
          </w:tcPr>
          <w:p w14:paraId="537DC7E7" w14:textId="77777777" w:rsidR="00E93703" w:rsidRDefault="00000000">
            <w:pPr>
              <w:spacing w:line="240" w:lineRule="auto"/>
            </w:pPr>
            <w:r>
              <w:rPr>
                <w:sz w:val="18"/>
              </w:rPr>
              <w:t>H</w:t>
            </w:r>
          </w:p>
        </w:tc>
        <w:tc>
          <w:tcPr>
            <w:tcW w:w="2561" w:type="dxa"/>
          </w:tcPr>
          <w:p w14:paraId="1B6ABD37" w14:textId="77777777" w:rsidR="00E93703" w:rsidRDefault="00000000">
            <w:pPr>
              <w:spacing w:line="240" w:lineRule="auto"/>
            </w:pPr>
            <w:r>
              <w:rPr>
                <w:sz w:val="18"/>
              </w:rPr>
              <w:t>H</w:t>
            </w:r>
          </w:p>
        </w:tc>
        <w:tc>
          <w:tcPr>
            <w:tcW w:w="2561" w:type="dxa"/>
          </w:tcPr>
          <w:p w14:paraId="68E9A7B7" w14:textId="77777777" w:rsidR="00E93703" w:rsidRDefault="00000000">
            <w:pPr>
              <w:spacing w:line="240" w:lineRule="auto"/>
            </w:pPr>
            <w:r>
              <w:rPr>
                <w:sz w:val="18"/>
              </w:rPr>
              <w:t>H</w:t>
            </w:r>
          </w:p>
        </w:tc>
      </w:tr>
      <w:tr w:rsidR="00E93703" w14:paraId="431CA9CB" w14:textId="77777777">
        <w:tc>
          <w:tcPr>
            <w:tcW w:w="2561" w:type="dxa"/>
          </w:tcPr>
          <w:p w14:paraId="71416A62" w14:textId="77777777" w:rsidR="00E93703" w:rsidRDefault="00000000">
            <w:pPr>
              <w:spacing w:line="240" w:lineRule="auto"/>
            </w:pPr>
            <w:r>
              <w:rPr>
                <w:sz w:val="18"/>
              </w:rPr>
              <w:t>Li et al. 2026 [29]</w:t>
            </w:r>
          </w:p>
        </w:tc>
        <w:tc>
          <w:tcPr>
            <w:tcW w:w="2561" w:type="dxa"/>
          </w:tcPr>
          <w:p w14:paraId="759B1BC6" w14:textId="77777777" w:rsidR="00E93703" w:rsidRDefault="00000000">
            <w:pPr>
              <w:spacing w:line="240" w:lineRule="auto"/>
            </w:pPr>
            <w:r>
              <w:rPr>
                <w:sz w:val="18"/>
              </w:rPr>
              <w:t>L</w:t>
            </w:r>
          </w:p>
        </w:tc>
        <w:tc>
          <w:tcPr>
            <w:tcW w:w="2561" w:type="dxa"/>
          </w:tcPr>
          <w:p w14:paraId="5A85639A" w14:textId="77777777" w:rsidR="00E93703" w:rsidRDefault="00000000">
            <w:pPr>
              <w:spacing w:line="240" w:lineRule="auto"/>
            </w:pPr>
            <w:r>
              <w:rPr>
                <w:sz w:val="18"/>
              </w:rPr>
              <w:t>L</w:t>
            </w:r>
          </w:p>
        </w:tc>
        <w:tc>
          <w:tcPr>
            <w:tcW w:w="2561" w:type="dxa"/>
          </w:tcPr>
          <w:p w14:paraId="4A4B01B5" w14:textId="77777777" w:rsidR="00E93703" w:rsidRDefault="00000000">
            <w:pPr>
              <w:spacing w:line="240" w:lineRule="auto"/>
            </w:pPr>
            <w:r>
              <w:rPr>
                <w:sz w:val="18"/>
              </w:rPr>
              <w:t>U</w:t>
            </w:r>
          </w:p>
        </w:tc>
        <w:tc>
          <w:tcPr>
            <w:tcW w:w="2561" w:type="dxa"/>
          </w:tcPr>
          <w:p w14:paraId="3A8D52C6" w14:textId="77777777" w:rsidR="00E93703" w:rsidRDefault="00000000">
            <w:pPr>
              <w:spacing w:line="240" w:lineRule="auto"/>
            </w:pPr>
            <w:r>
              <w:rPr>
                <w:sz w:val="18"/>
              </w:rPr>
              <w:t>H</w:t>
            </w:r>
          </w:p>
        </w:tc>
        <w:tc>
          <w:tcPr>
            <w:tcW w:w="2561" w:type="dxa"/>
          </w:tcPr>
          <w:p w14:paraId="5AAD3D7C" w14:textId="77777777" w:rsidR="00E93703" w:rsidRDefault="00000000">
            <w:pPr>
              <w:spacing w:line="240" w:lineRule="auto"/>
            </w:pPr>
            <w:r>
              <w:rPr>
                <w:sz w:val="18"/>
              </w:rPr>
              <w:t>H</w:t>
            </w:r>
          </w:p>
        </w:tc>
      </w:tr>
      <w:tr w:rsidR="00E93703" w14:paraId="0E4A20A7" w14:textId="77777777">
        <w:tc>
          <w:tcPr>
            <w:tcW w:w="2561" w:type="dxa"/>
          </w:tcPr>
          <w:p w14:paraId="3DAAB23A" w14:textId="77777777" w:rsidR="00E93703" w:rsidRDefault="00000000">
            <w:pPr>
              <w:spacing w:line="240" w:lineRule="auto"/>
            </w:pPr>
            <w:r>
              <w:rPr>
                <w:sz w:val="18"/>
              </w:rPr>
              <w:t>Jeong et al. 2026 [30]</w:t>
            </w:r>
          </w:p>
        </w:tc>
        <w:tc>
          <w:tcPr>
            <w:tcW w:w="2561" w:type="dxa"/>
          </w:tcPr>
          <w:p w14:paraId="588440F9" w14:textId="77777777" w:rsidR="00E93703" w:rsidRDefault="00000000">
            <w:pPr>
              <w:spacing w:line="240" w:lineRule="auto"/>
            </w:pPr>
            <w:r>
              <w:rPr>
                <w:sz w:val="18"/>
              </w:rPr>
              <w:t>U</w:t>
            </w:r>
          </w:p>
        </w:tc>
        <w:tc>
          <w:tcPr>
            <w:tcW w:w="2561" w:type="dxa"/>
          </w:tcPr>
          <w:p w14:paraId="64BD6B7E" w14:textId="77777777" w:rsidR="00E93703" w:rsidRDefault="00000000">
            <w:pPr>
              <w:spacing w:line="240" w:lineRule="auto"/>
            </w:pPr>
            <w:r>
              <w:rPr>
                <w:sz w:val="18"/>
              </w:rPr>
              <w:t>L</w:t>
            </w:r>
          </w:p>
        </w:tc>
        <w:tc>
          <w:tcPr>
            <w:tcW w:w="2561" w:type="dxa"/>
          </w:tcPr>
          <w:p w14:paraId="51D1B536" w14:textId="77777777" w:rsidR="00E93703" w:rsidRDefault="00000000">
            <w:pPr>
              <w:spacing w:line="240" w:lineRule="auto"/>
            </w:pPr>
            <w:r>
              <w:rPr>
                <w:sz w:val="18"/>
              </w:rPr>
              <w:t>H</w:t>
            </w:r>
          </w:p>
        </w:tc>
        <w:tc>
          <w:tcPr>
            <w:tcW w:w="2561" w:type="dxa"/>
          </w:tcPr>
          <w:p w14:paraId="7521BCCB" w14:textId="77777777" w:rsidR="00E93703" w:rsidRDefault="00000000">
            <w:pPr>
              <w:spacing w:line="240" w:lineRule="auto"/>
            </w:pPr>
            <w:r>
              <w:rPr>
                <w:sz w:val="18"/>
              </w:rPr>
              <w:t>H</w:t>
            </w:r>
          </w:p>
        </w:tc>
        <w:tc>
          <w:tcPr>
            <w:tcW w:w="2561" w:type="dxa"/>
          </w:tcPr>
          <w:p w14:paraId="2A54B255" w14:textId="77777777" w:rsidR="00E93703" w:rsidRDefault="00000000">
            <w:pPr>
              <w:spacing w:line="240" w:lineRule="auto"/>
            </w:pPr>
            <w:r>
              <w:rPr>
                <w:sz w:val="18"/>
              </w:rPr>
              <w:t>H</w:t>
            </w:r>
          </w:p>
        </w:tc>
      </w:tr>
      <w:tr w:rsidR="00E93703" w14:paraId="45CB2969" w14:textId="77777777">
        <w:tc>
          <w:tcPr>
            <w:tcW w:w="2561" w:type="dxa"/>
          </w:tcPr>
          <w:p w14:paraId="4CD35BDE" w14:textId="77777777" w:rsidR="00E93703" w:rsidRDefault="00000000">
            <w:pPr>
              <w:spacing w:line="240" w:lineRule="auto"/>
            </w:pPr>
            <w:r>
              <w:rPr>
                <w:sz w:val="18"/>
              </w:rPr>
              <w:t>Shimabukuro et al. 2017 [31]</w:t>
            </w:r>
          </w:p>
        </w:tc>
        <w:tc>
          <w:tcPr>
            <w:tcW w:w="2561" w:type="dxa"/>
          </w:tcPr>
          <w:p w14:paraId="63782C23" w14:textId="77777777" w:rsidR="00E93703" w:rsidRDefault="00000000">
            <w:pPr>
              <w:spacing w:line="240" w:lineRule="auto"/>
            </w:pPr>
            <w:r>
              <w:rPr>
                <w:sz w:val="18"/>
              </w:rPr>
              <w:t>L</w:t>
            </w:r>
          </w:p>
        </w:tc>
        <w:tc>
          <w:tcPr>
            <w:tcW w:w="2561" w:type="dxa"/>
          </w:tcPr>
          <w:p w14:paraId="1442286A" w14:textId="77777777" w:rsidR="00E93703" w:rsidRDefault="00000000">
            <w:pPr>
              <w:spacing w:line="240" w:lineRule="auto"/>
            </w:pPr>
            <w:r>
              <w:rPr>
                <w:sz w:val="18"/>
              </w:rPr>
              <w:t>L</w:t>
            </w:r>
          </w:p>
        </w:tc>
        <w:tc>
          <w:tcPr>
            <w:tcW w:w="2561" w:type="dxa"/>
          </w:tcPr>
          <w:p w14:paraId="49151AFC" w14:textId="77777777" w:rsidR="00E93703" w:rsidRDefault="00000000">
            <w:pPr>
              <w:spacing w:line="240" w:lineRule="auto"/>
            </w:pPr>
            <w:r>
              <w:rPr>
                <w:sz w:val="18"/>
              </w:rPr>
              <w:t>U</w:t>
            </w:r>
          </w:p>
        </w:tc>
        <w:tc>
          <w:tcPr>
            <w:tcW w:w="2561" w:type="dxa"/>
          </w:tcPr>
          <w:p w14:paraId="49B92364" w14:textId="77777777" w:rsidR="00E93703" w:rsidRDefault="00000000">
            <w:pPr>
              <w:spacing w:line="240" w:lineRule="auto"/>
            </w:pPr>
            <w:r>
              <w:rPr>
                <w:sz w:val="18"/>
              </w:rPr>
              <w:t>H</w:t>
            </w:r>
          </w:p>
        </w:tc>
        <w:tc>
          <w:tcPr>
            <w:tcW w:w="2561" w:type="dxa"/>
          </w:tcPr>
          <w:p w14:paraId="5E8F981B" w14:textId="77777777" w:rsidR="00E93703" w:rsidRDefault="00000000">
            <w:pPr>
              <w:spacing w:line="240" w:lineRule="auto"/>
            </w:pPr>
            <w:r>
              <w:rPr>
                <w:sz w:val="18"/>
              </w:rPr>
              <w:t>H</w:t>
            </w:r>
          </w:p>
        </w:tc>
      </w:tr>
    </w:tbl>
    <w:p w14:paraId="1E0086AD" w14:textId="77777777" w:rsidR="00E93703" w:rsidRDefault="00000000">
      <w:r>
        <w:rPr>
          <w:i/>
          <w:sz w:val="16"/>
        </w:rPr>
        <w:t>L = low risk of bias; U = unclear; H = high. Per PROBAST, the overall judgement is low only where every domain is low and high where any domain is high. Judgements were led by one reviewer and independently checked by a second, with disagreements resolved by consensus.</w:t>
      </w:r>
    </w:p>
    <w:p w14:paraId="153B530C" w14:textId="77777777" w:rsidR="00E93703" w:rsidRDefault="00E93703"/>
    <w:p w14:paraId="1FEDAFAE" w14:textId="77777777" w:rsidR="00E93703" w:rsidRDefault="00000000">
      <w:r>
        <w:rPr>
          <w:b/>
          <w:sz w:val="24"/>
        </w:rPr>
        <w:t>Supplementary Table S5. Reporting completeness across the 17 included studies (TRIPOD+AI-anchored audit).</w:t>
      </w:r>
    </w:p>
    <w:tbl>
      <w:tblPr>
        <w:tblStyle w:val="TableGrid"/>
        <w:tblW w:w="0" w:type="auto"/>
        <w:tblLook w:val="04A0" w:firstRow="1" w:lastRow="0" w:firstColumn="1" w:lastColumn="0" w:noHBand="0" w:noVBand="1"/>
      </w:tblPr>
      <w:tblGrid>
        <w:gridCol w:w="3840"/>
        <w:gridCol w:w="3838"/>
        <w:gridCol w:w="3838"/>
        <w:gridCol w:w="3838"/>
      </w:tblGrid>
      <w:tr w:rsidR="00E93703" w14:paraId="7BC1D1F8" w14:textId="77777777">
        <w:tc>
          <w:tcPr>
            <w:tcW w:w="3841" w:type="dxa"/>
          </w:tcPr>
          <w:p w14:paraId="7C796226" w14:textId="77777777" w:rsidR="00E93703" w:rsidRDefault="00000000">
            <w:pPr>
              <w:spacing w:line="240" w:lineRule="auto"/>
            </w:pPr>
            <w:r>
              <w:rPr>
                <w:b/>
                <w:sz w:val="18"/>
              </w:rPr>
              <w:t>Reporting element</w:t>
            </w:r>
          </w:p>
        </w:tc>
        <w:tc>
          <w:tcPr>
            <w:tcW w:w="3841" w:type="dxa"/>
          </w:tcPr>
          <w:p w14:paraId="57B757FF" w14:textId="77777777" w:rsidR="00E93703" w:rsidRDefault="00000000">
            <w:pPr>
              <w:spacing w:line="240" w:lineRule="auto"/>
            </w:pPr>
            <w:r>
              <w:rPr>
                <w:b/>
                <w:sz w:val="18"/>
              </w:rPr>
              <w:t>Reported (n)</w:t>
            </w:r>
          </w:p>
        </w:tc>
        <w:tc>
          <w:tcPr>
            <w:tcW w:w="3841" w:type="dxa"/>
          </w:tcPr>
          <w:p w14:paraId="2FB7A5C8" w14:textId="77777777" w:rsidR="00E93703" w:rsidRDefault="00000000">
            <w:pPr>
              <w:spacing w:line="240" w:lineRule="auto"/>
            </w:pPr>
            <w:r>
              <w:rPr>
                <w:b/>
                <w:sz w:val="18"/>
              </w:rPr>
              <w:t>Not reported (n)</w:t>
            </w:r>
          </w:p>
        </w:tc>
        <w:tc>
          <w:tcPr>
            <w:tcW w:w="3841" w:type="dxa"/>
          </w:tcPr>
          <w:p w14:paraId="335FC2D2" w14:textId="77777777" w:rsidR="00E93703" w:rsidRDefault="00000000">
            <w:pPr>
              <w:spacing w:line="240" w:lineRule="auto"/>
            </w:pPr>
            <w:r>
              <w:rPr>
                <w:b/>
                <w:sz w:val="18"/>
              </w:rPr>
              <w:t>% reported</w:t>
            </w:r>
          </w:p>
        </w:tc>
      </w:tr>
      <w:tr w:rsidR="00E93703" w14:paraId="70448E55" w14:textId="77777777">
        <w:tc>
          <w:tcPr>
            <w:tcW w:w="3841" w:type="dxa"/>
          </w:tcPr>
          <w:p w14:paraId="55A11592" w14:textId="77777777" w:rsidR="00E93703" w:rsidRDefault="00000000">
            <w:pPr>
              <w:spacing w:line="240" w:lineRule="auto"/>
            </w:pPr>
            <w:r>
              <w:rPr>
                <w:sz w:val="18"/>
              </w:rPr>
              <w:t>Accuracy (AUROC or C-index)</w:t>
            </w:r>
          </w:p>
        </w:tc>
        <w:tc>
          <w:tcPr>
            <w:tcW w:w="3841" w:type="dxa"/>
          </w:tcPr>
          <w:p w14:paraId="1FC57342" w14:textId="77777777" w:rsidR="00E93703" w:rsidRDefault="00000000">
            <w:pPr>
              <w:spacing w:line="240" w:lineRule="auto"/>
            </w:pPr>
            <w:r>
              <w:rPr>
                <w:sz w:val="18"/>
              </w:rPr>
              <w:t>16</w:t>
            </w:r>
          </w:p>
        </w:tc>
        <w:tc>
          <w:tcPr>
            <w:tcW w:w="3841" w:type="dxa"/>
          </w:tcPr>
          <w:p w14:paraId="74E3700F" w14:textId="77777777" w:rsidR="00E93703" w:rsidRDefault="00000000">
            <w:pPr>
              <w:spacing w:line="240" w:lineRule="auto"/>
            </w:pPr>
            <w:r>
              <w:rPr>
                <w:sz w:val="18"/>
              </w:rPr>
              <w:t>1</w:t>
            </w:r>
          </w:p>
        </w:tc>
        <w:tc>
          <w:tcPr>
            <w:tcW w:w="3841" w:type="dxa"/>
          </w:tcPr>
          <w:p w14:paraId="544EDB6C" w14:textId="77777777" w:rsidR="00E93703" w:rsidRDefault="00000000">
            <w:pPr>
              <w:spacing w:line="240" w:lineRule="auto"/>
            </w:pPr>
            <w:r>
              <w:rPr>
                <w:sz w:val="18"/>
              </w:rPr>
              <w:t>94%</w:t>
            </w:r>
          </w:p>
        </w:tc>
      </w:tr>
      <w:tr w:rsidR="00E93703" w14:paraId="1886B8C3" w14:textId="77777777">
        <w:tc>
          <w:tcPr>
            <w:tcW w:w="3841" w:type="dxa"/>
          </w:tcPr>
          <w:p w14:paraId="11153364" w14:textId="77777777" w:rsidR="00E93703" w:rsidRDefault="00000000">
            <w:pPr>
              <w:spacing w:line="240" w:lineRule="auto"/>
            </w:pPr>
            <w:r>
              <w:rPr>
                <w:sz w:val="18"/>
              </w:rPr>
              <w:t>Sensitivity and specificity together</w:t>
            </w:r>
          </w:p>
        </w:tc>
        <w:tc>
          <w:tcPr>
            <w:tcW w:w="3841" w:type="dxa"/>
          </w:tcPr>
          <w:p w14:paraId="75613501" w14:textId="77777777" w:rsidR="00E93703" w:rsidRDefault="00000000">
            <w:pPr>
              <w:spacing w:line="240" w:lineRule="auto"/>
            </w:pPr>
            <w:r>
              <w:rPr>
                <w:sz w:val="18"/>
              </w:rPr>
              <w:t>9</w:t>
            </w:r>
          </w:p>
        </w:tc>
        <w:tc>
          <w:tcPr>
            <w:tcW w:w="3841" w:type="dxa"/>
          </w:tcPr>
          <w:p w14:paraId="2D3B519D" w14:textId="77777777" w:rsidR="00E93703" w:rsidRDefault="00000000">
            <w:pPr>
              <w:spacing w:line="240" w:lineRule="auto"/>
            </w:pPr>
            <w:r>
              <w:rPr>
                <w:sz w:val="18"/>
              </w:rPr>
              <w:t>8</w:t>
            </w:r>
          </w:p>
        </w:tc>
        <w:tc>
          <w:tcPr>
            <w:tcW w:w="3841" w:type="dxa"/>
          </w:tcPr>
          <w:p w14:paraId="57B6BD3D" w14:textId="77777777" w:rsidR="00E93703" w:rsidRDefault="00000000">
            <w:pPr>
              <w:spacing w:line="240" w:lineRule="auto"/>
            </w:pPr>
            <w:r>
              <w:rPr>
                <w:sz w:val="18"/>
              </w:rPr>
              <w:t>53%</w:t>
            </w:r>
          </w:p>
        </w:tc>
      </w:tr>
      <w:tr w:rsidR="00E93703" w14:paraId="7D5480D4" w14:textId="77777777">
        <w:tc>
          <w:tcPr>
            <w:tcW w:w="3841" w:type="dxa"/>
          </w:tcPr>
          <w:p w14:paraId="036ABE07" w14:textId="77777777" w:rsidR="00E93703" w:rsidRDefault="00000000">
            <w:pPr>
              <w:spacing w:line="240" w:lineRule="auto"/>
            </w:pPr>
            <w:r>
              <w:rPr>
                <w:sz w:val="18"/>
              </w:rPr>
              <w:t>Calibration (plot, slope or Brier score)</w:t>
            </w:r>
          </w:p>
        </w:tc>
        <w:tc>
          <w:tcPr>
            <w:tcW w:w="3841" w:type="dxa"/>
          </w:tcPr>
          <w:p w14:paraId="3108B3F6" w14:textId="77777777" w:rsidR="00E93703" w:rsidRDefault="00000000">
            <w:pPr>
              <w:spacing w:line="240" w:lineRule="auto"/>
            </w:pPr>
            <w:r>
              <w:rPr>
                <w:sz w:val="18"/>
              </w:rPr>
              <w:t>8</w:t>
            </w:r>
          </w:p>
        </w:tc>
        <w:tc>
          <w:tcPr>
            <w:tcW w:w="3841" w:type="dxa"/>
          </w:tcPr>
          <w:p w14:paraId="35ECBEA8" w14:textId="77777777" w:rsidR="00E93703" w:rsidRDefault="00000000">
            <w:pPr>
              <w:spacing w:line="240" w:lineRule="auto"/>
            </w:pPr>
            <w:r>
              <w:rPr>
                <w:sz w:val="18"/>
              </w:rPr>
              <w:t>9</w:t>
            </w:r>
          </w:p>
        </w:tc>
        <w:tc>
          <w:tcPr>
            <w:tcW w:w="3841" w:type="dxa"/>
          </w:tcPr>
          <w:p w14:paraId="565B0826" w14:textId="77777777" w:rsidR="00E93703" w:rsidRDefault="00000000">
            <w:pPr>
              <w:spacing w:line="240" w:lineRule="auto"/>
            </w:pPr>
            <w:r>
              <w:rPr>
                <w:sz w:val="18"/>
              </w:rPr>
              <w:t>47%</w:t>
            </w:r>
          </w:p>
        </w:tc>
      </w:tr>
      <w:tr w:rsidR="00E93703" w14:paraId="2EEC304B" w14:textId="77777777">
        <w:tc>
          <w:tcPr>
            <w:tcW w:w="3841" w:type="dxa"/>
          </w:tcPr>
          <w:p w14:paraId="2DDF3BDA" w14:textId="77777777" w:rsidR="00E93703" w:rsidRDefault="00000000">
            <w:pPr>
              <w:spacing w:line="240" w:lineRule="auto"/>
            </w:pPr>
            <w:r>
              <w:rPr>
                <w:sz w:val="18"/>
              </w:rPr>
              <w:t>95% confidence interval for the headline accuracy metric</w:t>
            </w:r>
          </w:p>
        </w:tc>
        <w:tc>
          <w:tcPr>
            <w:tcW w:w="3841" w:type="dxa"/>
          </w:tcPr>
          <w:p w14:paraId="6807F72E" w14:textId="77777777" w:rsidR="00E93703" w:rsidRDefault="00000000">
            <w:pPr>
              <w:spacing w:line="240" w:lineRule="auto"/>
            </w:pPr>
            <w:r>
              <w:rPr>
                <w:sz w:val="18"/>
              </w:rPr>
              <w:t>6</w:t>
            </w:r>
          </w:p>
        </w:tc>
        <w:tc>
          <w:tcPr>
            <w:tcW w:w="3841" w:type="dxa"/>
          </w:tcPr>
          <w:p w14:paraId="14A28983" w14:textId="77777777" w:rsidR="00E93703" w:rsidRDefault="00000000">
            <w:pPr>
              <w:spacing w:line="240" w:lineRule="auto"/>
            </w:pPr>
            <w:r>
              <w:rPr>
                <w:sz w:val="18"/>
              </w:rPr>
              <w:t>11</w:t>
            </w:r>
          </w:p>
        </w:tc>
        <w:tc>
          <w:tcPr>
            <w:tcW w:w="3841" w:type="dxa"/>
          </w:tcPr>
          <w:p w14:paraId="3A822C59" w14:textId="77777777" w:rsidR="00E93703" w:rsidRDefault="00000000">
            <w:pPr>
              <w:spacing w:line="240" w:lineRule="auto"/>
            </w:pPr>
            <w:r>
              <w:rPr>
                <w:sz w:val="18"/>
              </w:rPr>
              <w:t>35%</w:t>
            </w:r>
          </w:p>
        </w:tc>
      </w:tr>
      <w:tr w:rsidR="00E93703" w14:paraId="7E518997" w14:textId="77777777">
        <w:tc>
          <w:tcPr>
            <w:tcW w:w="3841" w:type="dxa"/>
          </w:tcPr>
          <w:p w14:paraId="36057E8B" w14:textId="77777777" w:rsidR="00E93703" w:rsidRDefault="00000000">
            <w:pPr>
              <w:spacing w:line="240" w:lineRule="auto"/>
            </w:pPr>
            <w:r>
              <w:rPr>
                <w:sz w:val="18"/>
              </w:rPr>
              <w:t>Clinical usefulness (decision-curve analysis)</w:t>
            </w:r>
          </w:p>
        </w:tc>
        <w:tc>
          <w:tcPr>
            <w:tcW w:w="3841" w:type="dxa"/>
          </w:tcPr>
          <w:p w14:paraId="0BD47769" w14:textId="77777777" w:rsidR="00E93703" w:rsidRDefault="00000000">
            <w:pPr>
              <w:spacing w:line="240" w:lineRule="auto"/>
            </w:pPr>
            <w:r>
              <w:rPr>
                <w:sz w:val="18"/>
              </w:rPr>
              <w:t>6</w:t>
            </w:r>
          </w:p>
        </w:tc>
        <w:tc>
          <w:tcPr>
            <w:tcW w:w="3841" w:type="dxa"/>
          </w:tcPr>
          <w:p w14:paraId="70F5B39C" w14:textId="77777777" w:rsidR="00E93703" w:rsidRDefault="00000000">
            <w:pPr>
              <w:spacing w:line="240" w:lineRule="auto"/>
            </w:pPr>
            <w:r>
              <w:rPr>
                <w:sz w:val="18"/>
              </w:rPr>
              <w:t>11</w:t>
            </w:r>
          </w:p>
        </w:tc>
        <w:tc>
          <w:tcPr>
            <w:tcW w:w="3841" w:type="dxa"/>
          </w:tcPr>
          <w:p w14:paraId="1CF857EB" w14:textId="77777777" w:rsidR="00E93703" w:rsidRDefault="00000000">
            <w:pPr>
              <w:spacing w:line="240" w:lineRule="auto"/>
            </w:pPr>
            <w:r>
              <w:rPr>
                <w:sz w:val="18"/>
              </w:rPr>
              <w:t>35%</w:t>
            </w:r>
          </w:p>
        </w:tc>
      </w:tr>
      <w:tr w:rsidR="00E93703" w14:paraId="63974C38" w14:textId="77777777">
        <w:tc>
          <w:tcPr>
            <w:tcW w:w="3841" w:type="dxa"/>
          </w:tcPr>
          <w:p w14:paraId="1918610A" w14:textId="77777777" w:rsidR="00E93703" w:rsidRDefault="00000000">
            <w:pPr>
              <w:spacing w:line="240" w:lineRule="auto"/>
            </w:pPr>
            <w:r>
              <w:rPr>
                <w:sz w:val="18"/>
              </w:rPr>
              <w:t>Tested in an independent dataset</w:t>
            </w:r>
          </w:p>
        </w:tc>
        <w:tc>
          <w:tcPr>
            <w:tcW w:w="3841" w:type="dxa"/>
          </w:tcPr>
          <w:p w14:paraId="574F87C9" w14:textId="77777777" w:rsidR="00E93703" w:rsidRDefault="00000000">
            <w:pPr>
              <w:spacing w:line="240" w:lineRule="auto"/>
            </w:pPr>
            <w:r>
              <w:rPr>
                <w:sz w:val="18"/>
              </w:rPr>
              <w:t>3</w:t>
            </w:r>
          </w:p>
        </w:tc>
        <w:tc>
          <w:tcPr>
            <w:tcW w:w="3841" w:type="dxa"/>
          </w:tcPr>
          <w:p w14:paraId="21190AFB" w14:textId="77777777" w:rsidR="00E93703" w:rsidRDefault="00000000">
            <w:pPr>
              <w:spacing w:line="240" w:lineRule="auto"/>
            </w:pPr>
            <w:r>
              <w:rPr>
                <w:sz w:val="18"/>
              </w:rPr>
              <w:t>14</w:t>
            </w:r>
          </w:p>
        </w:tc>
        <w:tc>
          <w:tcPr>
            <w:tcW w:w="3841" w:type="dxa"/>
          </w:tcPr>
          <w:p w14:paraId="58C6F44E" w14:textId="77777777" w:rsidR="00E93703" w:rsidRDefault="00000000">
            <w:pPr>
              <w:spacing w:line="240" w:lineRule="auto"/>
            </w:pPr>
            <w:r>
              <w:rPr>
                <w:sz w:val="18"/>
              </w:rPr>
              <w:t>18%</w:t>
            </w:r>
          </w:p>
        </w:tc>
      </w:tr>
    </w:tbl>
    <w:p w14:paraId="3E53F229" w14:textId="77777777" w:rsidR="00E93703" w:rsidRDefault="00000000">
      <w:r>
        <w:br w:type="page"/>
      </w:r>
    </w:p>
    <w:p w14:paraId="357DE55D" w14:textId="77777777" w:rsidR="00E93703" w:rsidRDefault="00E93703">
      <w:pPr>
        <w:sectPr w:rsidR="00E93703">
          <w:pgSz w:w="16838" w:h="11906" w:orient="landscape"/>
          <w:pgMar w:top="737" w:right="737" w:bottom="737" w:left="737" w:header="720" w:footer="720" w:gutter="0"/>
          <w:cols w:space="720"/>
          <w:docGrid w:linePitch="360"/>
        </w:sectPr>
      </w:pPr>
    </w:p>
    <w:p w14:paraId="39D4EBCA" w14:textId="77777777" w:rsidR="00E93703" w:rsidRDefault="00000000">
      <w:r>
        <w:rPr>
          <w:b/>
          <w:sz w:val="24"/>
        </w:rPr>
        <w:lastRenderedPageBreak/>
        <w:t>Supplementary Figure S1. Country in which each of the 17 studies was conducted.</w:t>
      </w:r>
    </w:p>
    <w:p w14:paraId="38667767" w14:textId="77777777" w:rsidR="00E93703" w:rsidRDefault="00000000">
      <w:r>
        <w:rPr>
          <w:noProof/>
        </w:rPr>
        <w:drawing>
          <wp:inline distT="0" distB="0" distL="0" distR="0" wp14:anchorId="0A1487A9" wp14:editId="50A52038">
            <wp:extent cx="5220000" cy="27773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png"/>
                    <pic:cNvPicPr/>
                  </pic:nvPicPr>
                  <pic:blipFill>
                    <a:blip r:embed="rId6"/>
                    <a:stretch>
                      <a:fillRect/>
                    </a:stretch>
                  </pic:blipFill>
                  <pic:spPr>
                    <a:xfrm>
                      <a:off x="0" y="0"/>
                      <a:ext cx="5220000" cy="2777398"/>
                    </a:xfrm>
                    <a:prstGeom prst="rect">
                      <a:avLst/>
                    </a:prstGeom>
                  </pic:spPr>
                </pic:pic>
              </a:graphicData>
            </a:graphic>
          </wp:inline>
        </w:drawing>
      </w:r>
    </w:p>
    <w:p w14:paraId="4DFF8E26" w14:textId="77777777" w:rsidR="00E93703" w:rsidRDefault="00000000">
      <w:r>
        <w:rPr>
          <w:i/>
          <w:sz w:val="18"/>
        </w:rPr>
        <w:t>Alt text: Horizontal bar chart. China 7 studies, USA 2, Switzerland 2, South Korea 2, Taiwan 1, Germany 1, Italy 1, multinational 1.</w:t>
      </w:r>
    </w:p>
    <w:p w14:paraId="5FFD1893" w14:textId="77777777" w:rsidR="00E93703" w:rsidRDefault="00E93703"/>
    <w:p w14:paraId="0BA4B844" w14:textId="77777777" w:rsidR="00E93703" w:rsidRDefault="00000000">
      <w:r>
        <w:rPr>
          <w:b/>
          <w:sz w:val="24"/>
        </w:rPr>
        <w:t>Supplementary Figure S2. Reported accuracy against study size and risk of bias.</w:t>
      </w:r>
    </w:p>
    <w:p w14:paraId="493DBBA7" w14:textId="77777777" w:rsidR="00E93703" w:rsidRDefault="00000000">
      <w:r>
        <w:rPr>
          <w:noProof/>
        </w:rPr>
        <w:drawing>
          <wp:inline distT="0" distB="0" distL="0" distR="0" wp14:anchorId="69D1E0EA" wp14:editId="33AE6E10">
            <wp:extent cx="5220000" cy="43693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png"/>
                    <pic:cNvPicPr/>
                  </pic:nvPicPr>
                  <pic:blipFill>
                    <a:blip r:embed="rId7"/>
                    <a:stretch>
                      <a:fillRect/>
                    </a:stretch>
                  </pic:blipFill>
                  <pic:spPr>
                    <a:xfrm>
                      <a:off x="0" y="0"/>
                      <a:ext cx="5220000" cy="4369368"/>
                    </a:xfrm>
                    <a:prstGeom prst="rect">
                      <a:avLst/>
                    </a:prstGeom>
                  </pic:spPr>
                </pic:pic>
              </a:graphicData>
            </a:graphic>
          </wp:inline>
        </w:drawing>
      </w:r>
    </w:p>
    <w:p w14:paraId="6054E349" w14:textId="77777777" w:rsidR="00E93703" w:rsidRDefault="00000000">
      <w:r>
        <w:rPr>
          <w:sz w:val="18"/>
        </w:rPr>
        <w:t>Each point is one study. Marker colour and shape denote overall risk of bias; rings mark the three studies tested in an independent dataset. The dashed line marks an accuracy of 0.80. Values are not pooled and the studies predict different outcomes; the figure shows that the studies with the strongest designs reported the most modest accuracy.</w:t>
      </w:r>
    </w:p>
    <w:p w14:paraId="33A05DC2" w14:textId="77777777" w:rsidR="00E93703" w:rsidRDefault="00000000">
      <w:r>
        <w:rPr>
          <w:i/>
          <w:sz w:val="18"/>
        </w:rPr>
        <w:lastRenderedPageBreak/>
        <w:t>Alt text: Scatter plot of reported accuracy against number of patients analysed on a logarithmic scale. The three studies tested in an independent dataset, ringed, sit between 0.77 and 0.85 despite large sample sizes, while all values at or above 0.95 come from studies at high risk of bias that tested their models only in their own data.</w:t>
      </w:r>
    </w:p>
    <w:p w14:paraId="2A39A715" w14:textId="77777777" w:rsidR="00E93703" w:rsidRDefault="00E93703"/>
    <w:p w14:paraId="00CB8EAC" w14:textId="77777777" w:rsidR="00E93703" w:rsidRDefault="00000000">
      <w:r>
        <w:rPr>
          <w:b/>
          <w:sz w:val="24"/>
        </w:rPr>
        <w:t>PRISMA 2020 and SWiM checklists</w:t>
      </w:r>
    </w:p>
    <w:p w14:paraId="1C2D1F3F" w14:textId="77777777" w:rsidR="00E93703" w:rsidRDefault="00000000">
      <w:r>
        <w:t>[AUTHORS: attach the completed PRISMA 2020 checklist and the completed SWiM checklist here before submission. Both are required by the Methods section of the main article.]</w:t>
      </w:r>
    </w:p>
    <w:sectPr w:rsidR="00E93703"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6280355">
    <w:abstractNumId w:val="8"/>
  </w:num>
  <w:num w:numId="2" w16cid:durableId="113837870">
    <w:abstractNumId w:val="6"/>
  </w:num>
  <w:num w:numId="3" w16cid:durableId="1579558095">
    <w:abstractNumId w:val="5"/>
  </w:num>
  <w:num w:numId="4" w16cid:durableId="1973556563">
    <w:abstractNumId w:val="4"/>
  </w:num>
  <w:num w:numId="5" w16cid:durableId="194273374">
    <w:abstractNumId w:val="7"/>
  </w:num>
  <w:num w:numId="6" w16cid:durableId="1468669368">
    <w:abstractNumId w:val="3"/>
  </w:num>
  <w:num w:numId="7" w16cid:durableId="1865902426">
    <w:abstractNumId w:val="2"/>
  </w:num>
  <w:num w:numId="8" w16cid:durableId="1724013632">
    <w:abstractNumId w:val="1"/>
  </w:num>
  <w:num w:numId="9" w16cid:durableId="8563140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7DF0"/>
    <w:rsid w:val="0015074B"/>
    <w:rsid w:val="0029639D"/>
    <w:rsid w:val="00326F90"/>
    <w:rsid w:val="00727A59"/>
    <w:rsid w:val="00AA1D8D"/>
    <w:rsid w:val="00B47730"/>
    <w:rsid w:val="00CB0664"/>
    <w:rsid w:val="00E937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814FE8"/>
  <w14:defaultImageDpi w14:val="300"/>
  <w15:docId w15:val="{7389B57A-DF87-1242-A74A-2F653673E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2880</Words>
  <Characters>16417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19259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Dr Rasha Elshenawy</cp:lastModifiedBy>
  <cp:revision>2</cp:revision>
  <dcterms:created xsi:type="dcterms:W3CDTF">2026-09-06T22:40:00Z</dcterms:created>
  <dcterms:modified xsi:type="dcterms:W3CDTF">2026-09-06T22:40:00Z</dcterms:modified>
  <cp:category/>
</cp:coreProperties>
</file>