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276"/>
        <w:jc w:val="center"/>
      </w:pPr>
      <w:r>
        <w:rPr>
          <w:rFonts w:ascii="Times New Roman" w:hAnsi="Times New Roman" w:eastAsia="Arial Unicode MS" w:cs="Times New Roman"/>
          <w:sz w:val="20"/>
        </w:rPr>
        <w:t>Additional file 1. Supplementary methods and results for “Perceived passenger invisibility, psychological distress, and interactional intentions among ride-hailing drivers in China: evidence from two surveys and a vignette-based study”</w:t>
      </w:r>
    </w:p>
    <w:p>
      <w:pPr>
        <w:spacing w:after="120" w:before="200" w:line="276" w:lineRule="auto"/>
      </w:pPr>
      <w:r>
        <w:rPr>
          <w:rFonts w:ascii="Times New Roman" w:hAnsi="Times New Roman"/>
          <w:b/>
          <w:sz w:val="20"/>
        </w:rPr>
        <w:t>A. Full descriptive statistics and correlations</w:t>
      </w:r>
    </w:p>
    <w:p>
      <w:pPr>
        <w:spacing w:line="276" w:lineRule="auto" w:before="0" w:after="80"/>
      </w:pPr>
      <w:r>
        <w:rPr>
          <w:rFonts w:ascii="Times New Roman" w:hAnsi="Times New Roman"/>
          <w:sz w:val="20"/>
        </w:rPr>
        <w:t>Tables S1-S3 provide the full matrices, including demographic variables. Table 1 in the main manuscript presents the focal-variable subsets.</w:t>
      </w:r>
    </w:p>
    <w:p>
      <w:pPr>
        <w:spacing w:after="60" w:before="240" w:line="276"/>
      </w:pPr>
      <w:r>
        <w:rPr>
          <w:rFonts w:ascii="Times New Roman" w:hAnsi="Times New Roman" w:eastAsia="Arial Unicode MS" w:cs="Times New Roman"/>
          <w:sz w:val="20"/>
        </w:rPr>
        <w:t>Table S1. Descriptive statistics and correlations, Study 1 (N = 272)</w:t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  <w:tblInd w:w="100" w:type="dxa"/>
      </w:tblPr>
      <w:tblGrid>
        <w:gridCol w:w="276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tblHeader w:val="true"/>
        </w:trPr>
        <w:tc>
          <w:tcPr>
            <w:tcW w:type="dxa" w:w="276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Variable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M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SD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1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2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3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4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5</w:t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>1. Perceived passenger invisibility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2.42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1.00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2. Psychological distress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1.99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0.67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.46***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3. Gender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−.08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−.16**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4. Age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34.36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8.52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.08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−.06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−.12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5. Monthly income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4.94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1.20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−.23***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−.12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−.14*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.03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</w:tr>
    </w:tbl>
    <w:p>
      <w:pPr>
        <w:spacing w:after="160" w:line="276"/>
      </w:pPr>
      <w:r>
        <w:rPr>
          <w:rFonts w:ascii="Times New Roman" w:hAnsi="Times New Roman" w:eastAsia="Arial Unicode MS" w:cs="Times New Roman"/>
          <w:sz w:val="20"/>
        </w:rPr>
        <w:t>Note. Gender: 1 = male, 2 = female. *p &lt; .05, **p &lt; .01, ***p &lt; .001.</w:t>
      </w:r>
    </w:p>
    <w:p>
      <w:pPr>
        <w:spacing w:after="60" w:before="240" w:line="276"/>
      </w:pPr>
      <w:r>
        <w:rPr>
          <w:rFonts w:ascii="Times New Roman" w:hAnsi="Times New Roman" w:eastAsia="Arial Unicode MS" w:cs="Times New Roman"/>
          <w:sz w:val="20"/>
        </w:rPr>
        <w:t>Table S2. Descriptive statistics and correlations, Study 2 (N = 338)</w:t>
      </w:r>
    </w:p>
    <w:tbl>
      <w:tblPr>
        <w:tblW w:type="dxa" w:w="93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  <w:tblInd w:w="100" w:type="dxa"/>
      </w:tblPr>
      <w:tblGrid>
        <w:gridCol w:w="276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blHeader w:val="true"/>
        </w:trPr>
        <w:tc>
          <w:tcPr>
            <w:tcW w:type="dxa" w:w="276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Variable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M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SD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1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2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3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4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5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6</w:t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>1. Perceived passenger invisibility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2.56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0.71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2. Need threat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2.26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0.62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.39***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3. Psychological distress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2.12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0.66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.48***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.62***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4. Gender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.02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.12*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.15**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5. Age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31.68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7.40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−.09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−.08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−.09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−.02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76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6. Monthly income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4.23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1.63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−.04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−.10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−.06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.20***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—</w:t>
            </w:r>
          </w:p>
        </w:tc>
      </w:tr>
    </w:tbl>
    <w:p>
      <w:pPr>
        <w:spacing w:after="160" w:line="276"/>
      </w:pPr>
      <w:r>
        <w:rPr>
          <w:rFonts w:ascii="Times New Roman" w:hAnsi="Times New Roman" w:eastAsia="Arial Unicode MS" w:cs="Times New Roman"/>
          <w:sz w:val="20"/>
        </w:rPr>
        <w:t>Note. Gender: 1 = male, 2 = female. *p &lt; .05, **p &lt; .01, ***p &lt; .001.</w:t>
      </w:r>
    </w:p>
    <w:p>
      <w:pPr>
        <w:spacing w:after="60" w:before="240" w:line="276"/>
      </w:pPr>
      <w:r>
        <w:rPr>
          <w:rFonts w:ascii="Times New Roman" w:hAnsi="Times New Roman" w:eastAsia="Arial Unicode MS" w:cs="Times New Roman"/>
          <w:sz w:val="20"/>
        </w:rPr>
        <w:t>Table S3. Descriptive statistics and correlations, Study 3 (N = 328)</w:t>
      </w:r>
    </w:p>
    <w:tbl>
      <w:tblPr>
        <w:tblW w:type="dxa" w:w="105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  <w:tblInd w:w="30" w:type="dxa"/>
      </w:tblPr>
      <w:tblGrid>
        <w:gridCol w:w="250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>
        <w:trPr>
          <w:tblHeader w:val="true"/>
        </w:trPr>
        <w:tc>
          <w:tcPr>
            <w:tcW w:type="dxa" w:w="25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Variable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M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SD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1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2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3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4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5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6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7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8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9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10</w:t>
            </w:r>
          </w:p>
        </w:tc>
        <w:tc>
          <w:tcPr>
            <w:tcW w:type="dxa" w:w="6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4"/>
                <w:szCs w:val="22"/>
              </w:rPr>
              <w:t xml:space="preserve">11</w:t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>1. Perceived passenger invisibility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5.94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0.82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2. Belonging threat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3.85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0.92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.37***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3. Self-esteem threat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3.47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0.82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.19***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.21***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Arial Unicode MS" w:cs="Times New Roman"/>
                <w:sz w:val="14"/>
              </w:rPr>
              <w:t>4. Meaningful-existence threat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3.61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0.89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.34***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.51***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.30***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5. Control threat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3.78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0.82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.19***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.23***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.68***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.39***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6. Confrontation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2.97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0.83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.22***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.13*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−.09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−.14*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7. Endurance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3.27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0.95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−.15**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−.13*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−.03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−.16**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−.44***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8. Constructive communication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4.16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0.78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−.03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−.12*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−.05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−.08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−.06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9. Gender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−.10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−.10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.03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−.14*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.13*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.05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10. Age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31.68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7.77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−.16**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−.08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−.004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−.03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−.11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.06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.13*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11. Monthly income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4.37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1.58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.01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.03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.01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.04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−.11*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−.09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−.07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−.10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.22***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30" w:type="dxa"/>
              <w:end w:w="3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4"/>
                <w:szCs w:val="22"/>
              </w:rPr>
              <w:t xml:space="preserve">—</w:t>
            </w:r>
          </w:p>
        </w:tc>
      </w:tr>
    </w:tbl>
    <w:p>
      <w:pPr>
        <w:spacing w:after="160" w:line="276"/>
      </w:pPr>
      <w:r>
        <w:rPr>
          <w:rFonts w:ascii="Times New Roman" w:hAnsi="Times New Roman" w:eastAsia="Arial Unicode MS" w:cs="Times New Roman"/>
          <w:sz w:val="20"/>
        </w:rPr>
        <w:t>Note. Perceived passenger invisibility was rated on a 7-point scale; other variables on 5-point scales. Gender: 1 = male, 2 = female. *p &lt; .05, **p &lt; .01, ***p &lt; .001.</w:t>
      </w:r>
    </w:p>
    <w:p/>
    <w:p>
      <w:pPr>
        <w:spacing w:after="60"/>
      </w:pPr>
      <w:r>
        <w:rPr>
          <w:rFonts w:ascii="Times New Roman" w:hAnsi="Times New Roman" w:eastAsia="Arial Unicode MS" w:cs="Times New Roman"/>
          <w:sz w:val="20"/>
        </w:rPr>
        <w:t>Study 3 note. Each participant rated all three vignettes. Ratings were averaged across vignettes to form participant-level scores, and the participant (N = 328) was the unit of analysis.</w:t>
      </w:r>
    </w:p>
    <w:p>
      <w:pPr>
        <w:spacing w:after="120" w:before="200" w:line="276" w:lineRule="auto"/>
      </w:pPr>
      <w:r>
        <w:rPr>
          <w:rFonts w:ascii="Times New Roman" w:hAnsi="Times New Roman"/>
          <w:sz w:val="20"/>
        </w:rPr>
        <w:t>B. Indirect-effect decompositions</w:t>
      </w:r>
    </w:p>
    <w:p>
      <w:pPr>
        <w:spacing w:after="60" w:before="240" w:line="276" w:lineRule="auto"/>
      </w:pPr>
      <w:r>
        <w:rPr>
          <w:rFonts w:ascii="Times New Roman" w:hAnsi="Times New Roman"/>
          <w:sz w:val="20"/>
        </w:rPr>
        <w:t>Table S4. Indirect-effect decomposition for perceived passenger invisibility, need threat, and psychological distress, Study 2 (N = 338)</w:t>
      </w:r>
    </w:p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  <w:tblInd w:w="100" w:type="dxa"/>
      </w:tblPr>
      <w:tblGrid>
        <w:gridCol w:w="2200"/>
        <w:gridCol w:w="1400"/>
        <w:gridCol w:w="1400"/>
        <w:gridCol w:w="1600"/>
        <w:gridCol w:w="1600"/>
        <w:gridCol w:w="1560"/>
      </w:tblGrid>
      <w:tr>
        <w:trPr>
          <w:tblHeader w:val="true"/>
        </w:trPr>
        <w:tc>
          <w:tcPr>
            <w:tcW w:type="dxa" w:w="22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Effect</w:t>
            </w:r>
          </w:p>
        </w:tc>
        <w:tc>
          <w:tcPr>
            <w:tcW w:type="dxa" w:w="14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Estimate</w:t>
            </w:r>
          </w:p>
        </w:tc>
        <w:tc>
          <w:tcPr>
            <w:tcW w:type="dxa" w:w="14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Boot SE</w:t>
            </w:r>
          </w:p>
        </w:tc>
        <w:tc>
          <w:tcPr>
            <w:tcW w:type="dxa" w:w="16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95% CI lower</w:t>
            </w:r>
          </w:p>
        </w:tc>
        <w:tc>
          <w:tcPr>
            <w:tcW w:type="dxa" w:w="16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95% CI upper</w:t>
            </w:r>
          </w:p>
        </w:tc>
        <w:tc>
          <w:tcPr>
            <w:tcW w:type="dxa" w:w="156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Proportion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Total effect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.45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.04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.36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.53</w:t>
            </w:r>
          </w:p>
        </w:tc>
        <w:tc>
          <w:tcPr>
            <w:tcW w:type="dxa" w:w="1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Direct effect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.27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.04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.19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.35</w:t>
            </w:r>
          </w:p>
        </w:tc>
        <w:tc>
          <w:tcPr>
            <w:tcW w:type="dxa" w:w="1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60.0%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Indirect effect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.18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.03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.12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.24</w:t>
            </w:r>
          </w:p>
        </w:tc>
        <w:tc>
          <w:tcPr>
            <w:tcW w:type="dxa" w:w="156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40.0%</w:t>
            </w:r>
          </w:p>
        </w:tc>
      </w:tr>
    </w:tbl>
    <w:p>
      <w:pPr>
        <w:spacing w:after="160" w:line="276"/>
      </w:pPr>
      <w:r>
        <w:rPr>
          <w:rFonts w:ascii="Times New Roman" w:hAnsi="Times New Roman" w:eastAsia="Arial Unicode MS" w:cs="Times New Roman"/>
          <w:sz w:val="20"/>
        </w:rPr>
        <w:t>Note. Covariate: gender. Bootstrap samples = 5,000.</w:t>
      </w:r>
    </w:p>
    <w:p>
      <w:pPr>
        <w:spacing w:after="60" w:before="240" w:line="276"/>
      </w:pPr>
      <w:r>
        <w:rPr>
          <w:rFonts w:ascii="Times New Roman" w:hAnsi="Times New Roman" w:eastAsia="Arial Unicode MS" w:cs="Times New Roman"/>
          <w:sz w:val="20"/>
        </w:rPr>
        <w:t>Table S5. Indirect-effect decomposition for perceived passenger invisibility, control threat, and confrontation, Study 3 (N = 328)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  <w:tblInd w:w="100" w:type="dxa"/>
      </w:tblPr>
      <w:tblGrid>
        <w:gridCol w:w="2600"/>
        <w:gridCol w:w="1600"/>
        <w:gridCol w:w="1600"/>
        <w:gridCol w:w="1800"/>
        <w:gridCol w:w="1760"/>
      </w:tblGrid>
      <w:tr>
        <w:trPr>
          <w:tblHeader w:val="true"/>
        </w:trPr>
        <w:tc>
          <w:tcPr>
            <w:tcW w:type="dxa" w:w="26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Effect</w:t>
            </w:r>
          </w:p>
        </w:tc>
        <w:tc>
          <w:tcPr>
            <w:tcW w:type="dxa" w:w="16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Estimate</w:t>
            </w:r>
          </w:p>
        </w:tc>
        <w:tc>
          <w:tcPr>
            <w:tcW w:type="dxa" w:w="16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Boot SE</w:t>
            </w:r>
          </w:p>
        </w:tc>
        <w:tc>
          <w:tcPr>
            <w:tcW w:type="dxa" w:w="18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95% CI lower</w:t>
            </w:r>
          </w:p>
        </w:tc>
        <w:tc>
          <w:tcPr>
            <w:tcW w:type="dxa" w:w="176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95% CI upper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Total effect (c)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.20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.06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.09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.31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Direct effect (c′)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.23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.06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.12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.34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Indirect effect (ab)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−.04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.02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−.07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−.01</w:t>
            </w:r>
          </w:p>
        </w:tc>
      </w:tr>
    </w:tbl>
    <w:p>
      <w:pPr>
        <w:spacing w:after="160" w:line="276" w:lineRule="auto"/>
      </w:pPr>
      <w:r>
        <w:rPr>
          <w:rFonts w:ascii="Times New Roman" w:hAnsi="Times New Roman"/>
          <w:sz w:val="20"/>
        </w:rPr>
        <w:t>Note. Covariates: gender, age, and monthly income. Because the direct and indirect effects have opposite signs, control threat acts as a suppressor rather than as a mediator (|ab/c′| = 15.1%). Bootstrap samples = 5,000.</w:t>
      </w:r>
    </w:p>
    <w:p>
      <w:pPr>
        <w:spacing w:after="60" w:before="240" w:line="276"/>
      </w:pPr>
      <w:r>
        <w:rPr>
          <w:rFonts w:ascii="Times New Roman" w:hAnsi="Times New Roman" w:eastAsia="Arial Unicode MS" w:cs="Times New Roman"/>
          <w:sz w:val="20"/>
        </w:rPr>
        <w:t>Table S6. Indirect-effect decomposition for perceived passenger invisibility, control threat, and endurance, Study 3 (N = 328)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  <w:tblInd w:w="100" w:type="dxa"/>
      </w:tblPr>
      <w:tblGrid>
        <w:gridCol w:w="2600"/>
        <w:gridCol w:w="1600"/>
        <w:gridCol w:w="1600"/>
        <w:gridCol w:w="1800"/>
        <w:gridCol w:w="1760"/>
      </w:tblGrid>
      <w:tr>
        <w:trPr>
          <w:tblHeader w:val="true"/>
        </w:trPr>
        <w:tc>
          <w:tcPr>
            <w:tcW w:type="dxa" w:w="26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Effect</w:t>
            </w:r>
          </w:p>
        </w:tc>
        <w:tc>
          <w:tcPr>
            <w:tcW w:type="dxa" w:w="16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Estimate</w:t>
            </w:r>
          </w:p>
        </w:tc>
        <w:tc>
          <w:tcPr>
            <w:tcW w:type="dxa" w:w="16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Boot SE</w:t>
            </w:r>
          </w:p>
        </w:tc>
        <w:tc>
          <w:tcPr>
            <w:tcW w:type="dxa" w:w="18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95% CI lower</w:t>
            </w:r>
          </w:p>
        </w:tc>
        <w:tc>
          <w:tcPr>
            <w:tcW w:type="dxa" w:w="176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/>
                <w:bCs/>
                <w:i w:val="false"/>
                <w:iCs w:val="false"/>
                <w:sz w:val="16"/>
                <w:szCs w:val="22"/>
              </w:rPr>
              <w:t xml:space="preserve">95% CI upper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Total effect (c)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−.15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.06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−.28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−.02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Direct effect (c′)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−.12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.07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−.24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.01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left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Indirect effect (ab)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−.03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.02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−.07</w:t>
            </w:r>
          </w:p>
        </w:tc>
        <w:tc>
          <w:tcPr>
            <w:tcW w:type="dxa" w:w="176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80"/>
              <w:start w:w="100" w:type="dxa"/>
              <w:end w:w="100" w:type="dxa"/>
            </w:tcMar>
          </w:tcPr>
          <w:p>
            <w:pPr>
              <w:spacing w:line="240" w:after="0" w:lineRule="auto"/>
              <w:jc w:val="center"/>
            </w:pPr>
            <w:r>
              <w:rPr>
                <w:rFonts w:ascii="Times New Roman" w:cs="Times New Roman" w:eastAsia="Arial Unicode MS" w:hAnsi="Times New Roman"/>
                <w:b w:val="false"/>
                <w:bCs w:val="false"/>
                <w:i w:val="false"/>
                <w:iCs w:val="false"/>
                <w:sz w:val="16"/>
                <w:szCs w:val="22"/>
              </w:rPr>
              <w:t xml:space="preserve">−.01</w:t>
            </w:r>
          </w:p>
        </w:tc>
      </w:tr>
    </w:tbl>
    <w:p>
      <w:pPr>
        <w:spacing w:after="160" w:line="276" w:lineRule="auto"/>
      </w:pPr>
      <w:r>
        <w:rPr>
          <w:rFonts w:ascii="Times New Roman" w:hAnsi="Times New Roman"/>
          <w:sz w:val="20"/>
        </w:rPr>
        <w:t>Note. Covariates: gender and age. The indirect effect was significant whereas the direct effect was not, a pattern consistent with full mediation. Because the design is cross-sectional, the model does not establish a causal or temporal sequence. Bootstrap samples = 5,000.</w:t>
      </w:r>
    </w:p>
    <w:p>
      <w:pPr>
        <w:spacing w:after="120" w:before="200" w:line="276"/>
      </w:pPr>
      <w:r>
        <w:rPr>
          <w:rFonts w:ascii="Times New Roman" w:hAnsi="Times New Roman" w:eastAsia="Arial Unicode MS" w:cs="Times New Roman"/>
          <w:sz w:val="20"/>
        </w:rPr>
        <w:t>C. Measurement instruments</w:t>
      </w:r>
    </w:p>
    <w:p>
      <w:pPr>
        <w:spacing w:after="120" w:line="276"/>
        <w:jc w:val="both"/>
      </w:pPr>
      <w:r>
        <w:rPr>
          <w:rFonts w:ascii="Times New Roman" w:hAnsi="Times New Roman" w:eastAsia="Arial Unicode MS" w:cs="Times New Roman"/>
          <w:sz w:val="20"/>
        </w:rPr>
        <w:t>All measures were administered in Chinese; English wording is provided here. The K10 was administered using the published Chinese version cited in the main manuscript. The need-threat items were adapted from Ren et al. (2016). The original Chinese-language materials are available from the authors for translation verification.</w:t>
      </w:r>
    </w:p>
    <w:p>
      <w:pPr>
        <w:spacing w:after="40" w:before="120" w:line="276"/>
      </w:pPr>
      <w:r>
        <w:rPr>
          <w:rFonts w:ascii="Times New Roman" w:hAnsi="Times New Roman" w:eastAsia="Arial Unicode MS" w:cs="Times New Roman"/>
          <w:sz w:val="20"/>
        </w:rPr>
        <w:t>C.1 Perceived Passenger Invisibility Scale (Study 1; 3 items)</w:t>
      </w:r>
    </w:p>
    <w:p>
      <w:pPr>
        <w:spacing w:after="40" w:line="276"/>
      </w:pPr>
      <w:r>
        <w:rPr>
          <w:rFonts w:ascii="Times New Roman" w:hAnsi="Times New Roman" w:eastAsia="Arial Unicode MS" w:cs="Times New Roman"/>
          <w:sz w:val="20"/>
        </w:rPr>
        <w:t>Response scale: 1 = never, 5 = always. Instruction: please indicate how often each situation has occurred in your work over the past month.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1. Passengers often ignore me.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2. Passengers often look right through me, as if I were invisible.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3. Passengers rarely notice me, to the point of forgetting that I am there.</w:t>
      </w:r>
    </w:p>
    <w:p>
      <w:pPr>
        <w:spacing w:after="40" w:before="120" w:line="276"/>
      </w:pPr>
      <w:r>
        <w:rPr>
          <w:rFonts w:ascii="Times New Roman" w:hAnsi="Times New Roman" w:eastAsia="Arial Unicode MS" w:cs="Times New Roman"/>
          <w:sz w:val="20"/>
        </w:rPr>
        <w:t>C.2 Kessler Psychological Distress Scale (K10; Studies 1 and 2; 10 items)</w:t>
      </w:r>
    </w:p>
    <w:p>
      <w:pPr>
        <w:spacing w:after="40" w:line="276"/>
      </w:pPr>
      <w:r>
        <w:rPr>
          <w:rFonts w:ascii="Times New Roman" w:hAnsi="Times New Roman" w:eastAsia="Arial Unicode MS" w:cs="Times New Roman"/>
          <w:sz w:val="20"/>
        </w:rPr>
        <w:t>Response scale: 1 = none of the time, 5 = all of the time. Instruction: during the past 30 days, about how often did you feel …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1. … tired out for no good reason?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2. … nervous?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3. … so nervous that nothing could calm you down?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4. … hopeless?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5. … restless or fidgety?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6. … so restless you could not sit still?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7. … depressed?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8. … that everything was an effort?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9. … so sad that nothing could cheer you up?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10. … worthless?</w:t>
      </w:r>
    </w:p>
    <w:p>
      <w:pPr>
        <w:spacing w:after="40" w:before="120" w:line="276"/>
      </w:pPr>
      <w:r>
        <w:rPr>
          <w:rFonts w:ascii="Times New Roman" w:hAnsi="Times New Roman" w:eastAsia="Arial Unicode MS" w:cs="Times New Roman"/>
          <w:sz w:val="20"/>
        </w:rPr>
        <w:t>C.3 Perceived Passenger Invisibility Questionnaire (Study 2; 8 items)</w:t>
      </w:r>
    </w:p>
    <w:p>
      <w:pPr>
        <w:spacing w:after="40" w:line="276"/>
      </w:pPr>
      <w:r>
        <w:rPr>
          <w:rFonts w:ascii="Times New Roman" w:hAnsi="Times New Roman" w:eastAsia="Arial Unicode MS" w:cs="Times New Roman"/>
          <w:sz w:val="20"/>
        </w:rPr>
        <w:t>Response scale: 1 = never, 5 = always. Instruction: please indicate how often each situation has occurred in your work over the past month.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1. Passengers are cold or indifferent in attitude during the ride.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2. Passengers ignore my reminders or show impatience.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3. Passengers show a disrespectful attitude toward me or my occupation.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4. Passengers do not take care of the in-car environment (e.g. eating or smoking).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5. Passengers arbitrarily change the drop-off point or the route.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6. When boarding, passengers do not proactively confirm the last digits of their phone number, or keep me waiting for a long time.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7. When I remind passengers to fasten their seatbelt or to be careful when getting out, they ignore me.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8. Passengers do not express any thanks for the services I provide (e.g. helping with luggage).</w:t>
      </w:r>
    </w:p>
    <w:p>
      <w:pPr>
        <w:spacing w:after="40" w:before="120" w:line="276"/>
      </w:pPr>
      <w:r>
        <w:rPr>
          <w:rFonts w:ascii="Times New Roman" w:hAnsi="Times New Roman" w:eastAsia="Arial Unicode MS" w:cs="Times New Roman"/>
          <w:sz w:val="20"/>
        </w:rPr>
        <w:t>C.4 Fundamental psychological need-threat scale (Study 2; 12 items; adapted from Ren et al., 2016)</w:t>
      </w:r>
    </w:p>
    <w:p>
      <w:pPr>
        <w:spacing w:after="40" w:line="276"/>
      </w:pPr>
      <w:r>
        <w:rPr>
          <w:rFonts w:ascii="Times New Roman" w:hAnsi="Times New Roman" w:eastAsia="Arial Unicode MS" w:cs="Times New Roman"/>
          <w:sz w:val="20"/>
        </w:rPr>
        <w:t>Response scale: 1 = strongly disagree, 5 = strongly agree. Higher total scores indicate greater need threat; items marked (R) are reverse-scored. Dimensions are shown for reference and were not labelled for participants.</w:t>
      </w:r>
    </w:p>
    <w:p>
      <w:pPr>
        <w:spacing w:after="20" w:before="60" w:line="276"/>
        <w:ind w:left="200"/>
      </w:pPr>
      <w:r>
        <w:rPr>
          <w:rFonts w:ascii="Times New Roman" w:hAnsi="Times New Roman" w:eastAsia="Arial Unicode MS" w:cs="Times New Roman"/>
          <w:sz w:val="20"/>
        </w:rPr>
        <w:t>Belonging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isolated.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rejected.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like an outsider.</w:t>
      </w:r>
    </w:p>
    <w:p>
      <w:pPr>
        <w:spacing w:after="20" w:before="60" w:line="276"/>
        <w:ind w:left="200"/>
      </w:pPr>
      <w:r>
        <w:rPr>
          <w:rFonts w:ascii="Times New Roman" w:hAnsi="Times New Roman" w:eastAsia="Arial Unicode MS" w:cs="Times New Roman"/>
          <w:sz w:val="20"/>
        </w:rPr>
        <w:t>Self-esteem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good about myself. (R)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have a high level of self-esteem. (R)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likeable. (R)</w:t>
      </w:r>
    </w:p>
    <w:p>
      <w:pPr>
        <w:spacing w:after="20" w:before="60" w:line="276"/>
        <w:ind w:left="200"/>
      </w:pPr>
      <w:r>
        <w:rPr>
          <w:rFonts w:ascii="Times New Roman" w:hAnsi="Times New Roman" w:eastAsia="Arial Unicode MS" w:cs="Times New Roman"/>
          <w:sz w:val="20"/>
        </w:rPr>
        <w:t>Meaningful existence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unnoticeable.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that my existence is meaningless.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that I have no sense of presence.</w:t>
      </w:r>
    </w:p>
    <w:p>
      <w:pPr>
        <w:spacing w:after="20" w:before="60" w:line="276"/>
        <w:ind w:left="200"/>
      </w:pPr>
      <w:r>
        <w:rPr>
          <w:rFonts w:ascii="Times New Roman" w:hAnsi="Times New Roman" w:eastAsia="Arial Unicode MS" w:cs="Times New Roman"/>
          <w:sz w:val="20"/>
        </w:rPr>
        <w:t>Control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powerful. (R)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in control of the interaction. (R)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– I feel outstanding. (R)</w:t>
      </w:r>
    </w:p>
    <w:p>
      <w:pPr>
        <w:spacing w:after="40" w:before="120" w:line="276"/>
      </w:pPr>
      <w:r>
        <w:rPr>
          <w:rFonts w:ascii="Times New Roman" w:hAnsi="Times New Roman" w:eastAsia="Arial Unicode MS" w:cs="Times New Roman"/>
          <w:sz w:val="20"/>
        </w:rPr>
        <w:t>C.5 Study 3 vignette materials (three scenarios rated by each participant)</w:t>
      </w:r>
    </w:p>
    <w:p>
      <w:pPr>
        <w:spacing w:after="40" w:line="276"/>
      </w:pPr>
      <w:r>
        <w:rPr>
          <w:rFonts w:ascii="Times New Roman" w:hAnsi="Times New Roman" w:eastAsia="Arial Unicode MS" w:cs="Times New Roman"/>
          <w:sz w:val="20"/>
        </w:rPr>
        <w:t>For each vignette, participants imagined themselves as the driver and then completed an attention-check item, a perceived-invisibility item (1 = not at all, 7 = strongly), four need-threat items (1 = strongly disagree, 5 = strongly agree; belonging and meaning positively scored, self-esteem and control reverse-scored), and three behavioral-response items (1 = strongly disagree, 5 = strongly agree). The need-threat items in each scenario were: “If you were this driver, would you feel that you were like an outsider? / that you were likeable? (R) / that you were unnoticeable? / that you were outstanding? (R)”.</w:t>
      </w:r>
    </w:p>
    <w:p>
      <w:pPr>
        <w:spacing w:after="40" w:before="120" w:line="276"/>
      </w:pPr>
      <w:r>
        <w:rPr>
          <w:rFonts w:ascii="Times New Roman" w:hAnsi="Times New Roman" w:eastAsia="Arial Unicode MS" w:cs="Times New Roman"/>
          <w:sz w:val="20"/>
        </w:rPr>
        <w:t>Vignette 1 (in-car environment)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Mr Li is a ride-hailing driver who has driven for three years and takes great care of his car, cleaning it thoroughly every day. One evening he receives an order; when he arrives at the pick-up point, two young passengers come out of a KTV, one holding a half-finished cup of bubble tea. After getting in, the passenger laughs loudly with a friend while shaking the cup. Through the rear-view mirror, Mr Li sees some tea spill onto the back seat. Just as he is about to say something, the passenger casually wipes it with a hand and keeps chatting.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Attention check: How did the passenger react after the tea spilled? (a) apologized and cleaned it immediately; (b) wiped it with a hand and kept chatting; (c) did not notice.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Behavioural responses — Confrontation: “Stop the car and ask the passenger to pay a cleaning fee.” Endurance: “To avoid trouble, silently put up with it and clean up yourself after the passenger leaves.” Constructive communication: “Tactfully remind the passenger not to drink in the car, or hand over a tissue/wet wipe.”</w:t>
      </w:r>
    </w:p>
    <w:p>
      <w:pPr>
        <w:spacing w:after="40" w:before="120" w:line="276"/>
      </w:pPr>
      <w:r>
        <w:rPr>
          <w:rFonts w:ascii="Times New Roman" w:hAnsi="Times New Roman" w:eastAsia="Arial Unicode MS" w:cs="Times New Roman"/>
          <w:sz w:val="20"/>
        </w:rPr>
        <w:t>Vignette 2 (disrespect toward the occupation)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Lao Zhang is an experienced ride-hailing driver; the morning and evening rush hours are his busiest times. On a winter morning he receives an order to the city centre. The passenger, a smartly dressed young man, seems agitated as soon as he gets in, repeatedly checking his watch with an impatient look, and begins a loud, hurried phone call about work. Lao Zhang notices that the passenger repeatedly mentions “ride-hailing” with a hint of contempt—saying things like “No choice, I had to take a ride-hail” and “This lousy ride-hail is so slow.” Although the passenger does not address these remarks to Lao Zhang directly, they reach his ears clearly.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Attention check: What was the passenger’s attitude toward “ride-hailing” on the phone? (a) grateful; (b) contemptuous; (c) indifferent.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Behavioural responses — Confrontation: “At an appropriate moment, respond in a firm tone to express dissatisfaction with such disrespectful remarks.” Endurance: “Stay silent and keep driving, trying to ignore the passenger’s remarks.” Constructive communication: “After arriving, talk with the passenger in a calm tone, hoping they will show more understanding and respect for the ride-hailing profession.”</w:t>
      </w:r>
    </w:p>
    <w:p>
      <w:pPr>
        <w:spacing w:after="40" w:before="120" w:line="276"/>
      </w:pPr>
      <w:r>
        <w:rPr>
          <w:rFonts w:ascii="Times New Roman" w:hAnsi="Times New Roman" w:eastAsia="Arial Unicode MS" w:cs="Times New Roman"/>
          <w:sz w:val="20"/>
        </w:rPr>
        <w:t>Vignette 3 (ignored safety reminder)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A Qiang is a young ride-hailing driver who likes to earn money by driving at night. On a weekend night he picks up an intoxicated passenger who sways and slurs his speech. For safety, A Qiang reminds the passenger to fasten the seatbelt, but the passenger impatiently waves a hand and does nothing. A Qiang repeats the reminder several times; the passenger remains unresponsive and even closes his eyes, ignoring A Qiang altogether.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Attention check: How did the passenger respond to A Qiang’s reminder? (a) fastened the seatbelt immediately; (b) waved a hand to indicate it was unnecessary; (c) argued angrily.</w:t>
      </w:r>
    </w:p>
    <w:p>
      <w:pPr>
        <w:spacing w:after="40" w:line="276"/>
        <w:ind w:left="360"/>
      </w:pPr>
      <w:r>
        <w:rPr>
          <w:rFonts w:ascii="Times New Roman" w:hAnsi="Times New Roman" w:eastAsia="Arial Unicode MS" w:cs="Times New Roman"/>
          <w:sz w:val="20"/>
        </w:rPr>
        <w:t>Behavioural responses — Confrontation: “Insist that the passenger fasten the seatbelt, and refuse the ride if the passenger still refuses.” Endurance: “Worried that a conflict with a drunk passenger could cause trouble, reluctantly keep driving while feeling uneasy.” Constructive communication: “Patiently communicate with the passenger while slowing down to reduce the safety risk.”</w:t>
      </w:r>
    </w:p>
    <w:p>
      <w:pPr>
        <w:keepNext/>
        <w:spacing w:line="276" w:lineRule="auto" w:before="200" w:after="120"/>
      </w:pPr>
      <w:r>
        <w:rPr>
          <w:rFonts w:ascii="Times New Roman" w:hAnsi="Times New Roman"/>
          <w:b/>
          <w:sz w:val="20"/>
        </w:rPr>
        <w:t>D. Indirect-effect diagrams</w:t>
      </w:r>
    </w:p>
    <w:p>
      <w:pPr>
        <w:keepNext/>
        <w:spacing w:line="240" w:lineRule="auto"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3290316"/>
            <wp:docPr id="1" name="Picture 1" descr="Two exploratory Study 3 indirect-effect diagrams. Panel A shows a positive direct association with confrontation and a negative indirect association through control threat. Panel B shows a negative indirect association with endurance and a conditional direct-effect confidence interval that includes zer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casp_figureS1_study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90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line="276" w:lineRule="auto" w:before="0" w:after="120"/>
      </w:pPr>
      <w:r>
        <w:rPr>
          <w:rFonts w:ascii="Times New Roman" w:hAnsi="Times New Roman"/>
          <w:b/>
          <w:sz w:val="20"/>
        </w:rPr>
        <w:t>Figure S1. Person-level indirect-effect models through control threat (Study 3). Note. Panel A concerns confrontation; Panel B concerns endurance. Values are unstandardized coefficients. The dashed direct path in Panel B indicates that its 95% CI included zero. Indirect effects were estimated with 5,000 bootstrap samples. Covariates were gender, age, and monthly income in Panel A and gender and age in Panel B; covariates are not shown. Perceived passenger invisibility and control threat were rated after the same vignettes and averaged across scenarios.</w:t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i/>
          <w:sz w:val="20"/>
        </w:rPr>
      </w:r>
      <w:r>
        <w:rPr>
          <w:rFonts w:ascii="Times New Roman" w:hAnsi="Times New Roman"/>
          <w:sz w:val="20"/>
        </w:rPr>
      </w:r>
    </w:p>
    <w:sectPr>
      <w:footerReference w:type="default" r:id="rId12"/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Arial Unicode MS" w:cs="Times New Roman"/>
        <w:sz w:val="20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image" Target="media/48ad407c484d5171476f32b1743ea9ddfd34a804.png"/><Relationship Id="rId8" Type="http://schemas.openxmlformats.org/officeDocument/2006/relationships/image" Target="media/7608a66a270b9fc9c48564677820804e112334a7.png"/><Relationship Id="rId9" Type="http://schemas.openxmlformats.org/officeDocument/2006/relationships/image" Target="media/729fe38731458e9780d41bea85866529d38b4c06.png"/><Relationship Id="rId10" Type="http://schemas.openxmlformats.org/officeDocument/2006/relationships/image" Target="media/eb1670455e471fb865376b522d997fb819b73464.png"/><Relationship Id="rId11" Type="http://schemas.openxmlformats.org/officeDocument/2006/relationships/fontTable" Target="fontTable.xml"/><Relationship Id="rId12" Type="http://schemas.openxmlformats.org/officeDocument/2006/relationships/footer" Target="footer1.xml"/><Relationship Id="rId13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2026-07-01T02:11:32.069Z</dcterms:created>
  <dcterms:modified xsi:type="dcterms:W3CDTF">2026-07-01T02:11:32.069Z</dcterms:modified>
  <dc:title>Supplementary Material for Passenger-Sourced Interpersonal Invisibility and Psychological Distress Among Ride-Hailing Drivers: Three Studies in China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