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5D371" w14:textId="77777777" w:rsidR="000A606D" w:rsidRPr="00B72AC6" w:rsidRDefault="00B72AC6">
      <w:pPr>
        <w:spacing w:after="60"/>
        <w:jc w:val="center"/>
      </w:pPr>
      <w:r w:rsidRPr="00B72AC6">
        <w:rPr>
          <w:rFonts w:eastAsia="Times New Roman"/>
          <w:b/>
          <w:bCs/>
          <w:sz w:val="30"/>
          <w:szCs w:val="30"/>
        </w:rPr>
        <w:t>Supplementary Information</w:t>
      </w:r>
    </w:p>
    <w:p w14:paraId="256D8A6B" w14:textId="77777777" w:rsidR="000A606D" w:rsidRPr="00B72AC6" w:rsidRDefault="00B72AC6">
      <w:pPr>
        <w:spacing w:after="220"/>
        <w:jc w:val="center"/>
      </w:pPr>
      <w:r w:rsidRPr="00B72AC6">
        <w:rPr>
          <w:rFonts w:eastAsia="Times New Roman"/>
          <w:i/>
          <w:iCs/>
          <w:sz w:val="20"/>
          <w:szCs w:val="20"/>
        </w:rPr>
        <w:t>Governing low-altitude security: a comparative analysis of the safety–security nexus in unmanned aircraft governance across the United States, the European Union and Singapore</w:t>
      </w:r>
    </w:p>
    <w:p w14:paraId="7663E1B7" w14:textId="77777777" w:rsidR="000A606D" w:rsidRPr="00B72AC6" w:rsidRDefault="00B72AC6">
      <w:pPr>
        <w:spacing w:after="120" w:line="340" w:lineRule="auto"/>
        <w:jc w:val="both"/>
      </w:pPr>
      <w:r w:rsidRPr="00B72AC6">
        <w:rPr>
          <w:rFonts w:eastAsia="Times New Roman"/>
        </w:rPr>
        <w:t>This Supplementary Information provides the analytical corpus and the coding framework underpinning the qualitative comparative analysis reported in the article. It is intended to enable editors and referees to assess the documentary basis and coding logic of the study.</w:t>
      </w:r>
    </w:p>
    <w:p w14:paraId="70D7282E" w14:textId="77777777" w:rsidR="000A606D" w:rsidRPr="00B72AC6" w:rsidRDefault="00B72AC6">
      <w:pPr>
        <w:pStyle w:val="1"/>
        <w:spacing w:before="240" w:after="120"/>
        <w:rPr>
          <w:color w:val="auto"/>
        </w:rPr>
      </w:pPr>
      <w:r w:rsidRPr="00B72AC6">
        <w:rPr>
          <w:rFonts w:eastAsia="Times New Roman"/>
          <w:b/>
          <w:bCs/>
          <w:color w:val="auto"/>
          <w:sz w:val="26"/>
          <w:szCs w:val="26"/>
        </w:rPr>
        <w:t>Supplementary Note 1. Coding framework</w:t>
      </w:r>
    </w:p>
    <w:p w14:paraId="092D72E9" w14:textId="77777777" w:rsidR="000A606D" w:rsidRPr="00B72AC6" w:rsidRDefault="00B72AC6">
      <w:pPr>
        <w:spacing w:after="120" w:line="340" w:lineRule="auto"/>
        <w:jc w:val="both"/>
      </w:pPr>
      <w:r w:rsidRPr="00B72AC6">
        <w:rPr>
          <w:rFonts w:eastAsia="Times New Roman"/>
        </w:rPr>
        <w:t xml:space="preserve">Documents were coded deductively against the three analytical dimensions of the institution–technology–ideation framework and their sub-components, and inductively for additional governance elements. The coding scheme is </w:t>
      </w:r>
      <w:proofErr w:type="spellStart"/>
      <w:r w:rsidRPr="00B72AC6">
        <w:rPr>
          <w:rFonts w:eastAsia="Times New Roman"/>
        </w:rPr>
        <w:t>summarised</w:t>
      </w:r>
      <w:proofErr w:type="spellEnd"/>
      <w:r w:rsidRPr="00B72AC6">
        <w:rPr>
          <w:rFonts w:eastAsia="Times New Roman"/>
        </w:rPr>
        <w:t xml:space="preserve"> below.</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6600"/>
      </w:tblGrid>
      <w:tr w:rsidR="00B72AC6" w:rsidRPr="00B72AC6" w14:paraId="3424A649" w14:textId="77777777">
        <w:tblPrEx>
          <w:tblCellMar>
            <w:top w:w="0" w:type="dxa"/>
            <w:bottom w:w="0" w:type="dxa"/>
          </w:tblCellMar>
        </w:tblPrEx>
        <w:trPr>
          <w:tblHeader/>
        </w:trPr>
        <w:tc>
          <w:tcPr>
            <w:tcW w:w="2400" w:type="dxa"/>
            <w:shd w:val="clear" w:color="auto" w:fill="E8E8E8"/>
            <w:tcMar>
              <w:top w:w="60" w:type="dxa"/>
              <w:left w:w="100" w:type="dxa"/>
              <w:bottom w:w="60" w:type="dxa"/>
              <w:right w:w="100" w:type="dxa"/>
            </w:tcMar>
          </w:tcPr>
          <w:p w14:paraId="2F9E1469" w14:textId="77777777" w:rsidR="000A606D" w:rsidRPr="00B72AC6" w:rsidRDefault="00B72AC6">
            <w:pPr>
              <w:spacing w:line="280" w:lineRule="auto"/>
            </w:pPr>
            <w:r w:rsidRPr="00B72AC6">
              <w:rPr>
                <w:rFonts w:eastAsia="Times New Roman"/>
                <w:b/>
                <w:bCs/>
                <w:sz w:val="20"/>
                <w:szCs w:val="20"/>
              </w:rPr>
              <w:t>Dimension</w:t>
            </w:r>
          </w:p>
        </w:tc>
        <w:tc>
          <w:tcPr>
            <w:tcW w:w="6600" w:type="dxa"/>
            <w:shd w:val="clear" w:color="auto" w:fill="E8E8E8"/>
            <w:tcMar>
              <w:top w:w="60" w:type="dxa"/>
              <w:left w:w="100" w:type="dxa"/>
              <w:bottom w:w="60" w:type="dxa"/>
              <w:right w:w="100" w:type="dxa"/>
            </w:tcMar>
          </w:tcPr>
          <w:p w14:paraId="5E81C9B9" w14:textId="77777777" w:rsidR="000A606D" w:rsidRPr="00B72AC6" w:rsidRDefault="00B72AC6">
            <w:pPr>
              <w:spacing w:line="280" w:lineRule="auto"/>
            </w:pPr>
            <w:r w:rsidRPr="00B72AC6">
              <w:rPr>
                <w:rFonts w:eastAsia="Times New Roman"/>
                <w:b/>
                <w:bCs/>
                <w:sz w:val="20"/>
                <w:szCs w:val="20"/>
              </w:rPr>
              <w:t>Sub-components coded</w:t>
            </w:r>
          </w:p>
        </w:tc>
      </w:tr>
      <w:tr w:rsidR="00B72AC6" w:rsidRPr="00B72AC6" w14:paraId="46351A6F" w14:textId="77777777">
        <w:tblPrEx>
          <w:tblCellMar>
            <w:top w:w="0" w:type="dxa"/>
            <w:bottom w:w="0" w:type="dxa"/>
          </w:tblCellMar>
        </w:tblPrEx>
        <w:tc>
          <w:tcPr>
            <w:tcW w:w="2400" w:type="dxa"/>
            <w:tcMar>
              <w:top w:w="60" w:type="dxa"/>
              <w:left w:w="100" w:type="dxa"/>
              <w:bottom w:w="60" w:type="dxa"/>
              <w:right w:w="100" w:type="dxa"/>
            </w:tcMar>
          </w:tcPr>
          <w:p w14:paraId="7D0BFD75" w14:textId="77777777" w:rsidR="000A606D" w:rsidRPr="00B72AC6" w:rsidRDefault="00B72AC6">
            <w:pPr>
              <w:spacing w:line="280" w:lineRule="auto"/>
            </w:pPr>
            <w:r w:rsidRPr="00B72AC6">
              <w:rPr>
                <w:rFonts w:eastAsia="Times New Roman"/>
                <w:sz w:val="20"/>
                <w:szCs w:val="20"/>
              </w:rPr>
              <w:t>Institution</w:t>
            </w:r>
          </w:p>
        </w:tc>
        <w:tc>
          <w:tcPr>
            <w:tcW w:w="6600" w:type="dxa"/>
            <w:tcMar>
              <w:top w:w="60" w:type="dxa"/>
              <w:left w:w="100" w:type="dxa"/>
              <w:bottom w:w="60" w:type="dxa"/>
              <w:right w:w="100" w:type="dxa"/>
            </w:tcMar>
          </w:tcPr>
          <w:p w14:paraId="50076185" w14:textId="77777777" w:rsidR="000A606D" w:rsidRPr="00B72AC6" w:rsidRDefault="00B72AC6">
            <w:pPr>
              <w:spacing w:line="280" w:lineRule="auto"/>
            </w:pPr>
            <w:r w:rsidRPr="00B72AC6">
              <w:rPr>
                <w:rFonts w:eastAsia="Times New Roman"/>
                <w:sz w:val="20"/>
                <w:szCs w:val="20"/>
              </w:rPr>
              <w:t>Mode of legislation (dedicated statute vs. provisions grafted onto existing aviation law); allocation of competence (concentrated vs. dispersed); coordination mechanisms (central–local, civil–military, public–private).</w:t>
            </w:r>
          </w:p>
        </w:tc>
      </w:tr>
      <w:tr w:rsidR="00B72AC6" w:rsidRPr="00B72AC6" w14:paraId="69DE8F0A" w14:textId="77777777">
        <w:tblPrEx>
          <w:tblCellMar>
            <w:top w:w="0" w:type="dxa"/>
            <w:bottom w:w="0" w:type="dxa"/>
          </w:tblCellMar>
        </w:tblPrEx>
        <w:tc>
          <w:tcPr>
            <w:tcW w:w="2400" w:type="dxa"/>
            <w:tcMar>
              <w:top w:w="60" w:type="dxa"/>
              <w:left w:w="100" w:type="dxa"/>
              <w:bottom w:w="60" w:type="dxa"/>
              <w:right w:w="100" w:type="dxa"/>
            </w:tcMar>
          </w:tcPr>
          <w:p w14:paraId="7E43FC79" w14:textId="77777777" w:rsidR="000A606D" w:rsidRPr="00B72AC6" w:rsidRDefault="00B72AC6">
            <w:pPr>
              <w:spacing w:line="280" w:lineRule="auto"/>
            </w:pPr>
            <w:r w:rsidRPr="00B72AC6">
              <w:rPr>
                <w:rFonts w:eastAsia="Times New Roman"/>
                <w:sz w:val="20"/>
                <w:szCs w:val="20"/>
              </w:rPr>
              <w:t>Technology</w:t>
            </w:r>
          </w:p>
        </w:tc>
        <w:tc>
          <w:tcPr>
            <w:tcW w:w="6600" w:type="dxa"/>
            <w:tcMar>
              <w:top w:w="60" w:type="dxa"/>
              <w:left w:w="100" w:type="dxa"/>
              <w:bottom w:w="60" w:type="dxa"/>
              <w:right w:w="100" w:type="dxa"/>
            </w:tcMar>
          </w:tcPr>
          <w:p w14:paraId="11399A3B" w14:textId="77777777" w:rsidR="000A606D" w:rsidRPr="00B72AC6" w:rsidRDefault="00B72AC6">
            <w:pPr>
              <w:spacing w:line="280" w:lineRule="auto"/>
            </w:pPr>
            <w:r w:rsidRPr="00B72AC6">
              <w:rPr>
                <w:rFonts w:eastAsia="Times New Roman"/>
                <w:sz w:val="20"/>
                <w:szCs w:val="20"/>
              </w:rPr>
              <w:t>Digital airspace management (UTM / U-space / integrated national platform); remote identification of aircraft; detection of and response to non-cooperative targets.</w:t>
            </w:r>
          </w:p>
        </w:tc>
      </w:tr>
      <w:tr w:rsidR="00B72AC6" w:rsidRPr="00B72AC6" w14:paraId="374A8539" w14:textId="77777777">
        <w:tblPrEx>
          <w:tblCellMar>
            <w:top w:w="0" w:type="dxa"/>
            <w:bottom w:w="0" w:type="dxa"/>
          </w:tblCellMar>
        </w:tblPrEx>
        <w:tc>
          <w:tcPr>
            <w:tcW w:w="2400" w:type="dxa"/>
            <w:tcMar>
              <w:top w:w="60" w:type="dxa"/>
              <w:left w:w="100" w:type="dxa"/>
              <w:bottom w:w="60" w:type="dxa"/>
              <w:right w:w="100" w:type="dxa"/>
            </w:tcMar>
          </w:tcPr>
          <w:p w14:paraId="1A226906" w14:textId="77777777" w:rsidR="000A606D" w:rsidRPr="00B72AC6" w:rsidRDefault="00B72AC6">
            <w:pPr>
              <w:spacing w:line="280" w:lineRule="auto"/>
            </w:pPr>
            <w:r w:rsidRPr="00B72AC6">
              <w:rPr>
                <w:rFonts w:eastAsia="Times New Roman"/>
                <w:sz w:val="20"/>
                <w:szCs w:val="20"/>
              </w:rPr>
              <w:t>Ideation</w:t>
            </w:r>
          </w:p>
        </w:tc>
        <w:tc>
          <w:tcPr>
            <w:tcW w:w="6600" w:type="dxa"/>
            <w:tcMar>
              <w:top w:w="60" w:type="dxa"/>
              <w:left w:w="100" w:type="dxa"/>
              <w:bottom w:w="60" w:type="dxa"/>
              <w:right w:w="100" w:type="dxa"/>
            </w:tcMar>
          </w:tcPr>
          <w:p w14:paraId="3523BE5B" w14:textId="77777777" w:rsidR="000A606D" w:rsidRPr="00B72AC6" w:rsidRDefault="00B72AC6">
            <w:pPr>
              <w:spacing w:line="280" w:lineRule="auto"/>
            </w:pPr>
            <w:r w:rsidRPr="00B72AC6">
              <w:rPr>
                <w:rFonts w:eastAsia="Times New Roman"/>
                <w:sz w:val="20"/>
                <w:szCs w:val="20"/>
              </w:rPr>
              <w:t>Ordering of development and security; degree of integration of operational and public safety; resolution of the openness–control tension.</w:t>
            </w:r>
          </w:p>
        </w:tc>
      </w:tr>
      <w:tr w:rsidR="00B72AC6" w:rsidRPr="00B72AC6" w14:paraId="32B53061" w14:textId="77777777">
        <w:tblPrEx>
          <w:tblCellMar>
            <w:top w:w="0" w:type="dxa"/>
            <w:bottom w:w="0" w:type="dxa"/>
          </w:tblCellMar>
        </w:tblPrEx>
        <w:tc>
          <w:tcPr>
            <w:tcW w:w="2400" w:type="dxa"/>
            <w:tcMar>
              <w:top w:w="60" w:type="dxa"/>
              <w:left w:w="100" w:type="dxa"/>
              <w:bottom w:w="60" w:type="dxa"/>
              <w:right w:w="100" w:type="dxa"/>
            </w:tcMar>
          </w:tcPr>
          <w:p w14:paraId="40E59F38" w14:textId="77777777" w:rsidR="000A606D" w:rsidRPr="00B72AC6" w:rsidRDefault="00B72AC6">
            <w:pPr>
              <w:spacing w:line="280" w:lineRule="auto"/>
            </w:pPr>
            <w:r w:rsidRPr="00B72AC6">
              <w:rPr>
                <w:rFonts w:eastAsia="Times New Roman"/>
                <w:sz w:val="20"/>
                <w:szCs w:val="20"/>
              </w:rPr>
              <w:t>Inductive codes</w:t>
            </w:r>
          </w:p>
        </w:tc>
        <w:tc>
          <w:tcPr>
            <w:tcW w:w="6600" w:type="dxa"/>
            <w:tcMar>
              <w:top w:w="60" w:type="dxa"/>
              <w:left w:w="100" w:type="dxa"/>
              <w:bottom w:w="60" w:type="dxa"/>
              <w:right w:w="100" w:type="dxa"/>
            </w:tcMar>
          </w:tcPr>
          <w:p w14:paraId="4419F412" w14:textId="77777777" w:rsidR="000A606D" w:rsidRPr="00B72AC6" w:rsidRDefault="00B72AC6">
            <w:pPr>
              <w:spacing w:line="280" w:lineRule="auto"/>
            </w:pPr>
            <w:r w:rsidRPr="00B72AC6">
              <w:rPr>
                <w:rFonts w:eastAsia="Times New Roman"/>
                <w:sz w:val="20"/>
                <w:szCs w:val="20"/>
              </w:rPr>
              <w:t xml:space="preserve">Risk-based tiered </w:t>
            </w:r>
            <w:proofErr w:type="spellStart"/>
            <w:r w:rsidRPr="00B72AC6">
              <w:rPr>
                <w:rFonts w:eastAsia="Times New Roman"/>
                <w:sz w:val="20"/>
                <w:szCs w:val="20"/>
              </w:rPr>
              <w:t>authorisation</w:t>
            </w:r>
            <w:proofErr w:type="spellEnd"/>
            <w:r w:rsidRPr="00B72AC6">
              <w:rPr>
                <w:rFonts w:eastAsia="Times New Roman"/>
                <w:sz w:val="20"/>
                <w:szCs w:val="20"/>
              </w:rPr>
              <w:t>; supply-chain security; critical-infrastructure protection; detection–response authority gap; civil–military / market–</w:t>
            </w:r>
            <w:proofErr w:type="spellStart"/>
            <w:r w:rsidRPr="00B72AC6">
              <w:rPr>
                <w:rFonts w:eastAsia="Times New Roman"/>
                <w:sz w:val="20"/>
                <w:szCs w:val="20"/>
              </w:rPr>
              <w:t>defence</w:t>
            </w:r>
            <w:proofErr w:type="spellEnd"/>
            <w:r w:rsidRPr="00B72AC6">
              <w:rPr>
                <w:rFonts w:eastAsia="Times New Roman"/>
                <w:sz w:val="20"/>
                <w:szCs w:val="20"/>
              </w:rPr>
              <w:t xml:space="preserve"> seam.</w:t>
            </w:r>
          </w:p>
        </w:tc>
      </w:tr>
    </w:tbl>
    <w:p w14:paraId="6C0DCAE8" w14:textId="77777777" w:rsidR="000A606D" w:rsidRPr="00B72AC6" w:rsidRDefault="000A606D">
      <w:pPr>
        <w:spacing w:after="120"/>
      </w:pPr>
    </w:p>
    <w:p w14:paraId="682E2608" w14:textId="77777777" w:rsidR="000A606D" w:rsidRPr="00B72AC6" w:rsidRDefault="00B72AC6">
      <w:pPr>
        <w:pStyle w:val="1"/>
        <w:spacing w:before="240" w:after="120"/>
        <w:rPr>
          <w:color w:val="auto"/>
        </w:rPr>
      </w:pPr>
      <w:r w:rsidRPr="00B72AC6">
        <w:rPr>
          <w:rFonts w:eastAsia="Times New Roman"/>
          <w:b/>
          <w:bCs/>
          <w:color w:val="auto"/>
          <w:sz w:val="26"/>
          <w:szCs w:val="26"/>
        </w:rPr>
        <w:t>Supplementary Note 2. Analytical corpus</w:t>
      </w:r>
    </w:p>
    <w:p w14:paraId="4D75F592" w14:textId="77777777" w:rsidR="000A606D" w:rsidRPr="00B72AC6" w:rsidRDefault="00B72AC6">
      <w:pPr>
        <w:spacing w:after="120" w:line="340" w:lineRule="auto"/>
        <w:jc w:val="both"/>
      </w:pPr>
      <w:r w:rsidRPr="00B72AC6">
        <w:rPr>
          <w:rFonts w:eastAsia="Times New Roman"/>
        </w:rPr>
        <w:t>The corpus comprises publicly available primary policy and regulatory documents in force at the time of analysis. Secondary literature was consulted only for contextual interpretation and does not form part of the analytical corpus.</w:t>
      </w:r>
    </w:p>
    <w:p w14:paraId="415AB4C3" w14:textId="77777777" w:rsidR="000A606D" w:rsidRPr="00B72AC6" w:rsidRDefault="00B72AC6">
      <w:pPr>
        <w:pStyle w:val="2"/>
        <w:spacing w:before="180" w:after="90"/>
        <w:rPr>
          <w:color w:val="auto"/>
        </w:rPr>
      </w:pPr>
      <w:r w:rsidRPr="00B72AC6">
        <w:rPr>
          <w:rFonts w:eastAsia="Times New Roman"/>
          <w:b/>
          <w:bCs/>
          <w:i/>
          <w:iCs/>
          <w:color w:val="auto"/>
          <w:sz w:val="23"/>
          <w:szCs w:val="23"/>
        </w:rPr>
        <w:t>United States</w:t>
      </w:r>
    </w:p>
    <w:p w14:paraId="4FD564B2" w14:textId="77777777" w:rsidR="000A606D" w:rsidRPr="00B72AC6" w:rsidRDefault="00B72AC6">
      <w:pPr>
        <w:spacing w:after="40" w:line="340" w:lineRule="auto"/>
        <w:jc w:val="both"/>
      </w:pPr>
      <w:r w:rsidRPr="00B72AC6">
        <w:rPr>
          <w:rFonts w:eastAsia="Times New Roman"/>
        </w:rPr>
        <w:t>• Executive Order 14305, “Restoring American Airspace Sovereignty” (2025).</w:t>
      </w:r>
    </w:p>
    <w:p w14:paraId="4884E1EC" w14:textId="77777777" w:rsidR="000A606D" w:rsidRPr="00B72AC6" w:rsidRDefault="00B72AC6">
      <w:pPr>
        <w:spacing w:after="40" w:line="340" w:lineRule="auto"/>
        <w:jc w:val="both"/>
      </w:pPr>
      <w:r w:rsidRPr="00B72AC6">
        <w:rPr>
          <w:rFonts w:eastAsia="Times New Roman"/>
        </w:rPr>
        <w:t>• Executive Order 14307, “Unleashing American Drone Dominance” (2025).</w:t>
      </w:r>
    </w:p>
    <w:p w14:paraId="2CDBEBBC" w14:textId="77777777" w:rsidR="000A606D" w:rsidRPr="00B72AC6" w:rsidRDefault="00B72AC6">
      <w:pPr>
        <w:spacing w:after="40" w:line="340" w:lineRule="auto"/>
        <w:jc w:val="both"/>
      </w:pPr>
      <w:r w:rsidRPr="00B72AC6">
        <w:rPr>
          <w:rFonts w:eastAsia="Times New Roman"/>
        </w:rPr>
        <w:t>• FAA, Notice of Proposed Rulemaking, Part 108 (Normalizing BVLOS Operations) (2025).</w:t>
      </w:r>
    </w:p>
    <w:p w14:paraId="0BEF4C57" w14:textId="77777777" w:rsidR="000A606D" w:rsidRPr="00B72AC6" w:rsidRDefault="00B72AC6">
      <w:pPr>
        <w:spacing w:after="40" w:line="340" w:lineRule="auto"/>
        <w:jc w:val="both"/>
      </w:pPr>
      <w:r w:rsidRPr="00B72AC6">
        <w:rPr>
          <w:rFonts w:eastAsia="Times New Roman"/>
        </w:rPr>
        <w:t>• FAA Extension, Safety, and Security Act of 2016, §2209.</w:t>
      </w:r>
    </w:p>
    <w:p w14:paraId="76504C31" w14:textId="77777777" w:rsidR="000A606D" w:rsidRPr="00B72AC6" w:rsidRDefault="00B72AC6">
      <w:pPr>
        <w:spacing w:after="40" w:line="340" w:lineRule="auto"/>
        <w:jc w:val="both"/>
      </w:pPr>
      <w:r w:rsidRPr="00B72AC6">
        <w:rPr>
          <w:rFonts w:eastAsia="Times New Roman"/>
        </w:rPr>
        <w:t>• Preventing Emerging Threats Act of 2018, 6 U.S.C. §124n.</w:t>
      </w:r>
    </w:p>
    <w:p w14:paraId="0187E28D" w14:textId="77777777" w:rsidR="000A606D" w:rsidRPr="00B72AC6" w:rsidRDefault="00B72AC6">
      <w:pPr>
        <w:spacing w:after="40" w:line="340" w:lineRule="auto"/>
        <w:jc w:val="both"/>
      </w:pPr>
      <w:r w:rsidRPr="00B72AC6">
        <w:rPr>
          <w:rFonts w:eastAsia="Times New Roman"/>
        </w:rPr>
        <w:t>• National Defense Authorization Act for Fiscal Year 2026 (amending 6 U.S.C. §124n).</w:t>
      </w:r>
    </w:p>
    <w:p w14:paraId="550ADA51" w14:textId="77777777" w:rsidR="000A606D" w:rsidRPr="00B72AC6" w:rsidRDefault="00B72AC6">
      <w:pPr>
        <w:pStyle w:val="2"/>
        <w:spacing w:before="180" w:after="90"/>
        <w:rPr>
          <w:color w:val="auto"/>
        </w:rPr>
      </w:pPr>
      <w:r w:rsidRPr="00B72AC6">
        <w:rPr>
          <w:rFonts w:eastAsia="Times New Roman"/>
          <w:b/>
          <w:bCs/>
          <w:i/>
          <w:iCs/>
          <w:color w:val="auto"/>
          <w:sz w:val="23"/>
          <w:szCs w:val="23"/>
        </w:rPr>
        <w:t>European Union</w:t>
      </w:r>
    </w:p>
    <w:p w14:paraId="1C663DE1" w14:textId="77777777" w:rsidR="000A606D" w:rsidRPr="00B72AC6" w:rsidRDefault="00B72AC6">
      <w:pPr>
        <w:spacing w:after="40" w:line="340" w:lineRule="auto"/>
        <w:jc w:val="both"/>
      </w:pPr>
      <w:r w:rsidRPr="00B72AC6">
        <w:rPr>
          <w:rFonts w:eastAsia="Times New Roman"/>
        </w:rPr>
        <w:t>• Regulation (EU) 2019/947 (rules and procedures for the operation of unmanned aircraft).</w:t>
      </w:r>
    </w:p>
    <w:p w14:paraId="1960A7A0" w14:textId="77777777" w:rsidR="000A606D" w:rsidRPr="00B72AC6" w:rsidRDefault="00B72AC6">
      <w:pPr>
        <w:spacing w:after="40" w:line="340" w:lineRule="auto"/>
        <w:jc w:val="both"/>
      </w:pPr>
      <w:r w:rsidRPr="00B72AC6">
        <w:rPr>
          <w:rFonts w:eastAsia="Times New Roman"/>
        </w:rPr>
        <w:t>• Regulation (EU) 2019/945 (product requirements and C0–C6 classes).</w:t>
      </w:r>
    </w:p>
    <w:p w14:paraId="2C0B5229" w14:textId="77777777" w:rsidR="000A606D" w:rsidRPr="00B72AC6" w:rsidRDefault="00B72AC6">
      <w:pPr>
        <w:spacing w:after="40" w:line="340" w:lineRule="auto"/>
        <w:jc w:val="both"/>
      </w:pPr>
      <w:r w:rsidRPr="00B72AC6">
        <w:rPr>
          <w:rFonts w:eastAsia="Times New Roman"/>
        </w:rPr>
        <w:lastRenderedPageBreak/>
        <w:t>• Regulations (EU) 2021/664–666 (U-space framework).</w:t>
      </w:r>
    </w:p>
    <w:p w14:paraId="495BA8BD" w14:textId="77777777" w:rsidR="000A606D" w:rsidRPr="00B72AC6" w:rsidRDefault="00B72AC6">
      <w:pPr>
        <w:spacing w:after="40" w:line="340" w:lineRule="auto"/>
        <w:jc w:val="both"/>
      </w:pPr>
      <w:r w:rsidRPr="00B72AC6">
        <w:rPr>
          <w:rFonts w:eastAsia="Times New Roman"/>
        </w:rPr>
        <w:t>• EASA, Specific Operations Risk Assessment (SORA), version 2.5 (2025).</w:t>
      </w:r>
    </w:p>
    <w:p w14:paraId="5C653D30" w14:textId="77777777" w:rsidR="000A606D" w:rsidRPr="00B72AC6" w:rsidRDefault="00B72AC6">
      <w:pPr>
        <w:spacing w:after="40" w:line="340" w:lineRule="auto"/>
        <w:jc w:val="both"/>
      </w:pPr>
      <w:r w:rsidRPr="00B72AC6">
        <w:rPr>
          <w:rFonts w:eastAsia="Times New Roman"/>
        </w:rPr>
        <w:t xml:space="preserve">• European Commission, </w:t>
      </w:r>
      <w:proofErr w:type="spellStart"/>
      <w:r w:rsidRPr="00B72AC6">
        <w:rPr>
          <w:rFonts w:eastAsia="Times New Roman"/>
        </w:rPr>
        <w:t>Defence</w:t>
      </w:r>
      <w:proofErr w:type="spellEnd"/>
      <w:r w:rsidRPr="00B72AC6">
        <w:rPr>
          <w:rFonts w:eastAsia="Times New Roman"/>
        </w:rPr>
        <w:t xml:space="preserve"> Readiness Roadmap 2030 / European Drone </w:t>
      </w:r>
      <w:proofErr w:type="spellStart"/>
      <w:r w:rsidRPr="00B72AC6">
        <w:rPr>
          <w:rFonts w:eastAsia="Times New Roman"/>
        </w:rPr>
        <w:t>Defence</w:t>
      </w:r>
      <w:proofErr w:type="spellEnd"/>
      <w:r w:rsidRPr="00B72AC6">
        <w:rPr>
          <w:rFonts w:eastAsia="Times New Roman"/>
        </w:rPr>
        <w:t xml:space="preserve"> Initiative (2025).</w:t>
      </w:r>
    </w:p>
    <w:p w14:paraId="32E9552C" w14:textId="77777777" w:rsidR="000A606D" w:rsidRPr="00B72AC6" w:rsidRDefault="00B72AC6">
      <w:pPr>
        <w:pStyle w:val="2"/>
        <w:spacing w:before="180" w:after="90"/>
        <w:rPr>
          <w:color w:val="auto"/>
        </w:rPr>
      </w:pPr>
      <w:r w:rsidRPr="00B72AC6">
        <w:rPr>
          <w:rFonts w:eastAsia="Times New Roman"/>
          <w:b/>
          <w:bCs/>
          <w:i/>
          <w:iCs/>
          <w:color w:val="auto"/>
          <w:sz w:val="23"/>
          <w:szCs w:val="23"/>
        </w:rPr>
        <w:t>Singapore</w:t>
      </w:r>
    </w:p>
    <w:p w14:paraId="3C7540B1" w14:textId="77777777" w:rsidR="000A606D" w:rsidRPr="00B72AC6" w:rsidRDefault="00B72AC6">
      <w:pPr>
        <w:spacing w:after="40" w:line="340" w:lineRule="auto"/>
        <w:jc w:val="both"/>
      </w:pPr>
      <w:r w:rsidRPr="00B72AC6">
        <w:rPr>
          <w:rFonts w:eastAsia="Times New Roman"/>
        </w:rPr>
        <w:t>• Unmanned Aircraft (Public Safety and Security) Act 2015.</w:t>
      </w:r>
    </w:p>
    <w:p w14:paraId="793F999E" w14:textId="77777777" w:rsidR="000A606D" w:rsidRPr="00B72AC6" w:rsidRDefault="00B72AC6">
      <w:pPr>
        <w:spacing w:after="40" w:line="340" w:lineRule="auto"/>
        <w:jc w:val="both"/>
      </w:pPr>
      <w:r w:rsidRPr="00B72AC6">
        <w:rPr>
          <w:rFonts w:eastAsia="Times New Roman"/>
        </w:rPr>
        <w:t>• Air Navigation (101 – Unmanned Aircraft Operations) Regulations.</w:t>
      </w:r>
    </w:p>
    <w:p w14:paraId="17F54201" w14:textId="77777777" w:rsidR="000A606D" w:rsidRPr="00B72AC6" w:rsidRDefault="00B72AC6">
      <w:pPr>
        <w:spacing w:after="40" w:line="340" w:lineRule="auto"/>
        <w:jc w:val="both"/>
      </w:pPr>
      <w:r w:rsidRPr="00B72AC6">
        <w:rPr>
          <w:rFonts w:eastAsia="Times New Roman"/>
        </w:rPr>
        <w:t>• CAAS operational guidance and OneMap/</w:t>
      </w:r>
      <w:proofErr w:type="spellStart"/>
      <w:r w:rsidRPr="00B72AC6">
        <w:rPr>
          <w:rFonts w:eastAsia="Times New Roman"/>
        </w:rPr>
        <w:t>FlyWhere</w:t>
      </w:r>
      <w:proofErr w:type="spellEnd"/>
      <w:r w:rsidRPr="00B72AC6">
        <w:rPr>
          <w:rFonts w:eastAsia="Times New Roman"/>
        </w:rPr>
        <w:t xml:space="preserve"> platform documentation.</w:t>
      </w:r>
    </w:p>
    <w:p w14:paraId="36F1E0BA" w14:textId="77777777" w:rsidR="000A606D" w:rsidRPr="00B72AC6" w:rsidRDefault="00B72AC6">
      <w:pPr>
        <w:pStyle w:val="2"/>
        <w:spacing w:before="180" w:after="90"/>
        <w:rPr>
          <w:color w:val="auto"/>
        </w:rPr>
      </w:pPr>
      <w:r w:rsidRPr="00B72AC6">
        <w:rPr>
          <w:rFonts w:eastAsia="Times New Roman"/>
          <w:b/>
          <w:bCs/>
          <w:i/>
          <w:iCs/>
          <w:color w:val="auto"/>
          <w:sz w:val="23"/>
          <w:szCs w:val="23"/>
        </w:rPr>
        <w:t>China (comparator case)</w:t>
      </w:r>
    </w:p>
    <w:p w14:paraId="78471A88" w14:textId="77777777" w:rsidR="000A606D" w:rsidRPr="00B72AC6" w:rsidRDefault="00B72AC6">
      <w:pPr>
        <w:spacing w:after="40" w:line="340" w:lineRule="auto"/>
        <w:jc w:val="both"/>
      </w:pPr>
      <w:r w:rsidRPr="00B72AC6">
        <w:rPr>
          <w:rFonts w:eastAsia="Times New Roman"/>
        </w:rPr>
        <w:t>• Interim Regulations on the Administration of Unmanned Aircraft Flight (State Council and Central Military Commission Order No. 761, 2024).</w:t>
      </w:r>
    </w:p>
    <w:p w14:paraId="5AD1C0E0" w14:textId="77777777" w:rsidR="000A606D" w:rsidRPr="00B72AC6" w:rsidRDefault="00B72AC6">
      <w:pPr>
        <w:spacing w:after="40" w:line="340" w:lineRule="auto"/>
        <w:jc w:val="both"/>
      </w:pPr>
      <w:r w:rsidRPr="00B72AC6">
        <w:rPr>
          <w:rFonts w:eastAsia="Times New Roman"/>
        </w:rPr>
        <w:t>• Rules for the Operational Safety Management of Civil Unmanned Aircraft (CCAR-92, 2024).</w:t>
      </w:r>
    </w:p>
    <w:p w14:paraId="3BE139C0" w14:textId="77777777" w:rsidR="000A606D" w:rsidRPr="00B72AC6" w:rsidRDefault="00B72AC6">
      <w:pPr>
        <w:spacing w:after="40" w:line="340" w:lineRule="auto"/>
        <w:jc w:val="both"/>
      </w:pPr>
      <w:r w:rsidRPr="00B72AC6">
        <w:rPr>
          <w:rFonts w:eastAsia="Times New Roman"/>
        </w:rPr>
        <w:t>• Mandatory national standards on real-name registration/activation and operational identification (effective 1 May 2026).</w:t>
      </w:r>
    </w:p>
    <w:p w14:paraId="4A715590" w14:textId="77777777" w:rsidR="000A606D" w:rsidRPr="00B72AC6" w:rsidRDefault="00B72AC6">
      <w:pPr>
        <w:spacing w:after="40" w:line="340" w:lineRule="auto"/>
        <w:jc w:val="both"/>
      </w:pPr>
      <w:r w:rsidRPr="00B72AC6">
        <w:rPr>
          <w:rFonts w:eastAsia="Times New Roman"/>
        </w:rPr>
        <w:t>• GB 42590-2023, Safety Requirements for Civil Unmanned Aircraft Systems.</w:t>
      </w:r>
    </w:p>
    <w:p w14:paraId="78EC54D8" w14:textId="4CBE2CE5" w:rsidR="000A606D" w:rsidRPr="00B72AC6" w:rsidRDefault="000A606D">
      <w:pPr>
        <w:spacing w:before="200"/>
      </w:pPr>
    </w:p>
    <w:sectPr w:rsidR="000A606D" w:rsidRPr="00B72AC6">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3341EF"/>
    <w:multiLevelType w:val="hybridMultilevel"/>
    <w:tmpl w:val="B4128458"/>
    <w:lvl w:ilvl="0" w:tplc="C826F2DC">
      <w:start w:val="1"/>
      <w:numFmt w:val="bullet"/>
      <w:lvlText w:val="●"/>
      <w:lvlJc w:val="left"/>
      <w:pPr>
        <w:ind w:left="720" w:hanging="360"/>
      </w:pPr>
    </w:lvl>
    <w:lvl w:ilvl="1" w:tplc="76FAEC5A">
      <w:start w:val="1"/>
      <w:numFmt w:val="bullet"/>
      <w:lvlText w:val="○"/>
      <w:lvlJc w:val="left"/>
      <w:pPr>
        <w:ind w:left="1440" w:hanging="360"/>
      </w:pPr>
    </w:lvl>
    <w:lvl w:ilvl="2" w:tplc="E5A0B1F0">
      <w:start w:val="1"/>
      <w:numFmt w:val="bullet"/>
      <w:lvlText w:val="■"/>
      <w:lvlJc w:val="left"/>
      <w:pPr>
        <w:ind w:left="2160" w:hanging="360"/>
      </w:pPr>
    </w:lvl>
    <w:lvl w:ilvl="3" w:tplc="C99CEDF0">
      <w:start w:val="1"/>
      <w:numFmt w:val="bullet"/>
      <w:lvlText w:val="●"/>
      <w:lvlJc w:val="left"/>
      <w:pPr>
        <w:ind w:left="2880" w:hanging="360"/>
      </w:pPr>
    </w:lvl>
    <w:lvl w:ilvl="4" w:tplc="CB503B3E">
      <w:start w:val="1"/>
      <w:numFmt w:val="bullet"/>
      <w:lvlText w:val="○"/>
      <w:lvlJc w:val="left"/>
      <w:pPr>
        <w:ind w:left="3600" w:hanging="360"/>
      </w:pPr>
    </w:lvl>
    <w:lvl w:ilvl="5" w:tplc="4B72CABA">
      <w:start w:val="1"/>
      <w:numFmt w:val="bullet"/>
      <w:lvlText w:val="■"/>
      <w:lvlJc w:val="left"/>
      <w:pPr>
        <w:ind w:left="4320" w:hanging="360"/>
      </w:pPr>
    </w:lvl>
    <w:lvl w:ilvl="6" w:tplc="E4A2AD7C">
      <w:start w:val="1"/>
      <w:numFmt w:val="bullet"/>
      <w:lvlText w:val="●"/>
      <w:lvlJc w:val="left"/>
      <w:pPr>
        <w:ind w:left="5040" w:hanging="360"/>
      </w:pPr>
    </w:lvl>
    <w:lvl w:ilvl="7" w:tplc="D9D0A73A">
      <w:start w:val="1"/>
      <w:numFmt w:val="bullet"/>
      <w:lvlText w:val="●"/>
      <w:lvlJc w:val="left"/>
      <w:pPr>
        <w:ind w:left="5760" w:hanging="360"/>
      </w:pPr>
    </w:lvl>
    <w:lvl w:ilvl="8" w:tplc="02DAD9A0">
      <w:start w:val="1"/>
      <w:numFmt w:val="bullet"/>
      <w:lvlText w:val="●"/>
      <w:lvlJc w:val="left"/>
      <w:pPr>
        <w:ind w:left="6480" w:hanging="360"/>
      </w:pPr>
    </w:lvl>
  </w:abstractNum>
  <w:num w:numId="1" w16cid:durableId="50856989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06D"/>
    <w:rsid w:val="000A606D"/>
    <w:rsid w:val="00AB438D"/>
    <w:rsid w:val="00B72A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B39093"/>
  <w15:docId w15:val="{EEE41185-1050-4E33-8231-E33B46E99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2"/>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要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脚注文本 字符"/>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尾注文本 字符"/>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418</Words>
  <Characters>2883</Characters>
  <Application>Microsoft Office Word</Application>
  <DocSecurity>0</DocSecurity>
  <Lines>57</Lines>
  <Paragraphs>44</Paragraphs>
  <ScaleCrop>false</ScaleCrop>
  <Company/>
  <LinksUpToDate>false</LinksUpToDate>
  <CharactersWithSpaces>3257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 </dc:creator>
  <dc:description> </dc:description>
  <cp:lastModifiedBy>文豪 高</cp:lastModifiedBy>
  <cp:revision>2</cp:revision>
  <dcterms:created xsi:type="dcterms:W3CDTF">2026-09-09T04:48:00Z</dcterms:created>
  <dcterms:modified xsi:type="dcterms:W3CDTF">2026-09-09T12:52:00Z</dcterms:modified>
</cp:coreProperties>
</file>