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813AC" w14:textId="77777777" w:rsidR="00CD334E" w:rsidRPr="00B23AC8" w:rsidRDefault="00CD334E" w:rsidP="00CD334E">
      <w:pPr>
        <w:wordWrap/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  <w:r w:rsidRPr="00B23AC8">
        <w:rPr>
          <w:rFonts w:ascii="Arial" w:hAnsi="Arial" w:cs="Arial"/>
          <w:b/>
          <w:bCs/>
          <w:szCs w:val="22"/>
        </w:rPr>
        <w:t>SUPPLEMENTARY FIGURE LEGENDS</w:t>
      </w:r>
    </w:p>
    <w:p w14:paraId="7247872C" w14:textId="77777777" w:rsidR="00CD334E" w:rsidRPr="00B23AC8" w:rsidRDefault="00CD334E" w:rsidP="00CD334E">
      <w:pPr>
        <w:wordWrap/>
        <w:spacing w:after="0" w:line="480" w:lineRule="auto"/>
        <w:jc w:val="both"/>
        <w:rPr>
          <w:rFonts w:ascii="Arial" w:hAnsi="Arial" w:cs="Arial"/>
          <w:szCs w:val="22"/>
        </w:rPr>
      </w:pPr>
      <w:r w:rsidRPr="00B23AC8">
        <w:rPr>
          <w:rFonts w:ascii="Arial" w:hAnsi="Arial" w:cs="Arial"/>
          <w:b/>
          <w:bCs/>
          <w:szCs w:val="22"/>
        </w:rPr>
        <w:t xml:space="preserve">Supplementary Figure 1. </w:t>
      </w:r>
      <w:r w:rsidRPr="00947494">
        <w:rPr>
          <w:rFonts w:ascii="Arial" w:hAnsi="Arial" w:cs="Arial"/>
          <w:b/>
          <w:bCs/>
          <w:szCs w:val="22"/>
        </w:rPr>
        <w:t xml:space="preserve">Construction of the AAV donor vector carrying the </w:t>
      </w:r>
      <w:r w:rsidRPr="00947494">
        <w:rPr>
          <w:rFonts w:ascii="Arial" w:hAnsi="Arial" w:cs="Arial"/>
          <w:b/>
          <w:bCs/>
          <w:i/>
          <w:iCs/>
          <w:szCs w:val="22"/>
        </w:rPr>
        <w:t>Elk3</w:t>
      </w:r>
      <w:r w:rsidRPr="00947494">
        <w:rPr>
          <w:rFonts w:ascii="Arial" w:hAnsi="Arial" w:cs="Arial"/>
          <w:b/>
          <w:bCs/>
          <w:szCs w:val="22"/>
        </w:rPr>
        <w:t xml:space="preserve"> conditional allele.</w:t>
      </w:r>
    </w:p>
    <w:p w14:paraId="3D198D15" w14:textId="77777777" w:rsidR="00CD334E" w:rsidRDefault="00CD334E" w:rsidP="00CD334E">
      <w:pPr>
        <w:widowControl/>
        <w:wordWrap/>
        <w:autoSpaceDE/>
        <w:autoSpaceDN/>
        <w:spacing w:after="0" w:line="48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 w:hint="eastAsia"/>
          <w:szCs w:val="22"/>
        </w:rPr>
        <w:t xml:space="preserve">(A) </w:t>
      </w:r>
      <w:r w:rsidRPr="00947494">
        <w:rPr>
          <w:rFonts w:ascii="Arial" w:hAnsi="Arial" w:cs="Arial"/>
          <w:szCs w:val="22"/>
        </w:rPr>
        <w:t xml:space="preserve">Schematic of the construction of the AAV donor vector containing the </w:t>
      </w:r>
      <w:r w:rsidRPr="00947494">
        <w:rPr>
          <w:rFonts w:ascii="Arial" w:hAnsi="Arial" w:cs="Arial"/>
          <w:i/>
          <w:iCs/>
          <w:szCs w:val="22"/>
        </w:rPr>
        <w:t>Elk3</w:t>
      </w:r>
      <w:r w:rsidRPr="00947494">
        <w:rPr>
          <w:rFonts w:ascii="Arial" w:hAnsi="Arial" w:cs="Arial"/>
          <w:szCs w:val="22"/>
        </w:rPr>
        <w:t xml:space="preserve"> conditional allele. The </w:t>
      </w:r>
      <w:r w:rsidRPr="00947494">
        <w:rPr>
          <w:rFonts w:ascii="Arial" w:hAnsi="Arial" w:cs="Arial"/>
          <w:i/>
          <w:iCs/>
          <w:szCs w:val="22"/>
        </w:rPr>
        <w:t>Elk3</w:t>
      </w:r>
      <w:r w:rsidRPr="00947494">
        <w:rPr>
          <w:rFonts w:ascii="Arial" w:hAnsi="Arial" w:cs="Arial"/>
          <w:szCs w:val="22"/>
        </w:rPr>
        <w:t xml:space="preserve"> genomic fragment was amplified as three overlapping fragments (5′ homology arm, middle fragment, and 3′ homology arm) using primers incorporating loxP sequences.</w:t>
      </w:r>
      <w:r>
        <w:rPr>
          <w:rFonts w:ascii="Arial" w:hAnsi="Arial" w:cs="Arial" w:hint="eastAsia"/>
          <w:szCs w:val="22"/>
        </w:rPr>
        <w:t xml:space="preserve"> (B) </w:t>
      </w:r>
      <w:r w:rsidRPr="00947494">
        <w:rPr>
          <w:rFonts w:ascii="Arial" w:hAnsi="Arial" w:cs="Arial"/>
          <w:szCs w:val="22"/>
        </w:rPr>
        <w:t xml:space="preserve">Assembly of the </w:t>
      </w:r>
      <w:r w:rsidRPr="00947494">
        <w:rPr>
          <w:rFonts w:ascii="Arial" w:hAnsi="Arial" w:cs="Arial"/>
          <w:i/>
          <w:iCs/>
          <w:szCs w:val="22"/>
        </w:rPr>
        <w:t>Elk3</w:t>
      </w:r>
      <w:r w:rsidRPr="00947494">
        <w:rPr>
          <w:rFonts w:ascii="Arial" w:hAnsi="Arial" w:cs="Arial"/>
          <w:szCs w:val="22"/>
        </w:rPr>
        <w:t xml:space="preserve"> conditional donor by fusion PCR. The three fragments were combined at a molar ratio of 2:1:2 (5′ homology arm:</w:t>
      </w:r>
      <w:r>
        <w:rPr>
          <w:rFonts w:ascii="Arial" w:hAnsi="Arial" w:cs="Arial"/>
          <w:szCs w:val="22"/>
        </w:rPr>
        <w:t xml:space="preserve"> </w:t>
      </w:r>
      <w:r w:rsidRPr="00947494">
        <w:rPr>
          <w:rFonts w:ascii="Arial" w:hAnsi="Arial" w:cs="Arial"/>
          <w:szCs w:val="22"/>
        </w:rPr>
        <w:t>middle fragment:</w:t>
      </w:r>
      <w:r>
        <w:rPr>
          <w:rFonts w:ascii="Arial" w:hAnsi="Arial" w:cs="Arial" w:hint="eastAsia"/>
          <w:szCs w:val="22"/>
        </w:rPr>
        <w:t xml:space="preserve"> </w:t>
      </w:r>
      <w:r w:rsidRPr="00947494">
        <w:rPr>
          <w:rFonts w:ascii="Arial" w:hAnsi="Arial" w:cs="Arial"/>
          <w:szCs w:val="22"/>
        </w:rPr>
        <w:t>3′ homology arm) to generate a ~2-kb donor fragment containing exon 2 flanked by two loxP sites for subsequent cloning into the AAV vector.</w:t>
      </w:r>
    </w:p>
    <w:p w14:paraId="18464043" w14:textId="77777777" w:rsidR="00CD334E" w:rsidRDefault="00CD334E" w:rsidP="00CD334E">
      <w:pPr>
        <w:widowControl/>
        <w:wordWrap/>
        <w:autoSpaceDE/>
        <w:autoSpaceDN/>
        <w:spacing w:after="0" w:line="480" w:lineRule="auto"/>
        <w:jc w:val="both"/>
        <w:rPr>
          <w:rFonts w:ascii="Arial" w:hAnsi="Arial" w:cs="Arial"/>
          <w:szCs w:val="22"/>
        </w:rPr>
      </w:pPr>
    </w:p>
    <w:p w14:paraId="5A1C17D0" w14:textId="77777777" w:rsidR="00CD334E" w:rsidRDefault="00CD334E" w:rsidP="00CD334E">
      <w:pPr>
        <w:widowControl/>
        <w:wordWrap/>
        <w:autoSpaceDE/>
        <w:autoSpaceDN/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  <w:r w:rsidRPr="00B23AC8">
        <w:rPr>
          <w:rFonts w:ascii="Arial" w:hAnsi="Arial" w:cs="Arial"/>
          <w:b/>
          <w:bCs/>
          <w:szCs w:val="22"/>
        </w:rPr>
        <w:t>Supplementary Figure</w:t>
      </w:r>
      <w:r>
        <w:rPr>
          <w:rFonts w:ascii="Arial" w:hAnsi="Arial" w:cs="Arial" w:hint="eastAsia"/>
          <w:b/>
          <w:bCs/>
          <w:szCs w:val="22"/>
        </w:rPr>
        <w:t xml:space="preserve"> 2. </w:t>
      </w:r>
      <w:r w:rsidRPr="00811F10">
        <w:rPr>
          <w:rFonts w:ascii="Arial" w:hAnsi="Arial" w:cs="Arial"/>
          <w:b/>
          <w:bCs/>
          <w:szCs w:val="22"/>
        </w:rPr>
        <w:t>Representative images of intracellular ROS fluorescence in 2-cell embryos following electroporation</w:t>
      </w:r>
    </w:p>
    <w:p w14:paraId="02CA7FBA" w14:textId="77777777" w:rsidR="00CD334E" w:rsidRDefault="00CD334E" w:rsidP="00CD334E">
      <w:pPr>
        <w:widowControl/>
        <w:wordWrap/>
        <w:autoSpaceDE/>
        <w:autoSpaceDN/>
        <w:spacing w:after="0" w:line="480" w:lineRule="auto"/>
        <w:jc w:val="both"/>
        <w:rPr>
          <w:rFonts w:ascii="Arial" w:hAnsi="Arial" w:cs="Arial"/>
          <w:szCs w:val="22"/>
        </w:rPr>
      </w:pPr>
      <w:r w:rsidRPr="00811F10">
        <w:rPr>
          <w:rFonts w:ascii="Arial" w:hAnsi="Arial" w:cs="Arial"/>
          <w:szCs w:val="22"/>
        </w:rPr>
        <w:t>Representative fluorescence images of control and electroporated (EP) 2-cell embryos stained with DCFH-DA (green) to detect intracellular ROS and DAPI (blue) to visualize nuclei.</w:t>
      </w:r>
      <w:r>
        <w:rPr>
          <w:rFonts w:ascii="Arial" w:hAnsi="Arial" w:cs="Arial" w:hint="eastAsia"/>
          <w:szCs w:val="22"/>
        </w:rPr>
        <w:t xml:space="preserve"> </w:t>
      </w:r>
      <w:r w:rsidRPr="00C31A81">
        <w:rPr>
          <w:rFonts w:ascii="Arial" w:hAnsi="Arial" w:cs="Arial"/>
          <w:szCs w:val="22"/>
        </w:rPr>
        <w:t>Scale bar = 20 μm.</w:t>
      </w:r>
      <w:r w:rsidRPr="00811F10">
        <w:rPr>
          <w:rFonts w:ascii="Arial" w:hAnsi="Arial" w:cs="Arial"/>
          <w:szCs w:val="22"/>
        </w:rPr>
        <w:t xml:space="preserve"> Images are representative of those used for the quantitative analysis presented in Figure 1B.</w:t>
      </w:r>
    </w:p>
    <w:p w14:paraId="2D92AB08" w14:textId="77777777" w:rsidR="00CD334E" w:rsidRDefault="00CD334E" w:rsidP="00CD334E">
      <w:pPr>
        <w:widowControl/>
        <w:wordWrap/>
        <w:autoSpaceDE/>
        <w:autoSpaceDN/>
        <w:spacing w:after="0" w:line="48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 w:hint="eastAsia"/>
          <w:szCs w:val="22"/>
        </w:rPr>
        <w:t xml:space="preserve"> </w:t>
      </w:r>
    </w:p>
    <w:p w14:paraId="6EB82F0B" w14:textId="77777777" w:rsidR="00CD334E" w:rsidRDefault="00CD334E" w:rsidP="00CD334E">
      <w:pPr>
        <w:wordWrap/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  <w:r w:rsidRPr="00B23AC8">
        <w:rPr>
          <w:rFonts w:ascii="Arial" w:hAnsi="Arial" w:cs="Arial"/>
          <w:b/>
          <w:bCs/>
          <w:szCs w:val="22"/>
        </w:rPr>
        <w:t>Supplementary Figure</w:t>
      </w:r>
      <w:r>
        <w:rPr>
          <w:rFonts w:ascii="Arial" w:hAnsi="Arial" w:cs="Arial" w:hint="eastAsia"/>
          <w:b/>
          <w:bCs/>
          <w:szCs w:val="22"/>
        </w:rPr>
        <w:t xml:space="preserve"> 3</w:t>
      </w:r>
      <w:r w:rsidRPr="00B23AC8">
        <w:rPr>
          <w:rFonts w:ascii="Arial" w:hAnsi="Arial" w:cs="Arial"/>
          <w:b/>
          <w:bCs/>
          <w:szCs w:val="22"/>
        </w:rPr>
        <w:t xml:space="preserve">. </w:t>
      </w:r>
      <w:r w:rsidRPr="002E243C">
        <w:rPr>
          <w:rFonts w:ascii="Arial" w:hAnsi="Arial" w:cs="Arial"/>
          <w:b/>
          <w:bCs/>
          <w:szCs w:val="22"/>
        </w:rPr>
        <w:t xml:space="preserve">Comparative analysis of </w:t>
      </w:r>
      <w:r w:rsidRPr="00340419">
        <w:rPr>
          <w:rFonts w:ascii="Arial" w:hAnsi="Arial" w:cs="Arial"/>
          <w:b/>
          <w:bCs/>
          <w:szCs w:val="22"/>
        </w:rPr>
        <w:t>AAV serotype-mediated transduction efficiency in mouse embryos</w:t>
      </w:r>
    </w:p>
    <w:p w14:paraId="2AF1A15F" w14:textId="77777777" w:rsidR="00CD334E" w:rsidRDefault="00CD334E" w:rsidP="00CD334E">
      <w:pPr>
        <w:widowControl/>
        <w:wordWrap/>
        <w:autoSpaceDE/>
        <w:autoSpaceDN/>
        <w:spacing w:line="48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 w:hint="eastAsia"/>
          <w:szCs w:val="22"/>
        </w:rPr>
        <w:t xml:space="preserve">(A) </w:t>
      </w:r>
      <w:r w:rsidRPr="00340419">
        <w:rPr>
          <w:rFonts w:ascii="Arial" w:hAnsi="Arial" w:cs="Arial"/>
          <w:szCs w:val="22"/>
        </w:rPr>
        <w:t>Quantification of GFP fluorescence intensity in embryos infected with AAV1-CMV-GFP or AAV6-CMV-GFP at 24 and 48 h after AAV exposure (n = 33–50 embryos per group).</w:t>
      </w:r>
      <w:r>
        <w:rPr>
          <w:rFonts w:ascii="Arial" w:hAnsi="Arial" w:cs="Arial" w:hint="eastAsia"/>
          <w:szCs w:val="22"/>
        </w:rPr>
        <w:t xml:space="preserve"> </w:t>
      </w:r>
      <w:r w:rsidRPr="00C31A81">
        <w:rPr>
          <w:rFonts w:ascii="Arial" w:hAnsi="Arial" w:cs="Arial"/>
          <w:szCs w:val="22"/>
        </w:rPr>
        <w:t>Scale bar = 20 μm.</w:t>
      </w:r>
      <w:r w:rsidRPr="00340419">
        <w:rPr>
          <w:rFonts w:ascii="Arial" w:hAnsi="Arial" w:cs="Arial"/>
          <w:szCs w:val="22"/>
        </w:rPr>
        <w:t xml:space="preserve"> GFP fluorescence intensity within the embryonic cytoplasm was quantified. Statistical analyses were performed using one-way ANOVA followed by Tukey's multiple comparison test.</w:t>
      </w:r>
      <w:r>
        <w:rPr>
          <w:rFonts w:ascii="Arial" w:hAnsi="Arial" w:cs="Arial" w:hint="eastAsia"/>
          <w:szCs w:val="22"/>
        </w:rPr>
        <w:t xml:space="preserve"> **; </w:t>
      </w:r>
      <w:r w:rsidRPr="004243DD">
        <w:rPr>
          <w:rFonts w:ascii="Arial" w:hAnsi="Arial" w:cs="Arial"/>
          <w:i/>
          <w:iCs/>
          <w:szCs w:val="22"/>
        </w:rPr>
        <w:t>P</w:t>
      </w:r>
      <w:r w:rsidRPr="004243DD">
        <w:rPr>
          <w:rFonts w:ascii="Arial" w:hAnsi="Arial" w:cs="Arial"/>
          <w:szCs w:val="22"/>
        </w:rPr>
        <w:t xml:space="preserve"> &lt; 0.0</w:t>
      </w:r>
      <w:r>
        <w:rPr>
          <w:rFonts w:ascii="Arial" w:hAnsi="Arial" w:cs="Arial" w:hint="eastAsia"/>
          <w:szCs w:val="22"/>
        </w:rPr>
        <w:t xml:space="preserve">1, ***; </w:t>
      </w:r>
      <w:r w:rsidRPr="004243DD">
        <w:rPr>
          <w:rFonts w:ascii="Arial" w:hAnsi="Arial" w:cs="Arial"/>
          <w:i/>
          <w:iCs/>
          <w:szCs w:val="22"/>
        </w:rPr>
        <w:t>P</w:t>
      </w:r>
      <w:r w:rsidRPr="004243DD">
        <w:rPr>
          <w:rFonts w:ascii="Arial" w:hAnsi="Arial" w:cs="Arial"/>
          <w:szCs w:val="22"/>
        </w:rPr>
        <w:t xml:space="preserve"> &lt; 0.001</w:t>
      </w:r>
      <w:r w:rsidRPr="003C07C8">
        <w:rPr>
          <w:rFonts w:ascii="Arial" w:hAnsi="Arial" w:cs="Arial"/>
          <w:szCs w:val="22"/>
        </w:rPr>
        <w:t>.</w:t>
      </w:r>
      <w:r>
        <w:rPr>
          <w:rFonts w:ascii="Arial" w:hAnsi="Arial" w:cs="Arial" w:hint="eastAsia"/>
          <w:szCs w:val="22"/>
        </w:rPr>
        <w:t xml:space="preserve"> (B)</w:t>
      </w:r>
      <w:r w:rsidRPr="002E243C">
        <w:rPr>
          <w:rFonts w:ascii="Arial" w:hAnsi="Arial" w:cs="Arial"/>
          <w:szCs w:val="22"/>
        </w:rPr>
        <w:t xml:space="preserve"> </w:t>
      </w:r>
      <w:r w:rsidRPr="00340419">
        <w:rPr>
          <w:rFonts w:ascii="Arial" w:hAnsi="Arial" w:cs="Arial"/>
          <w:szCs w:val="22"/>
        </w:rPr>
        <w:t xml:space="preserve">Representative bright-field and fluorescence images of embryos infected with AAV1-CMV-GFP or AAV6-CMV-GFP. Scale bar = </w:t>
      </w:r>
      <w:r>
        <w:rPr>
          <w:rFonts w:ascii="Arial" w:hAnsi="Arial" w:cs="Arial" w:hint="eastAsia"/>
          <w:szCs w:val="22"/>
        </w:rPr>
        <w:t>2</w:t>
      </w:r>
      <w:r w:rsidRPr="00340419">
        <w:rPr>
          <w:rFonts w:ascii="Arial" w:hAnsi="Arial" w:cs="Arial"/>
          <w:szCs w:val="22"/>
        </w:rPr>
        <w:t>0 μm.</w:t>
      </w:r>
    </w:p>
    <w:p w14:paraId="12C89467" w14:textId="77777777" w:rsidR="00CD334E" w:rsidRDefault="00CD334E" w:rsidP="00CD334E">
      <w:pPr>
        <w:wordWrap/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</w:p>
    <w:p w14:paraId="33F1F38F" w14:textId="77777777" w:rsidR="00CD334E" w:rsidRPr="00E428DE" w:rsidRDefault="00CD334E" w:rsidP="00CD334E">
      <w:pPr>
        <w:widowControl/>
        <w:wordWrap/>
        <w:autoSpaceDE/>
        <w:autoSpaceDN/>
        <w:spacing w:line="480" w:lineRule="auto"/>
        <w:jc w:val="both"/>
        <w:rPr>
          <w:rFonts w:ascii="Arial" w:hAnsi="Arial" w:cs="Arial"/>
          <w:b/>
          <w:bCs/>
          <w:szCs w:val="22"/>
        </w:rPr>
      </w:pPr>
      <w:r w:rsidRPr="00B23AC8">
        <w:rPr>
          <w:rFonts w:ascii="Arial" w:hAnsi="Arial" w:cs="Arial"/>
          <w:b/>
          <w:bCs/>
          <w:szCs w:val="22"/>
        </w:rPr>
        <w:t>Supplementary Figure</w:t>
      </w:r>
      <w:r>
        <w:rPr>
          <w:rFonts w:ascii="Arial" w:hAnsi="Arial" w:cs="Arial" w:hint="eastAsia"/>
          <w:b/>
          <w:bCs/>
          <w:szCs w:val="22"/>
        </w:rPr>
        <w:t xml:space="preserve"> 4. </w:t>
      </w:r>
      <w:r w:rsidRPr="00340419">
        <w:rPr>
          <w:rFonts w:ascii="Arial" w:hAnsi="Arial" w:cs="Arial"/>
          <w:b/>
          <w:bCs/>
          <w:szCs w:val="22"/>
        </w:rPr>
        <w:t>Validation of cell type-specific deletion of the floxed allele by Cre-mediated recombination</w:t>
      </w:r>
    </w:p>
    <w:p w14:paraId="64197B01" w14:textId="77777777" w:rsidR="00CD334E" w:rsidRDefault="00CD334E" w:rsidP="00CD334E">
      <w:pPr>
        <w:widowControl/>
        <w:wordWrap/>
        <w:autoSpaceDE/>
        <w:autoSpaceDN/>
        <w:spacing w:line="48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 w:hint="eastAsia"/>
          <w:szCs w:val="22"/>
        </w:rPr>
        <w:t xml:space="preserve">(A) </w:t>
      </w:r>
      <w:r w:rsidRPr="007E6AAE">
        <w:rPr>
          <w:rFonts w:ascii="Arial" w:hAnsi="Arial" w:cs="Arial"/>
          <w:szCs w:val="22"/>
        </w:rPr>
        <w:t xml:space="preserve">Breeding scheme for generating myeloid cell-specific knockout mice by crossing floxed mice with </w:t>
      </w:r>
      <w:r w:rsidRPr="00474439">
        <w:rPr>
          <w:rFonts w:ascii="Arial" w:hAnsi="Arial" w:cs="Arial"/>
          <w:i/>
          <w:iCs/>
          <w:szCs w:val="22"/>
        </w:rPr>
        <w:t>LysM</w:t>
      </w:r>
      <w:r w:rsidRPr="00474439">
        <w:rPr>
          <w:rFonts w:ascii="Arial" w:hAnsi="Arial" w:cs="Arial"/>
          <w:szCs w:val="22"/>
          <w:vertAlign w:val="superscript"/>
        </w:rPr>
        <w:t>Cre</w:t>
      </w:r>
      <w:r w:rsidRPr="007E6AAE">
        <w:rPr>
          <w:rFonts w:ascii="Arial" w:hAnsi="Arial" w:cs="Arial"/>
          <w:szCs w:val="22"/>
        </w:rPr>
        <w:t xml:space="preserve"> transgenic mice.</w:t>
      </w:r>
      <w:r>
        <w:rPr>
          <w:rFonts w:ascii="Arial" w:hAnsi="Arial" w:cs="Arial" w:hint="eastAsia"/>
          <w:szCs w:val="22"/>
        </w:rPr>
        <w:t xml:space="preserve"> </w:t>
      </w:r>
      <w:r w:rsidRPr="007E6AAE">
        <w:rPr>
          <w:rFonts w:ascii="Arial" w:hAnsi="Arial" w:cs="Arial"/>
          <w:szCs w:val="22"/>
        </w:rPr>
        <w:t xml:space="preserve">(B) </w:t>
      </w:r>
      <w:r w:rsidRPr="00340419">
        <w:rPr>
          <w:rFonts w:ascii="Arial" w:hAnsi="Arial" w:cs="Arial"/>
          <w:szCs w:val="22"/>
        </w:rPr>
        <w:t>Bone marrow-derived macrophages (BMDMs) were generated from bone marrow cells isolated from the indicated genotypes. Genomic PCR was performed to confirm Cre-mediated deletion of the floxed allele.</w:t>
      </w:r>
      <w:r>
        <w:rPr>
          <w:rFonts w:ascii="Arial" w:hAnsi="Arial" w:cs="Arial" w:hint="eastAsia"/>
          <w:szCs w:val="22"/>
        </w:rPr>
        <w:t xml:space="preserve"> </w:t>
      </w:r>
      <w:r w:rsidRPr="007E6AAE">
        <w:rPr>
          <w:rFonts w:ascii="Arial" w:hAnsi="Arial" w:cs="Arial"/>
          <w:szCs w:val="22"/>
        </w:rPr>
        <w:t xml:space="preserve">(C) Breeding scheme for generating alveolar epithelial cell-specific knockout mice by crossing floxed mice with </w:t>
      </w:r>
      <w:r w:rsidRPr="00474439">
        <w:rPr>
          <w:rFonts w:ascii="Arial" w:hAnsi="Arial" w:cs="Arial"/>
          <w:i/>
          <w:iCs/>
          <w:szCs w:val="22"/>
        </w:rPr>
        <w:t>Sftpc</w:t>
      </w:r>
      <w:r w:rsidRPr="00474439">
        <w:rPr>
          <w:rFonts w:ascii="Arial" w:hAnsi="Arial" w:cs="Arial"/>
          <w:szCs w:val="22"/>
          <w:vertAlign w:val="superscript"/>
        </w:rPr>
        <w:t>CreERT2</w:t>
      </w:r>
      <w:r w:rsidRPr="007E6AAE">
        <w:rPr>
          <w:rFonts w:ascii="Arial" w:hAnsi="Arial" w:cs="Arial"/>
          <w:szCs w:val="22"/>
        </w:rPr>
        <w:t xml:space="preserve"> transgenic mice.</w:t>
      </w:r>
      <w:r>
        <w:rPr>
          <w:rFonts w:ascii="Arial" w:hAnsi="Arial" w:cs="Arial" w:hint="eastAsia"/>
          <w:szCs w:val="22"/>
        </w:rPr>
        <w:t xml:space="preserve"> </w:t>
      </w:r>
      <w:r w:rsidRPr="007E6AAE">
        <w:rPr>
          <w:rFonts w:ascii="Arial" w:hAnsi="Arial" w:cs="Arial"/>
          <w:szCs w:val="22"/>
        </w:rPr>
        <w:t xml:space="preserve">(D) Experimental scheme for tamoxifen-induced recombination. Following tamoxifen administration, lungs were harvested, and CD45−EpCAM+ alveolar epithelial cells were isolated </w:t>
      </w:r>
      <w:r>
        <w:rPr>
          <w:rFonts w:ascii="Arial" w:hAnsi="Arial" w:cs="Arial" w:hint="eastAsia"/>
          <w:szCs w:val="22"/>
        </w:rPr>
        <w:t>using MACS.</w:t>
      </w:r>
      <w:r w:rsidRPr="007E6AAE">
        <w:rPr>
          <w:rFonts w:ascii="Arial" w:hAnsi="Arial" w:cs="Arial"/>
          <w:szCs w:val="22"/>
        </w:rPr>
        <w:t xml:space="preserve"> </w:t>
      </w:r>
      <w:r w:rsidRPr="00340419">
        <w:rPr>
          <w:rFonts w:ascii="Arial" w:hAnsi="Arial" w:cs="Arial"/>
          <w:szCs w:val="22"/>
        </w:rPr>
        <w:t>Genomic PCR was performed to verify Cre-mediated deletion of the floxed allele.</w:t>
      </w:r>
      <w:r>
        <w:rPr>
          <w:rFonts w:ascii="Arial" w:hAnsi="Arial" w:cs="Arial" w:hint="eastAsia"/>
          <w:szCs w:val="22"/>
        </w:rPr>
        <w:t xml:space="preserve"> </w:t>
      </w:r>
      <w:r w:rsidRPr="0017669C">
        <w:rPr>
          <w:rFonts w:ascii="Arial" w:hAnsi="Arial" w:cs="Arial"/>
          <w:szCs w:val="22"/>
        </w:rPr>
        <w:t>Created with BioRender.com.</w:t>
      </w:r>
    </w:p>
    <w:p w14:paraId="4090CF32" w14:textId="77777777" w:rsidR="00CD334E" w:rsidRPr="00027333" w:rsidRDefault="00CD334E" w:rsidP="00CD334E">
      <w:pPr>
        <w:widowControl/>
        <w:wordWrap/>
        <w:autoSpaceDE/>
        <w:autoSpaceDN/>
        <w:spacing w:line="480" w:lineRule="auto"/>
        <w:jc w:val="both"/>
        <w:rPr>
          <w:rFonts w:ascii="Arial" w:hAnsi="Arial" w:cs="Arial"/>
          <w:szCs w:val="22"/>
        </w:rPr>
      </w:pPr>
    </w:p>
    <w:p w14:paraId="0E699858" w14:textId="77777777" w:rsidR="00CD334E" w:rsidRDefault="00CD334E" w:rsidP="00CD334E">
      <w:pPr>
        <w:wordWrap/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  <w:r w:rsidRPr="00B23AC8">
        <w:rPr>
          <w:rFonts w:ascii="Arial" w:hAnsi="Arial" w:cs="Arial"/>
          <w:b/>
          <w:bCs/>
          <w:szCs w:val="22"/>
        </w:rPr>
        <w:t>Supplementary Figure</w:t>
      </w:r>
      <w:r>
        <w:rPr>
          <w:rFonts w:ascii="Arial" w:hAnsi="Arial" w:cs="Arial" w:hint="eastAsia"/>
          <w:b/>
          <w:bCs/>
          <w:szCs w:val="22"/>
        </w:rPr>
        <w:t xml:space="preserve"> 5. </w:t>
      </w:r>
      <w:r w:rsidRPr="006702A5">
        <w:rPr>
          <w:rFonts w:ascii="Arial" w:hAnsi="Arial" w:cs="Arial"/>
          <w:b/>
          <w:bCs/>
          <w:szCs w:val="22"/>
        </w:rPr>
        <w:t xml:space="preserve">Validation of conditional allele generation at the </w:t>
      </w:r>
      <w:r w:rsidRPr="006702A5">
        <w:rPr>
          <w:rFonts w:ascii="Arial" w:hAnsi="Arial" w:cs="Arial"/>
          <w:b/>
          <w:bCs/>
          <w:i/>
          <w:iCs/>
          <w:szCs w:val="22"/>
        </w:rPr>
        <w:t>Ppia</w:t>
      </w:r>
      <w:r w:rsidRPr="006702A5">
        <w:rPr>
          <w:rFonts w:ascii="Arial" w:hAnsi="Arial" w:cs="Arial"/>
          <w:b/>
          <w:bCs/>
          <w:szCs w:val="22"/>
        </w:rPr>
        <w:t xml:space="preserve"> and </w:t>
      </w:r>
      <w:r w:rsidRPr="006702A5">
        <w:rPr>
          <w:rFonts w:ascii="Arial" w:hAnsi="Arial" w:cs="Arial"/>
          <w:b/>
          <w:bCs/>
          <w:i/>
          <w:iCs/>
          <w:szCs w:val="22"/>
        </w:rPr>
        <w:t>Syt1</w:t>
      </w:r>
      <w:r w:rsidRPr="006702A5">
        <w:rPr>
          <w:rFonts w:ascii="Arial" w:hAnsi="Arial" w:cs="Arial"/>
          <w:b/>
          <w:bCs/>
          <w:szCs w:val="22"/>
        </w:rPr>
        <w:t xml:space="preserve"> loci using EP-assisted AAV donor delivery</w:t>
      </w:r>
    </w:p>
    <w:p w14:paraId="04062005" w14:textId="77777777" w:rsidR="00CD334E" w:rsidRPr="00B93585" w:rsidRDefault="00CD334E" w:rsidP="00CD334E">
      <w:pPr>
        <w:wordWrap/>
        <w:spacing w:after="0" w:line="480" w:lineRule="auto"/>
        <w:jc w:val="both"/>
        <w:rPr>
          <w:rFonts w:ascii="Arial" w:hAnsi="Arial" w:cs="Arial"/>
          <w:szCs w:val="22"/>
        </w:rPr>
      </w:pPr>
      <w:r w:rsidRPr="006702A5">
        <w:rPr>
          <w:rFonts w:ascii="Arial" w:hAnsi="Arial" w:cs="Arial"/>
          <w:szCs w:val="22"/>
        </w:rPr>
        <w:t xml:space="preserve">(A) Representative PCR genotyping of genomic DNA from </w:t>
      </w:r>
      <w:r w:rsidRPr="006702A5">
        <w:rPr>
          <w:rFonts w:ascii="Arial" w:hAnsi="Arial" w:cs="Arial"/>
          <w:i/>
          <w:iCs/>
          <w:szCs w:val="22"/>
        </w:rPr>
        <w:t>Ppia</w:t>
      </w:r>
      <w:r w:rsidRPr="006702A5">
        <w:rPr>
          <w:rFonts w:ascii="Arial" w:hAnsi="Arial" w:cs="Arial"/>
          <w:szCs w:val="22"/>
        </w:rPr>
        <w:t xml:space="preserve">-targeted blastocysts to detect loxP integration at the </w:t>
      </w:r>
      <w:r>
        <w:rPr>
          <w:rFonts w:ascii="Arial" w:hAnsi="Arial" w:cs="Arial" w:hint="eastAsia"/>
          <w:szCs w:val="22"/>
        </w:rPr>
        <w:t>L and R</w:t>
      </w:r>
      <w:r w:rsidRPr="006702A5">
        <w:rPr>
          <w:rFonts w:ascii="Arial" w:hAnsi="Arial" w:cs="Arial"/>
          <w:szCs w:val="22"/>
        </w:rPr>
        <w:t xml:space="preserve"> homology arms. Red arrowheads indicate PCR products containing the 40-bp loxP insertion.</w:t>
      </w:r>
      <w:r w:rsidRPr="006702A5">
        <w:rPr>
          <w:rFonts w:ascii="Arial" w:hAnsi="Arial" w:cs="Arial" w:hint="eastAsia"/>
          <w:szCs w:val="22"/>
        </w:rPr>
        <w:t xml:space="preserve"> </w:t>
      </w:r>
      <w:r w:rsidRPr="006702A5">
        <w:rPr>
          <w:rFonts w:ascii="Arial" w:hAnsi="Arial" w:cs="Arial"/>
          <w:szCs w:val="22"/>
        </w:rPr>
        <w:t xml:space="preserve">(B) </w:t>
      </w:r>
      <w:r w:rsidRPr="00CF13AC">
        <w:rPr>
          <w:rFonts w:ascii="Arial" w:hAnsi="Arial" w:cs="Arial" w:hint="eastAsia"/>
          <w:i/>
          <w:iCs/>
          <w:szCs w:val="22"/>
        </w:rPr>
        <w:t>I</w:t>
      </w:r>
      <w:r w:rsidRPr="006702A5">
        <w:rPr>
          <w:rFonts w:ascii="Arial" w:hAnsi="Arial" w:cs="Arial"/>
          <w:i/>
          <w:iCs/>
          <w:szCs w:val="22"/>
        </w:rPr>
        <w:t>n vitro</w:t>
      </w:r>
      <w:r w:rsidRPr="006702A5">
        <w:rPr>
          <w:rFonts w:ascii="Arial" w:hAnsi="Arial" w:cs="Arial"/>
          <w:szCs w:val="22"/>
        </w:rPr>
        <w:t xml:space="preserve"> Cre recombination assay </w:t>
      </w:r>
      <w:r>
        <w:rPr>
          <w:rFonts w:ascii="Arial" w:hAnsi="Arial" w:cs="Arial" w:hint="eastAsia"/>
          <w:szCs w:val="22"/>
        </w:rPr>
        <w:t xml:space="preserve">to verify </w:t>
      </w:r>
      <w:r w:rsidRPr="006702A5">
        <w:rPr>
          <w:rFonts w:ascii="Arial" w:hAnsi="Arial" w:cs="Arial"/>
          <w:i/>
          <w:iCs/>
          <w:szCs w:val="22"/>
        </w:rPr>
        <w:t>in cis</w:t>
      </w:r>
      <w:r w:rsidRPr="006702A5">
        <w:rPr>
          <w:rFonts w:ascii="Arial" w:hAnsi="Arial" w:cs="Arial"/>
          <w:szCs w:val="22"/>
        </w:rPr>
        <w:t xml:space="preserve"> integration of the two loxP sites at the </w:t>
      </w:r>
      <w:r w:rsidRPr="006702A5">
        <w:rPr>
          <w:rFonts w:ascii="Arial" w:hAnsi="Arial" w:cs="Arial"/>
          <w:i/>
          <w:iCs/>
          <w:szCs w:val="22"/>
        </w:rPr>
        <w:t>Ppia</w:t>
      </w:r>
      <w:r w:rsidRPr="006702A5">
        <w:rPr>
          <w:rFonts w:ascii="Arial" w:hAnsi="Arial" w:cs="Arial"/>
          <w:szCs w:val="22"/>
        </w:rPr>
        <w:t xml:space="preserve"> locus, together with representative PCR analysis</w:t>
      </w:r>
      <w:r>
        <w:rPr>
          <w:rFonts w:ascii="Arial" w:hAnsi="Arial" w:cs="Arial" w:hint="eastAsia"/>
          <w:szCs w:val="22"/>
        </w:rPr>
        <w:t xml:space="preserve">. </w:t>
      </w:r>
      <w:r w:rsidRPr="006702A5">
        <w:rPr>
          <w:rFonts w:ascii="Arial" w:hAnsi="Arial" w:cs="Arial"/>
          <w:szCs w:val="22"/>
        </w:rPr>
        <w:t>Red arrowheads indicate the recombined PCR products.</w:t>
      </w:r>
      <w:r w:rsidRPr="006702A5">
        <w:rPr>
          <w:rFonts w:ascii="Arial" w:hAnsi="Arial" w:cs="Arial" w:hint="eastAsia"/>
          <w:szCs w:val="22"/>
        </w:rPr>
        <w:t xml:space="preserve"> </w:t>
      </w:r>
      <w:r w:rsidRPr="006702A5">
        <w:rPr>
          <w:rFonts w:ascii="Arial" w:hAnsi="Arial" w:cs="Arial"/>
          <w:szCs w:val="22"/>
        </w:rPr>
        <w:t xml:space="preserve">(C) Representative PCR genotyping of genomic DNA from </w:t>
      </w:r>
      <w:r w:rsidRPr="006702A5">
        <w:rPr>
          <w:rFonts w:ascii="Arial" w:hAnsi="Arial" w:cs="Arial"/>
          <w:i/>
          <w:iCs/>
          <w:szCs w:val="22"/>
        </w:rPr>
        <w:t>Syt1</w:t>
      </w:r>
      <w:r w:rsidRPr="006702A5">
        <w:rPr>
          <w:rFonts w:ascii="Arial" w:hAnsi="Arial" w:cs="Arial"/>
          <w:szCs w:val="22"/>
        </w:rPr>
        <w:t xml:space="preserve">-targeted founder mice to detect loxP integration at the </w:t>
      </w:r>
      <w:r>
        <w:rPr>
          <w:rFonts w:ascii="Arial" w:hAnsi="Arial" w:cs="Arial" w:hint="eastAsia"/>
          <w:szCs w:val="22"/>
        </w:rPr>
        <w:t>L and R</w:t>
      </w:r>
      <w:r w:rsidRPr="006702A5">
        <w:rPr>
          <w:rFonts w:ascii="Arial" w:hAnsi="Arial" w:cs="Arial"/>
          <w:szCs w:val="22"/>
        </w:rPr>
        <w:t xml:space="preserve"> homology arms. Red arrowheads indicate PCR products containing the 40-bp loxP insertion.</w:t>
      </w:r>
      <w:r w:rsidRPr="006702A5">
        <w:rPr>
          <w:rFonts w:ascii="Arial" w:hAnsi="Arial" w:cs="Arial" w:hint="eastAsia"/>
          <w:szCs w:val="22"/>
        </w:rPr>
        <w:t xml:space="preserve"> </w:t>
      </w:r>
      <w:r w:rsidRPr="006702A5">
        <w:rPr>
          <w:rFonts w:ascii="Arial" w:hAnsi="Arial" w:cs="Arial"/>
          <w:szCs w:val="22"/>
        </w:rPr>
        <w:t xml:space="preserve">(D) </w:t>
      </w:r>
      <w:r w:rsidRPr="00CF13AC">
        <w:rPr>
          <w:rFonts w:ascii="Arial" w:hAnsi="Arial" w:cs="Arial" w:hint="eastAsia"/>
          <w:i/>
          <w:iCs/>
          <w:szCs w:val="22"/>
        </w:rPr>
        <w:t>I</w:t>
      </w:r>
      <w:r w:rsidRPr="006702A5">
        <w:rPr>
          <w:rFonts w:ascii="Arial" w:hAnsi="Arial" w:cs="Arial"/>
          <w:i/>
          <w:iCs/>
          <w:szCs w:val="22"/>
        </w:rPr>
        <w:t>n vitro</w:t>
      </w:r>
      <w:r w:rsidRPr="006702A5">
        <w:rPr>
          <w:rFonts w:ascii="Arial" w:hAnsi="Arial" w:cs="Arial"/>
          <w:szCs w:val="22"/>
        </w:rPr>
        <w:t xml:space="preserve"> Cre recombination assay </w:t>
      </w:r>
      <w:r>
        <w:rPr>
          <w:rFonts w:ascii="Arial" w:hAnsi="Arial" w:cs="Arial"/>
          <w:szCs w:val="22"/>
        </w:rPr>
        <w:t>to verify</w:t>
      </w:r>
      <w:r w:rsidRPr="006702A5">
        <w:rPr>
          <w:rFonts w:ascii="Arial" w:hAnsi="Arial" w:cs="Arial"/>
          <w:szCs w:val="22"/>
        </w:rPr>
        <w:t xml:space="preserve"> </w:t>
      </w:r>
      <w:r w:rsidRPr="006702A5">
        <w:rPr>
          <w:rFonts w:ascii="Arial" w:hAnsi="Arial" w:cs="Arial"/>
          <w:i/>
          <w:iCs/>
          <w:szCs w:val="22"/>
        </w:rPr>
        <w:t>in cis</w:t>
      </w:r>
      <w:r w:rsidRPr="006702A5">
        <w:rPr>
          <w:rFonts w:ascii="Arial" w:hAnsi="Arial" w:cs="Arial"/>
          <w:szCs w:val="22"/>
        </w:rPr>
        <w:t xml:space="preserve"> integration of the two loxP sites at the </w:t>
      </w:r>
      <w:r w:rsidRPr="006702A5">
        <w:rPr>
          <w:rFonts w:ascii="Arial" w:hAnsi="Arial" w:cs="Arial"/>
          <w:i/>
          <w:iCs/>
          <w:szCs w:val="22"/>
        </w:rPr>
        <w:t>Syt1</w:t>
      </w:r>
      <w:r w:rsidRPr="006702A5">
        <w:rPr>
          <w:rFonts w:ascii="Arial" w:hAnsi="Arial" w:cs="Arial"/>
          <w:szCs w:val="22"/>
        </w:rPr>
        <w:t xml:space="preserve"> locus, together with representative PCR analysis. Red arrowheads indicate the recombined PCR products.</w:t>
      </w:r>
    </w:p>
    <w:p w14:paraId="7A070E32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34E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BF13F9"/>
    <w:rsid w:val="00CD334E"/>
    <w:rsid w:val="00CE738E"/>
    <w:rsid w:val="00D31E7D"/>
    <w:rsid w:val="00EE00D9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BBB33"/>
  <w15:chartTrackingRefBased/>
  <w15:docId w15:val="{E4ADD4CE-81B0-48D5-B014-1A078AB7C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34E"/>
    <w:pPr>
      <w:widowControl w:val="0"/>
      <w:wordWrap w:val="0"/>
      <w:autoSpaceDE w:val="0"/>
      <w:autoSpaceDN w:val="0"/>
      <w:spacing w:line="240" w:lineRule="auto"/>
    </w:pPr>
    <w:rPr>
      <w:rFonts w:asciiTheme="minorEastAsia" w:eastAsiaTheme="minorEastAsia"/>
      <w:sz w:val="22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334E"/>
    <w:pPr>
      <w:keepNext/>
      <w:keepLines/>
      <w:widowControl/>
      <w:wordWrap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34E"/>
    <w:pPr>
      <w:keepNext/>
      <w:keepLines/>
      <w:widowControl/>
      <w:wordWrap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34E"/>
    <w:pPr>
      <w:keepNext/>
      <w:keepLines/>
      <w:widowControl/>
      <w:wordWrap/>
      <w:autoSpaceDE/>
      <w:autoSpaceDN/>
      <w:spacing w:before="160" w:after="80" w:line="278" w:lineRule="auto"/>
      <w:outlineLvl w:val="2"/>
    </w:pPr>
    <w:rPr>
      <w:rFonts w:asciiTheme="minorHAnsi"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34E"/>
    <w:pPr>
      <w:keepNext/>
      <w:keepLines/>
      <w:widowControl/>
      <w:wordWrap/>
      <w:autoSpaceDE/>
      <w:autoSpaceDN/>
      <w:spacing w:before="80" w:after="40" w:line="278" w:lineRule="auto"/>
      <w:outlineLvl w:val="3"/>
    </w:pPr>
    <w:rPr>
      <w:rFonts w:asciiTheme="minorHAnsi" w:eastAsiaTheme="majorEastAsia" w:cstheme="majorBidi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34E"/>
    <w:pPr>
      <w:keepNext/>
      <w:keepLines/>
      <w:widowControl/>
      <w:wordWrap/>
      <w:autoSpaceDE/>
      <w:autoSpaceDN/>
      <w:spacing w:before="80" w:after="40" w:line="278" w:lineRule="auto"/>
      <w:outlineLvl w:val="4"/>
    </w:pPr>
    <w:rPr>
      <w:rFonts w:asciiTheme="minorHAnsi" w:eastAsiaTheme="majorEastAsia" w:cstheme="majorBidi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34E"/>
    <w:pPr>
      <w:keepNext/>
      <w:keepLines/>
      <w:widowControl/>
      <w:wordWrap/>
      <w:autoSpaceDE/>
      <w:autoSpaceDN/>
      <w:spacing w:before="40" w:after="0" w:line="278" w:lineRule="auto"/>
      <w:outlineLvl w:val="5"/>
    </w:pPr>
    <w:rPr>
      <w:rFonts w:asciiTheme="minorHAnsi" w:eastAsiaTheme="majorEastAsia" w:cstheme="majorBidi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34E"/>
    <w:pPr>
      <w:keepNext/>
      <w:keepLines/>
      <w:widowControl/>
      <w:wordWrap/>
      <w:autoSpaceDE/>
      <w:autoSpaceDN/>
      <w:spacing w:before="40" w:after="0" w:line="278" w:lineRule="auto"/>
      <w:outlineLvl w:val="6"/>
    </w:pPr>
    <w:rPr>
      <w:rFonts w:asciiTheme="minorHAnsi" w:eastAsiaTheme="majorEastAsia" w:cstheme="majorBidi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34E"/>
    <w:pPr>
      <w:keepNext/>
      <w:keepLines/>
      <w:widowControl/>
      <w:wordWrap/>
      <w:autoSpaceDE/>
      <w:autoSpaceDN/>
      <w:spacing w:after="0" w:line="278" w:lineRule="auto"/>
      <w:outlineLvl w:val="7"/>
    </w:pPr>
    <w:rPr>
      <w:rFonts w:asciiTheme="minorHAnsi" w:eastAsiaTheme="majorEastAsia" w:cstheme="majorBidi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34E"/>
    <w:pPr>
      <w:keepNext/>
      <w:keepLines/>
      <w:widowControl/>
      <w:wordWrap/>
      <w:autoSpaceDE/>
      <w:autoSpaceDN/>
      <w:spacing w:after="0" w:line="278" w:lineRule="auto"/>
      <w:outlineLvl w:val="8"/>
    </w:pPr>
    <w:rPr>
      <w:rFonts w:asciiTheme="minorHAnsi" w:eastAsiaTheme="majorEastAsia" w:cstheme="majorBidi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3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3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3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3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3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3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3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3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3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34E"/>
    <w:pPr>
      <w:widowControl/>
      <w:wordWrap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D3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34E"/>
    <w:pPr>
      <w:widowControl/>
      <w:numPr>
        <w:ilvl w:val="1"/>
      </w:numPr>
      <w:wordWrap/>
      <w:autoSpaceDE/>
      <w:autoSpaceDN/>
      <w:spacing w:line="278" w:lineRule="auto"/>
    </w:pPr>
    <w:rPr>
      <w:rFonts w:asciiTheme="minorHAnsi"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D3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34E"/>
    <w:pPr>
      <w:widowControl/>
      <w:wordWrap/>
      <w:autoSpaceDE/>
      <w:autoSpaceDN/>
      <w:spacing w:before="160" w:line="278" w:lineRule="auto"/>
      <w:jc w:val="center"/>
    </w:pPr>
    <w:rPr>
      <w:rFonts w:asciiTheme="minorHAnsi" w:eastAsiaTheme="minorHAnsi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D33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34E"/>
    <w:pPr>
      <w:widowControl/>
      <w:wordWrap/>
      <w:autoSpaceDE/>
      <w:autoSpaceDN/>
      <w:spacing w:line="278" w:lineRule="auto"/>
      <w:ind w:left="720"/>
      <w:contextualSpacing/>
    </w:pPr>
    <w:rPr>
      <w:rFonts w:asciiTheme="minorHAnsi" w:eastAsiaTheme="minorHAnsi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CD33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34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3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3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2026-09-22T11:26:00Z</dcterms:created>
  <dcterms:modified xsi:type="dcterms:W3CDTF">2026-09-22T11:26:00Z</dcterms:modified>
</cp:coreProperties>
</file>