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3B6B7" w14:textId="77777777" w:rsidR="006C675A" w:rsidRPr="00E65D59" w:rsidRDefault="006C675A" w:rsidP="006C675A">
      <w:pPr>
        <w:pStyle w:val="NoSpacing"/>
        <w:jc w:val="both"/>
        <w:rPr>
          <w:rFonts w:ascii="Arial" w:hAnsi="Arial" w:cs="Arial"/>
          <w:b/>
          <w:bCs/>
          <w:color w:val="000000" w:themeColor="text1"/>
        </w:rPr>
      </w:pPr>
      <w:r w:rsidRPr="00E65D59">
        <w:rPr>
          <w:rFonts w:ascii="Arial" w:hAnsi="Arial" w:cs="Arial"/>
          <w:b/>
          <w:bCs/>
          <w:color w:val="000000" w:themeColor="text1"/>
        </w:rPr>
        <w:t>SUPPLEMENTARY INFORMATION</w:t>
      </w:r>
    </w:p>
    <w:p w14:paraId="091552DD" w14:textId="77777777" w:rsidR="006C675A" w:rsidRPr="006F3540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1218AD99" w14:textId="77777777" w:rsidR="006C675A" w:rsidRDefault="006C675A" w:rsidP="006C675A">
      <w:pPr>
        <w:pStyle w:val="NoSpacing"/>
        <w:spacing w:after="6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D7602">
        <w:rPr>
          <w:rFonts w:ascii="Arial" w:hAnsi="Arial" w:cs="Arial"/>
          <w:b/>
          <w:bCs/>
          <w:color w:val="000000" w:themeColor="text1"/>
          <w:sz w:val="22"/>
          <w:szCs w:val="22"/>
        </w:rPr>
        <w:t>Supplementary Figure S1. Slide-level Grade Group classification on SICAPv2.</w:t>
      </w:r>
    </w:p>
    <w:p w14:paraId="57C87ABB" w14:textId="77777777" w:rsidR="006C675A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6218F">
        <w:rPr>
          <w:rFonts w:ascii="Arial" w:hAnsi="Arial" w:cs="Arial"/>
          <w:color w:val="000000" w:themeColor="text1"/>
          <w:sz w:val="22"/>
          <w:szCs w:val="22"/>
        </w:rPr>
        <w:t xml:space="preserve">Discrimination of the separate attention-based slide-level Grade Group (GG) classifier trained on frozen Prov-GigaPath embeddings from 155 prostate needle-biopsy whole-slide images </w:t>
      </w:r>
      <w:r>
        <w:rPr>
          <w:rFonts w:ascii="Arial" w:hAnsi="Arial" w:cs="Arial"/>
          <w:color w:val="000000" w:themeColor="text1"/>
          <w:sz w:val="22"/>
          <w:szCs w:val="22"/>
        </w:rPr>
        <w:t>from</w:t>
      </w:r>
      <w:r w:rsidRPr="00E6218F">
        <w:rPr>
          <w:rFonts w:ascii="Arial" w:hAnsi="Arial" w:cs="Arial"/>
          <w:color w:val="000000" w:themeColor="text1"/>
          <w:sz w:val="22"/>
          <w:szCs w:val="22"/>
        </w:rPr>
        <w:t xml:space="preserve"> 95 patients. Performance was evaluated by nested patient-grouped five-fold cross-validation. Points show areas under the receiver operating characteristic curve (AUCs), with patient-bootstrap 95% confidence intervals (CIs), for the indicated one-versus-rest and binary classification tasks. Macro AUCs were calculated separately across cancer grades GG1</w:t>
      </w:r>
      <w:r>
        <w:rPr>
          <w:rFonts w:ascii="Arial" w:hAnsi="Arial" w:cs="Arial"/>
          <w:color w:val="000000" w:themeColor="text1"/>
          <w:sz w:val="22"/>
          <w:szCs w:val="22"/>
        </w:rPr>
        <w:t>-</w:t>
      </w:r>
      <w:r w:rsidRPr="00E6218F">
        <w:rPr>
          <w:rFonts w:ascii="Arial" w:hAnsi="Arial" w:cs="Arial"/>
          <w:color w:val="000000" w:themeColor="text1"/>
          <w:sz w:val="22"/>
          <w:szCs w:val="22"/>
        </w:rPr>
        <w:t>GG5 and across all six classes comprising benign tissue and GG1</w:t>
      </w:r>
      <w:r>
        <w:rPr>
          <w:rFonts w:ascii="Arial" w:hAnsi="Arial" w:cs="Arial"/>
          <w:color w:val="000000" w:themeColor="text1"/>
          <w:sz w:val="22"/>
          <w:szCs w:val="22"/>
        </w:rPr>
        <w:t>-</w:t>
      </w:r>
      <w:r w:rsidRPr="00E6218F">
        <w:rPr>
          <w:rFonts w:ascii="Arial" w:hAnsi="Arial" w:cs="Arial"/>
          <w:color w:val="000000" w:themeColor="text1"/>
          <w:sz w:val="22"/>
          <w:szCs w:val="22"/>
        </w:rPr>
        <w:t>GG5. The reference line marks AUC = 0.5.</w:t>
      </w:r>
    </w:p>
    <w:p w14:paraId="411941F5" w14:textId="77777777" w:rsidR="006C675A" w:rsidRPr="00E6218F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01042EAC" w14:textId="77777777" w:rsidR="006C675A" w:rsidRDefault="006C675A" w:rsidP="006C675A">
      <w:pPr>
        <w:pStyle w:val="NoSpacing"/>
        <w:spacing w:after="6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D7602">
        <w:rPr>
          <w:rFonts w:ascii="Arial" w:hAnsi="Arial" w:cs="Arial"/>
          <w:b/>
          <w:bCs/>
          <w:color w:val="000000" w:themeColor="text1"/>
          <w:sz w:val="22"/>
          <w:szCs w:val="22"/>
        </w:rPr>
        <w:t>Supplementary Figure S2. PLCO score distribution, aggregation sensitivity, and nonlinearity.</w:t>
      </w:r>
    </w:p>
    <w:p w14:paraId="187F27B9" w14:textId="77777777" w:rsidR="006C675A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B0FD8">
        <w:rPr>
          <w:rFonts w:ascii="Arial" w:hAnsi="Arial" w:cs="Arial"/>
          <w:color w:val="000000" w:themeColor="text1"/>
          <w:sz w:val="22"/>
          <w:szCs w:val="22"/>
        </w:rPr>
        <w:t>(a) Distribution of the patient-level architecture score among men alive at last follow-up (n = 540), those who died from causes other than prostate cancer (n = 480), and those who died from prostate cancer (n = 66). Points represent individual patients; violins summarize the score distributions. The overall comparison used the Kruskal</w:t>
      </w:r>
      <w:r>
        <w:rPr>
          <w:rFonts w:ascii="Arial" w:hAnsi="Arial" w:cs="Arial"/>
          <w:color w:val="000000" w:themeColor="text1"/>
          <w:sz w:val="22"/>
          <w:szCs w:val="22"/>
        </w:rPr>
        <w:t>-</w:t>
      </w:r>
      <w:r w:rsidRPr="00AB0FD8">
        <w:rPr>
          <w:rFonts w:ascii="Arial" w:hAnsi="Arial" w:cs="Arial"/>
          <w:color w:val="000000" w:themeColor="text1"/>
          <w:sz w:val="22"/>
          <w:szCs w:val="22"/>
        </w:rPr>
        <w:t>Wallis test (P = 4.4 × 10</w:t>
      </w:r>
      <w:r w:rsidRPr="00AB0FD8">
        <w:rPr>
          <w:rFonts w:ascii="Cambria Math" w:hAnsi="Cambria Math" w:cs="Cambria Math"/>
          <w:color w:val="000000" w:themeColor="text1"/>
          <w:sz w:val="22"/>
          <w:szCs w:val="22"/>
        </w:rPr>
        <w:t>⁻</w:t>
      </w:r>
      <w:r w:rsidRPr="00AB0FD8">
        <w:rPr>
          <w:rFonts w:ascii="Arial" w:hAnsi="Arial" w:cs="Arial"/>
          <w:color w:val="000000" w:themeColor="text1"/>
          <w:sz w:val="22"/>
          <w:szCs w:val="22"/>
        </w:rPr>
        <w:t xml:space="preserve">⁹). </w:t>
      </w:r>
    </w:p>
    <w:p w14:paraId="61239044" w14:textId="77777777" w:rsidR="006C675A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B0FD8">
        <w:rPr>
          <w:rFonts w:ascii="Arial" w:hAnsi="Arial" w:cs="Arial"/>
          <w:color w:val="000000" w:themeColor="text1"/>
          <w:sz w:val="22"/>
          <w:szCs w:val="22"/>
        </w:rPr>
        <w:t xml:space="preserve">(b) Age-adjusted cause-specific hazard ratios (HRs) for prostate cancer-specific mortality (PCSM) per standard-deviation (SD) increase in alternative patient-level aggregates: the mean of the highest-scoring 1%, 5%, 10%, or 20% of tumor tiles, the fraction of tumor tiles with an adverse score above 0.50, and the maximum-region rule. The prespecified top-10% mean is highlighted in red; error bars represent Wald 95% CIs. </w:t>
      </w:r>
    </w:p>
    <w:p w14:paraId="2C625E8D" w14:textId="77777777" w:rsidR="006C675A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B0FD8">
        <w:rPr>
          <w:rFonts w:ascii="Arial" w:hAnsi="Arial" w:cs="Arial"/>
          <w:color w:val="000000" w:themeColor="text1"/>
          <w:sz w:val="22"/>
          <w:szCs w:val="22"/>
        </w:rPr>
        <w:t xml:space="preserve">(c) Restricted-cubic-spline association between the architecture score and PCSM hazard, relative to the cohort median, with knots at the 10th, 50th, and 90th percentiles. Markers identify selected score percentiles. The likelihood-ratio comparison with a linear score term yielded χ² = 10.1 and P = 0.0015. </w:t>
      </w:r>
    </w:p>
    <w:p w14:paraId="54D22149" w14:textId="77777777" w:rsidR="006C675A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B0FD8">
        <w:rPr>
          <w:rFonts w:ascii="Arial" w:hAnsi="Arial" w:cs="Arial"/>
          <w:color w:val="000000" w:themeColor="text1"/>
          <w:sz w:val="22"/>
          <w:szCs w:val="22"/>
        </w:rPr>
        <w:t>(d) Histogram of the architecture score in the PLCO analysis cohort, sharing the score axis with panel c. The vertical reference identifies the median.</w:t>
      </w:r>
    </w:p>
    <w:p w14:paraId="1C53D419" w14:textId="77777777" w:rsidR="006C675A" w:rsidRPr="00AB0FD8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6FC901B" w14:textId="77777777" w:rsidR="006C675A" w:rsidRDefault="006C675A" w:rsidP="006C675A">
      <w:pPr>
        <w:pStyle w:val="NoSpacing"/>
        <w:spacing w:after="6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D7602">
        <w:rPr>
          <w:rFonts w:ascii="Arial" w:hAnsi="Arial" w:cs="Arial"/>
          <w:b/>
          <w:bCs/>
          <w:color w:val="000000" w:themeColor="text1"/>
          <w:sz w:val="22"/>
          <w:szCs w:val="22"/>
        </w:rPr>
        <w:t>Supplementary Figure S3. Discrimination, calibration, and decision curves.</w:t>
      </w:r>
    </w:p>
    <w:p w14:paraId="32315186" w14:textId="77777777" w:rsidR="006C675A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B0FD8">
        <w:rPr>
          <w:rFonts w:ascii="Arial" w:hAnsi="Arial" w:cs="Arial"/>
          <w:color w:val="000000" w:themeColor="text1"/>
          <w:sz w:val="22"/>
          <w:szCs w:val="22"/>
        </w:rPr>
        <w:t xml:space="preserve">(a, b) Inverse-probability-of-censoring-weighted cumulative/dynamic AUCs for the architecture score alone in PLCO, evaluated against prostate cancer-specific mortality (PCSM) at 10, 15, and 20 years (a), and in TCGA-PRAD, evaluated against disease-free survival (DFS) at 3, 5, and 8 years (b). Error bars represent patient-bootstrap 95% confidence intervals (CIs); the reference line marks AUC = 0.5. </w:t>
      </w:r>
    </w:p>
    <w:p w14:paraId="291142DE" w14:textId="77777777" w:rsidR="006C675A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B0FD8">
        <w:rPr>
          <w:rFonts w:ascii="Arial" w:hAnsi="Arial" w:cs="Arial"/>
          <w:color w:val="000000" w:themeColor="text1"/>
          <w:sz w:val="22"/>
          <w:szCs w:val="22"/>
        </w:rPr>
        <w:t xml:space="preserve">(c, d) Mean predicted versus observed event probabilities for the cohort-specific clinical model plus architecture score, summarized within predicted-risk quartiles for 10-year PCSM in PLCO (c) and quintiles for five-year DFS in TCGA-PRAD (d). The diagonal denotes agreement between predicted and observed probabilities. </w:t>
      </w:r>
    </w:p>
    <w:p w14:paraId="163F198A" w14:textId="77777777" w:rsidR="006C675A" w:rsidRPr="00AB0FD8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B0FD8">
        <w:rPr>
          <w:rFonts w:ascii="Arial" w:hAnsi="Arial" w:cs="Arial"/>
          <w:color w:val="000000" w:themeColor="text1"/>
          <w:sz w:val="22"/>
          <w:szCs w:val="22"/>
        </w:rPr>
        <w:t>(e, f) Competing-risk decision curves for the PLCO clinical model with and without the architecture score at 15 years (e) and 20 years (f), using out-of-fold predictions from patient-grouped cross-validation. The clinical model included age, log diagnostic prostate-specific antigen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(PSA)</w:t>
      </w:r>
      <w:r w:rsidRPr="00AB0FD8">
        <w:rPr>
          <w:rFonts w:ascii="Arial" w:hAnsi="Arial" w:cs="Arial"/>
          <w:color w:val="000000" w:themeColor="text1"/>
          <w:sz w:val="22"/>
          <w:szCs w:val="22"/>
        </w:rPr>
        <w:t>, biopsy Gleason grade, and clinical stage; the analysis included 1,027 patients with 65 PCSM events over complete follow-up. Incremental net benefit was calculated as the difference between the clinical-plus-score and clinical-only models, with paired patient-bootstrap intervals and a shrinkage sensitivity analysis.</w:t>
      </w:r>
    </w:p>
    <w:p w14:paraId="0DC38346" w14:textId="77777777" w:rsidR="006C675A" w:rsidRDefault="006C675A" w:rsidP="006C675A">
      <w:pPr>
        <w:pStyle w:val="NoSpacing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08FDA7D" w14:textId="77777777" w:rsidR="006C675A" w:rsidRDefault="006C675A" w:rsidP="006C675A">
      <w:pPr>
        <w:pStyle w:val="NoSpacing"/>
        <w:spacing w:after="6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D7602">
        <w:rPr>
          <w:rFonts w:ascii="Arial" w:hAnsi="Arial" w:cs="Arial"/>
          <w:b/>
          <w:bCs/>
          <w:color w:val="000000" w:themeColor="text1"/>
          <w:sz w:val="22"/>
          <w:szCs w:val="22"/>
        </w:rPr>
        <w:t>Supplementary Figure S4. TCGA-PRAD aggregate scale and aggregation sensitivity.</w:t>
      </w:r>
    </w:p>
    <w:p w14:paraId="49BDC0E1" w14:textId="77777777" w:rsidR="006C675A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B0FD8">
        <w:rPr>
          <w:rFonts w:ascii="Arial" w:hAnsi="Arial" w:cs="Arial"/>
          <w:color w:val="000000" w:themeColor="text1"/>
          <w:sz w:val="22"/>
          <w:szCs w:val="22"/>
        </w:rPr>
        <w:t>(a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) </w:t>
      </w:r>
      <w:r w:rsidRPr="00AB0FD8">
        <w:rPr>
          <w:rFonts w:ascii="Arial" w:hAnsi="Arial" w:cs="Arial"/>
          <w:color w:val="000000" w:themeColor="text1"/>
          <w:sz w:val="22"/>
          <w:szCs w:val="22"/>
        </w:rPr>
        <w:t>Distributions of the prespecified top-10% tumor-tile probability mean and the alternative mean tumor-tile logit. Each distribution is independently min</w:t>
      </w:r>
      <w:r>
        <w:rPr>
          <w:rFonts w:ascii="Arial" w:hAnsi="Arial" w:cs="Arial"/>
          <w:color w:val="000000" w:themeColor="text1"/>
          <w:sz w:val="22"/>
          <w:szCs w:val="22"/>
        </w:rPr>
        <w:t>-</w:t>
      </w:r>
      <w:r w:rsidRPr="00AB0FD8">
        <w:rPr>
          <w:rFonts w:ascii="Arial" w:hAnsi="Arial" w:cs="Arial"/>
          <w:color w:val="000000" w:themeColor="text1"/>
          <w:sz w:val="22"/>
          <w:szCs w:val="22"/>
        </w:rPr>
        <w:t>max scaled for display; interquartile ranges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lastRenderedPageBreak/>
        <w:t>(IQRs)</w:t>
      </w:r>
      <w:r w:rsidRPr="00AB0FD8">
        <w:rPr>
          <w:rFonts w:ascii="Arial" w:hAnsi="Arial" w:cs="Arial"/>
          <w:color w:val="000000" w:themeColor="text1"/>
          <w:sz w:val="22"/>
          <w:szCs w:val="22"/>
        </w:rPr>
        <w:t xml:space="preserve"> are reported in the original units: 0.093 probability units and 2.80 log-odds units, respectively. </w:t>
      </w:r>
    </w:p>
    <w:p w14:paraId="0F9D5EEB" w14:textId="77777777" w:rsidR="006C675A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B0FD8">
        <w:rPr>
          <w:rFonts w:ascii="Arial" w:hAnsi="Arial" w:cs="Arial"/>
          <w:color w:val="000000" w:themeColor="text1"/>
          <w:sz w:val="22"/>
          <w:szCs w:val="22"/>
        </w:rPr>
        <w:t xml:space="preserve">(b) Disease-free survival (DFS) hazard ratios (HRs) per standard-deviation (SD) increase in each aggregate, with 95% confidence intervals (CIs). </w:t>
      </w:r>
    </w:p>
    <w:p w14:paraId="234F156B" w14:textId="77777777" w:rsidR="006C675A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B0FD8">
        <w:rPr>
          <w:rFonts w:ascii="Arial" w:hAnsi="Arial" w:cs="Arial"/>
          <w:color w:val="000000" w:themeColor="text1"/>
          <w:sz w:val="22"/>
          <w:szCs w:val="22"/>
        </w:rPr>
        <w:t xml:space="preserve">(c) Restricted-cubic-spline associations with DFS on the within-cohort standardized scale. Each curve is referenced to the median of its own aggregate; rug marks indicate observed patient values. </w:t>
      </w:r>
    </w:p>
    <w:p w14:paraId="2BF57E9E" w14:textId="77777777" w:rsidR="006C675A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B0FD8">
        <w:rPr>
          <w:rFonts w:ascii="Arial" w:hAnsi="Arial" w:cs="Arial"/>
          <w:color w:val="000000" w:themeColor="text1"/>
          <w:sz w:val="22"/>
          <w:szCs w:val="22"/>
        </w:rPr>
        <w:t>(d) Age-adjusted DFS HRs per SD for the mean of the highest-scoring 5%, 10%, or 20% of tumor tiles, the fraction of tumor tiles with an adverse score above 0.50, and the maximum-region rule. The prespecified top-10% mean is highlighted in red; error bars represent Wald 95% CIs. The top-10% probability mean remained the architecture score used for the main analyses.</w:t>
      </w:r>
    </w:p>
    <w:p w14:paraId="04073796" w14:textId="77777777" w:rsidR="006C675A" w:rsidRDefault="006C675A" w:rsidP="006C675A">
      <w:pPr>
        <w:pStyle w:val="NoSpacing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3EC3436" w14:textId="77777777" w:rsidR="006C675A" w:rsidRDefault="006C675A" w:rsidP="006C675A">
      <w:pPr>
        <w:pStyle w:val="NoSpacing"/>
        <w:spacing w:after="6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D7602">
        <w:rPr>
          <w:rFonts w:ascii="Arial" w:hAnsi="Arial" w:cs="Arial"/>
          <w:b/>
          <w:bCs/>
          <w:color w:val="000000" w:themeColor="text1"/>
          <w:sz w:val="22"/>
          <w:szCs w:val="22"/>
        </w:rPr>
        <w:t>Supplementary Figure S5. Spatial score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-</w:t>
      </w:r>
      <w:r w:rsidRPr="007D7602">
        <w:rPr>
          <w:rFonts w:ascii="Arial" w:hAnsi="Arial" w:cs="Arial"/>
          <w:b/>
          <w:bCs/>
          <w:color w:val="000000" w:themeColor="text1"/>
          <w:sz w:val="22"/>
          <w:szCs w:val="22"/>
        </w:rPr>
        <w:t>program associations.</w:t>
      </w:r>
    </w:p>
    <w:p w14:paraId="379BB05E" w14:textId="77777777" w:rsidR="006C675A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6218F">
        <w:rPr>
          <w:rFonts w:ascii="Arial" w:hAnsi="Arial" w:cs="Arial"/>
          <w:color w:val="000000" w:themeColor="text1"/>
          <w:sz w:val="22"/>
          <w:szCs w:val="22"/>
        </w:rPr>
        <w:t>Within-capture-area Spearman correlations between the H&amp;E-derived architecture score and proliferation, androgen receptor (AR) activity, and stromal metagene expression across 12 prostate cancer capture areas. Each row represents one capture area; circles, diamonds, and squares identify proliferation, AR activity, and the stromal metagene, respectively. Correlations were calculated across tumor spots within each area, and rows are ordered by the score</w:t>
      </w:r>
      <w:r>
        <w:rPr>
          <w:rFonts w:ascii="Arial" w:hAnsi="Arial" w:cs="Arial"/>
          <w:color w:val="000000" w:themeColor="text1"/>
          <w:sz w:val="22"/>
          <w:szCs w:val="22"/>
        </w:rPr>
        <w:t>-</w:t>
      </w:r>
      <w:r w:rsidRPr="00E6218F">
        <w:rPr>
          <w:rFonts w:ascii="Arial" w:hAnsi="Arial" w:cs="Arial"/>
          <w:color w:val="000000" w:themeColor="text1"/>
          <w:sz w:val="22"/>
          <w:szCs w:val="22"/>
        </w:rPr>
        <w:t xml:space="preserve">stroma correlation. The vertical reference marks ρ = 0. </w:t>
      </w:r>
    </w:p>
    <w:p w14:paraId="6AC9DB31" w14:textId="77777777" w:rsidR="006C675A" w:rsidRPr="00E6218F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CEAC6DC" w14:textId="77777777" w:rsidR="006C675A" w:rsidRDefault="006C675A" w:rsidP="006C675A">
      <w:pPr>
        <w:pStyle w:val="NoSpacing"/>
        <w:spacing w:after="6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D7602">
        <w:rPr>
          <w:rFonts w:ascii="Arial" w:hAnsi="Arial" w:cs="Arial"/>
          <w:b/>
          <w:bCs/>
          <w:color w:val="000000" w:themeColor="text1"/>
          <w:sz w:val="22"/>
          <w:szCs w:val="22"/>
        </w:rPr>
        <w:t>Supplementary Figure S6. Encoder robustness, grade strata, and cross-cohort evaluation.</w:t>
      </w:r>
    </w:p>
    <w:p w14:paraId="35DBBAAB" w14:textId="77777777" w:rsidR="006C675A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A0D62">
        <w:rPr>
          <w:rFonts w:ascii="Arial" w:hAnsi="Arial" w:cs="Arial"/>
          <w:color w:val="000000" w:themeColor="text1"/>
          <w:sz w:val="22"/>
          <w:szCs w:val="22"/>
        </w:rPr>
        <w:t>(a) Hazard ratios (HRs) comparing the highest architecture-score tertile with the lower two tertiles after training the Gleason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A0D62">
        <w:rPr>
          <w:rFonts w:ascii="Arial" w:hAnsi="Arial" w:cs="Arial"/>
          <w:color w:val="000000" w:themeColor="text1"/>
          <w:sz w:val="22"/>
          <w:szCs w:val="22"/>
        </w:rPr>
        <w:t xml:space="preserve">pattern classifier separately on SICAPv2 embeddings from Prov-GigaPath, Virchow2, or UNI2-h. Tertiles were defined within each cohort and encoder. Endpoints were prostate cancer-specific mortality (PCSM) in PLCO and disease-free survival (DFS) in TCGA-PRAD. </w:t>
      </w:r>
    </w:p>
    <w:p w14:paraId="4994F64E" w14:textId="77777777" w:rsidR="006C675A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A0D62">
        <w:rPr>
          <w:rFonts w:ascii="Arial" w:hAnsi="Arial" w:cs="Arial"/>
          <w:color w:val="000000" w:themeColor="text1"/>
          <w:sz w:val="22"/>
          <w:szCs w:val="22"/>
        </w:rPr>
        <w:t xml:space="preserve">(b) Spearman correlations between the architecture score and biopsy Gleason grade in PLCO or radical-prostatectomy (RP) Gleason grade in TCGA-PRAD, shown separately for each encoder. </w:t>
      </w:r>
    </w:p>
    <w:p w14:paraId="72B9F369" w14:textId="77777777" w:rsidR="006C675A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A0D62">
        <w:rPr>
          <w:rFonts w:ascii="Arial" w:hAnsi="Arial" w:cs="Arial"/>
          <w:color w:val="000000" w:themeColor="text1"/>
          <w:sz w:val="22"/>
          <w:szCs w:val="22"/>
        </w:rPr>
        <w:t xml:space="preserve">(c) Unadjusted cause-specific PCSM HRs per standard-deviation (SD) increase in the score within the biopsy-Gleason-7 subset (n = 282; 33 events) and RP-Gleason-7 subset (n = 402; 27 events). These are overlapping subsets of PLCO. </w:t>
      </w:r>
    </w:p>
    <w:p w14:paraId="62BC049E" w14:textId="77777777" w:rsidR="006C675A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A0D62">
        <w:rPr>
          <w:rFonts w:ascii="Arial" w:hAnsi="Arial" w:cs="Arial"/>
          <w:color w:val="000000" w:themeColor="text1"/>
          <w:sz w:val="22"/>
          <w:szCs w:val="22"/>
        </w:rPr>
        <w:t xml:space="preserve">(d) Age-adjusted and clinically adjusted PCSM HRs per SD using Prov-GigaPath or ImageNet-pretrained ResNet50 embeddings. Clinical adjustment included age, log diagnostic prostate-specific antigen, biopsy Gleason grade, and clinical stage. Error bars in a, c, and d represent 95% confidence intervals (CIs). </w:t>
      </w:r>
    </w:p>
    <w:p w14:paraId="620A1CCE" w14:textId="77777777" w:rsidR="006C675A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A0D62">
        <w:rPr>
          <w:rFonts w:ascii="Arial" w:hAnsi="Arial" w:cs="Arial"/>
          <w:color w:val="000000" w:themeColor="text1"/>
          <w:sz w:val="22"/>
          <w:szCs w:val="22"/>
        </w:rPr>
        <w:t>(e) Harrell C-indices for an outcome-supervised attention-based Cox model trained on TCGA-PRAD DFS and evaluated on PLCO PCSM, or trained on PLCO PCSM and evaluated on TCGA-PRAD DFS. Gray markers distinguish in-sample training performance from external evaluation; red markers show external performance of the outcome-blind histomorphologic model.</w:t>
      </w:r>
    </w:p>
    <w:p w14:paraId="38FFEAE5" w14:textId="77777777" w:rsidR="006C675A" w:rsidRPr="00AA0D62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A0D62">
        <w:rPr>
          <w:rFonts w:ascii="Arial" w:hAnsi="Arial" w:cs="Arial"/>
          <w:color w:val="000000" w:themeColor="text1"/>
          <w:sz w:val="22"/>
          <w:szCs w:val="22"/>
        </w:rPr>
        <w:t>(f) Aalen</w:t>
      </w:r>
      <w:r>
        <w:rPr>
          <w:rFonts w:ascii="Arial" w:hAnsi="Arial" w:cs="Arial"/>
          <w:color w:val="000000" w:themeColor="text1"/>
          <w:sz w:val="22"/>
          <w:szCs w:val="22"/>
        </w:rPr>
        <w:t>-</w:t>
      </w:r>
      <w:r w:rsidRPr="00AA0D62">
        <w:rPr>
          <w:rFonts w:ascii="Arial" w:hAnsi="Arial" w:cs="Arial"/>
          <w:color w:val="000000" w:themeColor="text1"/>
          <w:sz w:val="22"/>
          <w:szCs w:val="22"/>
        </w:rPr>
        <w:t>Johansen PCSM cumulative-incidence curves by within-stratum score tertile among 706 men with biopsy Gleason ≤6, including 17 PCSM events. Death from other causes was treated as a competing event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AA0D6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>I</w:t>
      </w:r>
      <w:r w:rsidRPr="00AA0D62">
        <w:rPr>
          <w:rFonts w:ascii="Arial" w:hAnsi="Arial" w:cs="Arial"/>
          <w:color w:val="000000" w:themeColor="text1"/>
          <w:sz w:val="22"/>
          <w:szCs w:val="22"/>
        </w:rPr>
        <w:t>ntervals were obtained by patient-level bootstrap.</w:t>
      </w:r>
    </w:p>
    <w:p w14:paraId="4CE327C9" w14:textId="77777777" w:rsidR="006C675A" w:rsidRDefault="006C675A" w:rsidP="006C675A">
      <w:pPr>
        <w:pStyle w:val="NoSpacing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17A26A2" w14:textId="77777777" w:rsidR="006C675A" w:rsidRDefault="006C675A" w:rsidP="006C675A">
      <w:pPr>
        <w:pStyle w:val="NoSpacing"/>
        <w:spacing w:after="60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D7602">
        <w:rPr>
          <w:rFonts w:ascii="Arial" w:hAnsi="Arial" w:cs="Arial"/>
          <w:b/>
          <w:bCs/>
          <w:color w:val="000000" w:themeColor="text1"/>
          <w:sz w:val="22"/>
          <w:szCs w:val="22"/>
        </w:rPr>
        <w:t>Supplementary Figure S7. Tissue-sampling sensitivity and repeatability.</w:t>
      </w:r>
    </w:p>
    <w:p w14:paraId="0628DBD0" w14:textId="77777777" w:rsidR="006C675A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A0D62">
        <w:rPr>
          <w:rFonts w:ascii="Arial" w:hAnsi="Arial" w:cs="Arial"/>
          <w:color w:val="000000" w:themeColor="text1"/>
          <w:sz w:val="22"/>
          <w:szCs w:val="22"/>
        </w:rPr>
        <w:t xml:space="preserve">(a) Number of sampled tissue units per PLCO patient and repeatability of the architecture score across available samples. </w:t>
      </w:r>
      <w:r>
        <w:rPr>
          <w:rFonts w:ascii="Arial" w:hAnsi="Arial" w:cs="Arial"/>
          <w:color w:val="000000" w:themeColor="text1"/>
          <w:sz w:val="22"/>
          <w:szCs w:val="22"/>
        </w:rPr>
        <w:t>T</w:t>
      </w:r>
      <w:r w:rsidRPr="00AA0D62">
        <w:rPr>
          <w:rFonts w:ascii="Arial" w:hAnsi="Arial" w:cs="Arial"/>
          <w:color w:val="000000" w:themeColor="text1"/>
          <w:sz w:val="22"/>
          <w:szCs w:val="22"/>
        </w:rPr>
        <w:t xml:space="preserve">he </w:t>
      </w:r>
      <w:r>
        <w:rPr>
          <w:rFonts w:ascii="Arial" w:hAnsi="Arial" w:cs="Arial"/>
          <w:color w:val="000000" w:themeColor="text1"/>
          <w:sz w:val="22"/>
          <w:szCs w:val="22"/>
        </w:rPr>
        <w:t>confidence interval (</w:t>
      </w:r>
      <w:r w:rsidRPr="00AA0D62">
        <w:rPr>
          <w:rFonts w:ascii="Arial" w:hAnsi="Arial" w:cs="Arial"/>
          <w:color w:val="000000" w:themeColor="text1"/>
          <w:sz w:val="22"/>
          <w:szCs w:val="22"/>
        </w:rPr>
        <w:t>CI</w:t>
      </w:r>
      <w:r>
        <w:rPr>
          <w:rFonts w:ascii="Arial" w:hAnsi="Arial" w:cs="Arial"/>
          <w:color w:val="000000" w:themeColor="text1"/>
          <w:sz w:val="22"/>
          <w:szCs w:val="22"/>
        </w:rPr>
        <w:t>)</w:t>
      </w:r>
      <w:r w:rsidRPr="00AA0D62">
        <w:rPr>
          <w:rFonts w:ascii="Arial" w:hAnsi="Arial" w:cs="Arial"/>
          <w:color w:val="000000" w:themeColor="text1"/>
          <w:sz w:val="22"/>
          <w:szCs w:val="22"/>
        </w:rPr>
        <w:t xml:space="preserve"> was estimated by patient-cluster bootstrap. </w:t>
      </w:r>
    </w:p>
    <w:p w14:paraId="68856E90" w14:textId="77777777" w:rsidR="006C675A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A0D62">
        <w:rPr>
          <w:rFonts w:ascii="Arial" w:hAnsi="Arial" w:cs="Arial"/>
          <w:color w:val="000000" w:themeColor="text1"/>
          <w:sz w:val="22"/>
          <w:szCs w:val="22"/>
        </w:rPr>
        <w:t xml:space="preserve">(b) Age-adjusted cause-specific hazard ratios (HRs) for prostate cancer-specific mortality per standard-deviation (SD) increase in the score when using all available samples, one randomly selected sample per patient, or leave-one-sample-out analysis. </w:t>
      </w:r>
    </w:p>
    <w:p w14:paraId="61EF6666" w14:textId="77777777" w:rsidR="006C675A" w:rsidRPr="006F3540" w:rsidRDefault="006C675A" w:rsidP="006C675A">
      <w:pPr>
        <w:pStyle w:val="NoSpacing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A0D62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(c) TCGA-PRAD tissue-downsampling analysis, </w:t>
      </w:r>
      <w:r>
        <w:rPr>
          <w:rFonts w:ascii="Arial" w:hAnsi="Arial" w:cs="Arial"/>
          <w:color w:val="000000" w:themeColor="text1"/>
          <w:sz w:val="22"/>
          <w:szCs w:val="22"/>
        </w:rPr>
        <w:t>examining the</w:t>
      </w:r>
      <w:r w:rsidRPr="00AA0D62">
        <w:rPr>
          <w:rFonts w:ascii="Arial" w:hAnsi="Arial" w:cs="Arial"/>
          <w:color w:val="000000" w:themeColor="text1"/>
          <w:sz w:val="22"/>
          <w:szCs w:val="22"/>
        </w:rPr>
        <w:t xml:space="preserve"> agreement between scores calculated from sampled tissue and the complete section, measured by Spearman correlation, alongside the corresponding DFS HR per SD across the evaluated sampling fractions.</w:t>
      </w:r>
    </w:p>
    <w:p w14:paraId="33BF0D1C" w14:textId="77777777" w:rsidR="00DE6AE2" w:rsidRDefault="00DE6AE2"/>
    <w:sectPr w:rsidR="00DE6AE2" w:rsidSect="006C675A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75A"/>
    <w:rsid w:val="00195413"/>
    <w:rsid w:val="003A03A7"/>
    <w:rsid w:val="003D0186"/>
    <w:rsid w:val="004B08E7"/>
    <w:rsid w:val="006C675A"/>
    <w:rsid w:val="007278E4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D9835"/>
  <w15:chartTrackingRefBased/>
  <w15:docId w15:val="{DD98054B-DED0-45F0-A4F0-2094C1AE2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67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67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7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7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7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7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7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7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7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7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67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7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7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7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7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7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7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7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67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67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7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67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67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67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67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67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7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7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675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C675A"/>
    <w:pPr>
      <w:spacing w:after="0" w:line="240" w:lineRule="auto"/>
    </w:pPr>
    <w:rPr>
      <w:rFonts w:eastAsiaTheme="minorEastAsia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1158</Words>
  <Characters>6603</Characters>
  <Application>Microsoft Office Word</Application>
  <DocSecurity>0</DocSecurity>
  <Lines>55</Lines>
  <Paragraphs>15</Paragraphs>
  <ScaleCrop>false</ScaleCrop>
  <Company>Springer Nature</Company>
  <LinksUpToDate>false</LinksUpToDate>
  <CharactersWithSpaces>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2026-09-15T08:41:00Z</dcterms:created>
  <dcterms:modified xsi:type="dcterms:W3CDTF">2026-09-15T08:42:00Z</dcterms:modified>
</cp:coreProperties>
</file>