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3F4B961" w14:textId="77777777" w:rsidR="00D713E6" w:rsidRPr="00055F56" w:rsidRDefault="00000000" w:rsidP="00055F56">
      <w:pPr>
        <w:spacing w:after="80" w:line="480" w:lineRule="auto"/>
        <w:jc w:val="center"/>
        <w:rPr>
          <w:rFonts w:cs="Times New Roman"/>
          <w:color w:val="000000" w:themeColor="text1"/>
          <w:sz w:val="24"/>
          <w:szCs w:val="24"/>
        </w:rPr>
      </w:pPr>
      <w:r w:rsidRPr="00055F56">
        <w:rPr>
          <w:rFonts w:cs="Times New Roman"/>
          <w:b/>
          <w:color w:val="000000" w:themeColor="text1"/>
          <w:sz w:val="24"/>
          <w:szCs w:val="24"/>
        </w:rPr>
        <w:t>Supplementary Material</w:t>
      </w:r>
    </w:p>
    <w:p w14:paraId="03F902BC" w14:textId="77777777" w:rsidR="00D713E6" w:rsidRPr="00055F56" w:rsidRDefault="00000000" w:rsidP="00055F56">
      <w:pPr>
        <w:spacing w:after="160" w:line="480" w:lineRule="auto"/>
        <w:jc w:val="both"/>
        <w:rPr>
          <w:rFonts w:cs="Times New Roman"/>
          <w:color w:val="000000" w:themeColor="text1"/>
          <w:sz w:val="24"/>
          <w:szCs w:val="24"/>
        </w:rPr>
      </w:pPr>
      <w:r w:rsidRPr="00055F56">
        <w:rPr>
          <w:rFonts w:cs="Times New Roman"/>
          <w:b/>
          <w:color w:val="000000" w:themeColor="text1"/>
          <w:sz w:val="24"/>
          <w:szCs w:val="24"/>
        </w:rPr>
        <w:t>Supplementary Methods</w:t>
      </w:r>
    </w:p>
    <w:p w14:paraId="02EA9355" w14:textId="77777777" w:rsidR="00D713E6" w:rsidRPr="00055F56" w:rsidRDefault="00000000" w:rsidP="00055F56">
      <w:pPr>
        <w:spacing w:after="80" w:line="480" w:lineRule="auto"/>
        <w:jc w:val="both"/>
        <w:rPr>
          <w:rFonts w:cs="Times New Roman"/>
          <w:color w:val="000000" w:themeColor="text1"/>
          <w:sz w:val="24"/>
          <w:szCs w:val="24"/>
        </w:rPr>
      </w:pPr>
      <w:r w:rsidRPr="00055F56">
        <w:rPr>
          <w:rFonts w:cs="Times New Roman"/>
          <w:b/>
          <w:color w:val="000000" w:themeColor="text1"/>
          <w:sz w:val="24"/>
          <w:szCs w:val="24"/>
        </w:rPr>
        <w:t>1. Eligibility and exclusion criteria</w:t>
      </w:r>
    </w:p>
    <w:p w14:paraId="7C22DDB8" w14:textId="4AF981B6" w:rsidR="00D713E6" w:rsidRPr="00055F56" w:rsidRDefault="00000000" w:rsidP="00055F56">
      <w:pPr>
        <w:spacing w:line="480" w:lineRule="auto"/>
        <w:jc w:val="both"/>
        <w:rPr>
          <w:rFonts w:cs="Times New Roman"/>
          <w:color w:val="000000" w:themeColor="text1"/>
          <w:sz w:val="24"/>
          <w:szCs w:val="24"/>
        </w:rPr>
      </w:pPr>
      <w:r w:rsidRPr="00055F56">
        <w:rPr>
          <w:rFonts w:cs="Times New Roman"/>
          <w:color w:val="000000" w:themeColor="text1"/>
          <w:sz w:val="24"/>
          <w:szCs w:val="24"/>
        </w:rPr>
        <w:t xml:space="preserve">Patients aged 18 years or older undergoing primary or conversion metabolic and bariatric surgery were eligible. Eligibility followed the Malaysian clinical practice guidelines: body mass index </w:t>
      </w:r>
      <w:r w:rsidR="005C47EE">
        <w:rPr>
          <w:rFonts w:cs="Times New Roman"/>
          <w:color w:val="000000" w:themeColor="text1"/>
          <w:sz w:val="24"/>
          <w:szCs w:val="24"/>
        </w:rPr>
        <w:t>(</w:t>
      </w:r>
      <w:r w:rsidR="005C47EE" w:rsidRPr="005C47EE">
        <w:rPr>
          <w:rFonts w:cs="Times New Roman"/>
          <w:color w:val="000000" w:themeColor="text1"/>
          <w:sz w:val="24"/>
          <w:szCs w:val="24"/>
        </w:rPr>
        <w:t>BMI</w:t>
      </w:r>
      <w:r w:rsidR="005C47EE">
        <w:rPr>
          <w:rFonts w:cs="Times New Roman"/>
          <w:color w:val="000000" w:themeColor="text1"/>
          <w:sz w:val="24"/>
          <w:szCs w:val="24"/>
        </w:rPr>
        <w:t>)</w:t>
      </w:r>
      <w:r w:rsidR="005C47EE" w:rsidRPr="005C47EE">
        <w:rPr>
          <w:rFonts w:cs="Times New Roman"/>
          <w:color w:val="000000" w:themeColor="text1"/>
          <w:sz w:val="24"/>
          <w:szCs w:val="24"/>
        </w:rPr>
        <w:t xml:space="preserve"> 37.5 kg/m² or above irrespective of associated medical problems, or 32.5 kg/m² or above with type 2 diabetes mellitus, hypertension, obstructive sleep apnea, dyslipidemia, or another obesity-related condition</w:t>
      </w:r>
      <w:r w:rsidRPr="00055F56">
        <w:rPr>
          <w:rFonts w:cs="Times New Roman"/>
          <w:color w:val="000000" w:themeColor="text1"/>
          <w:sz w:val="24"/>
          <w:szCs w:val="24"/>
        </w:rPr>
        <w:t xml:space="preserve">. All patients completed multidisciplinary surgical, dietetic, anesthetic, and psychological assessment with endoscopy and biochemical and cardiorespiratory screening. Patients with </w:t>
      </w:r>
      <w:r w:rsidR="005C47EE" w:rsidRPr="005C47EE">
        <w:rPr>
          <w:rFonts w:cs="Times New Roman"/>
          <w:color w:val="000000" w:themeColor="text1"/>
          <w:sz w:val="24"/>
          <w:szCs w:val="24"/>
        </w:rPr>
        <w:t>a medical condition precluding general anesthesia were excluded</w:t>
      </w:r>
      <w:r w:rsidRPr="00055F56">
        <w:rPr>
          <w:rFonts w:cs="Times New Roman"/>
          <w:color w:val="000000" w:themeColor="text1"/>
          <w:sz w:val="24"/>
          <w:szCs w:val="24"/>
        </w:rPr>
        <w:t xml:space="preserve">. Criteria remained unchanged throughout the study period. </w:t>
      </w:r>
      <w:r w:rsidR="005C47EE" w:rsidRPr="005C47EE">
        <w:rPr>
          <w:rFonts w:cs="Times New Roman"/>
          <w:color w:val="000000" w:themeColor="text1"/>
          <w:sz w:val="24"/>
          <w:szCs w:val="24"/>
        </w:rPr>
        <w:t>Conversions were undertaken for recurrent weight gain, suboptimal clinical response, or refractory gastroesophageal reflux</w:t>
      </w:r>
      <w:r w:rsidRPr="00055F56">
        <w:rPr>
          <w:rFonts w:cs="Times New Roman"/>
          <w:color w:val="000000" w:themeColor="text1"/>
          <w:sz w:val="24"/>
          <w:szCs w:val="24"/>
        </w:rPr>
        <w:t>; all were sleeve-to-Roux-en-Y gastric bypass conversions. Eligibility for the matched analysis additionally required a procedure and conversion category represented in the robotic cohort, complete baseline matching variables, and a clinically measured 12-month weight within ±3 months of the anniversary in both approaches. Missing values were not imputed.</w:t>
      </w:r>
    </w:p>
    <w:p w14:paraId="52756F7D" w14:textId="77777777" w:rsidR="00055F56" w:rsidRPr="00055F56" w:rsidRDefault="00055F56" w:rsidP="00055F56">
      <w:pPr>
        <w:spacing w:line="480" w:lineRule="auto"/>
        <w:jc w:val="both"/>
        <w:rPr>
          <w:rFonts w:cs="Times New Roman"/>
          <w:color w:val="000000" w:themeColor="text1"/>
          <w:sz w:val="24"/>
          <w:szCs w:val="24"/>
        </w:rPr>
      </w:pPr>
    </w:p>
    <w:p w14:paraId="60A0E4BD" w14:textId="77777777" w:rsidR="00D713E6" w:rsidRPr="00055F56" w:rsidRDefault="00000000" w:rsidP="00055F56">
      <w:pPr>
        <w:spacing w:after="80" w:line="480" w:lineRule="auto"/>
        <w:jc w:val="both"/>
        <w:rPr>
          <w:rFonts w:cs="Times New Roman"/>
          <w:color w:val="000000" w:themeColor="text1"/>
          <w:sz w:val="24"/>
          <w:szCs w:val="24"/>
        </w:rPr>
      </w:pPr>
      <w:r w:rsidRPr="00055F56">
        <w:rPr>
          <w:rFonts w:cs="Times New Roman"/>
          <w:b/>
          <w:color w:val="000000" w:themeColor="text1"/>
          <w:sz w:val="24"/>
          <w:szCs w:val="24"/>
        </w:rPr>
        <w:t>2. Surgical technique</w:t>
      </w:r>
    </w:p>
    <w:p w14:paraId="17741209" w14:textId="1EAC6A44" w:rsidR="00D713E6" w:rsidRPr="00055F56" w:rsidRDefault="00000000" w:rsidP="00055F56">
      <w:pPr>
        <w:spacing w:after="80" w:line="480" w:lineRule="auto"/>
        <w:jc w:val="both"/>
        <w:rPr>
          <w:rFonts w:cs="Times New Roman"/>
          <w:color w:val="000000" w:themeColor="text1"/>
          <w:sz w:val="24"/>
          <w:szCs w:val="24"/>
        </w:rPr>
      </w:pPr>
      <w:r w:rsidRPr="00055F56">
        <w:rPr>
          <w:rFonts w:cs="Times New Roman"/>
          <w:color w:val="000000" w:themeColor="text1"/>
          <w:sz w:val="24"/>
          <w:szCs w:val="24"/>
        </w:rPr>
        <w:t>Technique was standardized across both approaches. The sleeve-plus category comprised SADJB, SASJB, and PJB, combining sleeve gastrectomy with an intestinal bypass [S</w:t>
      </w:r>
      <w:proofErr w:type="gramStart"/>
      <w:r w:rsidRPr="00055F56">
        <w:rPr>
          <w:rFonts w:cs="Times New Roman"/>
          <w:color w:val="000000" w:themeColor="text1"/>
          <w:sz w:val="24"/>
          <w:szCs w:val="24"/>
        </w:rPr>
        <w:t>1,S</w:t>
      </w:r>
      <w:proofErr w:type="gramEnd"/>
      <w:r w:rsidRPr="00055F56">
        <w:rPr>
          <w:rFonts w:cs="Times New Roman"/>
          <w:color w:val="000000" w:themeColor="text1"/>
          <w:sz w:val="24"/>
          <w:szCs w:val="24"/>
        </w:rPr>
        <w:t>6]. SADJB and SASJB followed the published loop duodenojejunal and single-anastomosis sleeve jejunal configurations, respectively [S</w:t>
      </w:r>
      <w:r w:rsidR="00055F56" w:rsidRPr="00055F56">
        <w:rPr>
          <w:rFonts w:cs="Times New Roman"/>
          <w:color w:val="000000" w:themeColor="text1"/>
          <w:sz w:val="24"/>
          <w:szCs w:val="24"/>
        </w:rPr>
        <w:t>2, S</w:t>
      </w:r>
      <w:r w:rsidRPr="00055F56">
        <w:rPr>
          <w:rFonts w:cs="Times New Roman"/>
          <w:color w:val="000000" w:themeColor="text1"/>
          <w:sz w:val="24"/>
          <w:szCs w:val="24"/>
        </w:rPr>
        <w:t xml:space="preserve">3]. Dissection used ultrasonic shears, and anastomoses were linear-stapled except the SADJB anastomosis, which was hand-sewn. For </w:t>
      </w:r>
      <w:r w:rsidRPr="00055F56">
        <w:rPr>
          <w:rFonts w:cs="Times New Roman"/>
          <w:color w:val="000000" w:themeColor="text1"/>
          <w:sz w:val="24"/>
          <w:szCs w:val="24"/>
        </w:rPr>
        <w:lastRenderedPageBreak/>
        <w:t>Roux-en-Y gastric bypass the biliopancreatic limb measured 150 cm and the alimentary limb 50 cm, a deliberate long-biliopancreatic-limb configuration; for one-anastomosis gastric bypass, SADJB, and SASJB the bypassed limb measured 180 cm. Operative steps and perioperative care were otherwise identical between approaches.</w:t>
      </w:r>
    </w:p>
    <w:p w14:paraId="5AE4A1E9" w14:textId="77777777" w:rsidR="00D713E6" w:rsidRPr="00055F56" w:rsidRDefault="00000000" w:rsidP="00055F56">
      <w:pPr>
        <w:spacing w:after="80" w:line="480" w:lineRule="auto"/>
        <w:jc w:val="both"/>
        <w:rPr>
          <w:rFonts w:cs="Times New Roman"/>
          <w:color w:val="000000" w:themeColor="text1"/>
          <w:sz w:val="24"/>
          <w:szCs w:val="24"/>
        </w:rPr>
      </w:pPr>
      <w:r w:rsidRPr="00055F56">
        <w:rPr>
          <w:rFonts w:cs="Times New Roman"/>
          <w:color w:val="000000" w:themeColor="text1"/>
          <w:sz w:val="24"/>
          <w:szCs w:val="24"/>
        </w:rPr>
        <w:t>PJB followed Alamo’s sleeve gastrectomy with jejunal bypass technique [S</w:t>
      </w:r>
      <w:proofErr w:type="gramStart"/>
      <w:r w:rsidRPr="00055F56">
        <w:rPr>
          <w:rFonts w:cs="Times New Roman"/>
          <w:color w:val="000000" w:themeColor="text1"/>
          <w:sz w:val="24"/>
          <w:szCs w:val="24"/>
        </w:rPr>
        <w:t>4,S</w:t>
      </w:r>
      <w:proofErr w:type="gramEnd"/>
      <w:r w:rsidRPr="00055F56">
        <w:rPr>
          <w:rFonts w:cs="Times New Roman"/>
          <w:color w:val="000000" w:themeColor="text1"/>
          <w:sz w:val="24"/>
          <w:szCs w:val="24"/>
        </w:rPr>
        <w:t>5]. The jejunum was divided 20 cm distal to the duodenojejunal flexure. The proximal jejunal limb was anastomosed side-to-side to the distal jejunum 300 cm beyond the point of division, leaving the intervening 300-cm segment excluded from alimentary transit.</w:t>
      </w:r>
    </w:p>
    <w:p w14:paraId="10243BCB" w14:textId="77777777" w:rsidR="00D713E6" w:rsidRPr="00055F56" w:rsidRDefault="00000000" w:rsidP="00055F56">
      <w:pPr>
        <w:spacing w:line="480" w:lineRule="auto"/>
        <w:jc w:val="both"/>
        <w:rPr>
          <w:rFonts w:cs="Times New Roman"/>
          <w:color w:val="000000" w:themeColor="text1"/>
          <w:sz w:val="24"/>
          <w:szCs w:val="24"/>
        </w:rPr>
      </w:pPr>
      <w:r w:rsidRPr="00055F56">
        <w:rPr>
          <w:rFonts w:cs="Times New Roman"/>
          <w:color w:val="000000" w:themeColor="text1"/>
          <w:sz w:val="24"/>
          <w:szCs w:val="24"/>
        </w:rPr>
        <w:t>Staple lines were reinforced in every procedure in both arms. All stapling was performed with laparoscopic staplers; robotic SureForm staplers were not used.</w:t>
      </w:r>
    </w:p>
    <w:p w14:paraId="68224D6E" w14:textId="77777777" w:rsidR="00055F56" w:rsidRPr="00055F56" w:rsidRDefault="00055F56" w:rsidP="00055F56">
      <w:pPr>
        <w:spacing w:line="480" w:lineRule="auto"/>
        <w:jc w:val="both"/>
        <w:rPr>
          <w:rFonts w:cs="Times New Roman"/>
          <w:color w:val="000000" w:themeColor="text1"/>
          <w:sz w:val="24"/>
          <w:szCs w:val="24"/>
        </w:rPr>
      </w:pPr>
    </w:p>
    <w:p w14:paraId="59168D8C" w14:textId="77777777" w:rsidR="00D713E6" w:rsidRPr="00055F56" w:rsidRDefault="00000000" w:rsidP="00055F56">
      <w:pPr>
        <w:spacing w:after="80" w:line="480" w:lineRule="auto"/>
        <w:jc w:val="both"/>
        <w:rPr>
          <w:rFonts w:cs="Times New Roman"/>
          <w:color w:val="000000" w:themeColor="text1"/>
          <w:sz w:val="24"/>
          <w:szCs w:val="24"/>
        </w:rPr>
      </w:pPr>
      <w:r w:rsidRPr="00055F56">
        <w:rPr>
          <w:rFonts w:cs="Times New Roman"/>
          <w:b/>
          <w:color w:val="000000" w:themeColor="text1"/>
          <w:sz w:val="24"/>
          <w:szCs w:val="24"/>
        </w:rPr>
        <w:t>3. Outcome definitions</w:t>
      </w:r>
    </w:p>
    <w:p w14:paraId="5141138B" w14:textId="4BB3C634" w:rsidR="00D713E6" w:rsidRPr="00055F56" w:rsidRDefault="00000000" w:rsidP="00055F56">
      <w:pPr>
        <w:spacing w:line="480" w:lineRule="auto"/>
        <w:jc w:val="both"/>
        <w:rPr>
          <w:rFonts w:cs="Times New Roman"/>
          <w:color w:val="000000" w:themeColor="text1"/>
          <w:sz w:val="24"/>
          <w:szCs w:val="24"/>
        </w:rPr>
      </w:pPr>
      <w:r w:rsidRPr="00055F56">
        <w:rPr>
          <w:rFonts w:cs="Times New Roman"/>
          <w:color w:val="000000" w:themeColor="text1"/>
          <w:sz w:val="24"/>
          <w:szCs w:val="24"/>
        </w:rPr>
        <w:t xml:space="preserve">Leak was radiologic, endoscopic, or operative confirmation of an anastomotic or staple-line defect within 30 days. Postoperative bleeding was clinically diagnosed bleeding requiring transfusion, readmission, intervention, or reoperation. Readmission was an unplanned all-cause admission and reoperation an unplanned return to the operating room, both within 30 days. Endoscopic and radiologic interventions were recorded as interventions, not reoperations. Complications were graded by the </w:t>
      </w:r>
      <w:proofErr w:type="spellStart"/>
      <w:r w:rsidRPr="00055F56">
        <w:rPr>
          <w:rFonts w:cs="Times New Roman"/>
          <w:color w:val="000000" w:themeColor="text1"/>
          <w:sz w:val="24"/>
          <w:szCs w:val="24"/>
        </w:rPr>
        <w:t>Clavien</w:t>
      </w:r>
      <w:proofErr w:type="spellEnd"/>
      <w:r w:rsidR="006A1461">
        <w:rPr>
          <w:rFonts w:cs="Times New Roman"/>
          <w:color w:val="000000" w:themeColor="text1"/>
          <w:sz w:val="24"/>
          <w:szCs w:val="24"/>
        </w:rPr>
        <w:t>-</w:t>
      </w:r>
      <w:r w:rsidRPr="00055F56">
        <w:rPr>
          <w:rFonts w:cs="Times New Roman"/>
          <w:color w:val="000000" w:themeColor="text1"/>
          <w:sz w:val="24"/>
          <w:szCs w:val="24"/>
        </w:rPr>
        <w:t>Dindo classification, grades III</w:t>
      </w:r>
      <w:r w:rsidR="006A1461">
        <w:rPr>
          <w:rFonts w:cs="Times New Roman"/>
          <w:color w:val="000000" w:themeColor="text1"/>
          <w:sz w:val="24"/>
          <w:szCs w:val="24"/>
        </w:rPr>
        <w:t>-</w:t>
      </w:r>
      <w:r w:rsidRPr="00055F56">
        <w:rPr>
          <w:rFonts w:cs="Times New Roman"/>
          <w:color w:val="000000" w:themeColor="text1"/>
          <w:sz w:val="24"/>
          <w:szCs w:val="24"/>
        </w:rPr>
        <w:t>V defined as major, all assessed within 30 days. Twelve-month weights were measured by clinical staff on calibrated scales within ±3 months of the 12-month anniversary; no self-reported weights were used. Follow-up data were locked in April 2025, after the latest permissible window had closed for the final patient, and missing values were not imputed.</w:t>
      </w:r>
    </w:p>
    <w:p w14:paraId="58BD1A32" w14:textId="77777777" w:rsidR="00055F56" w:rsidRPr="00055F56" w:rsidRDefault="00055F56" w:rsidP="00055F56">
      <w:pPr>
        <w:spacing w:line="480" w:lineRule="auto"/>
        <w:jc w:val="both"/>
        <w:rPr>
          <w:rFonts w:cs="Times New Roman"/>
          <w:color w:val="000000" w:themeColor="text1"/>
          <w:sz w:val="24"/>
          <w:szCs w:val="24"/>
        </w:rPr>
      </w:pPr>
    </w:p>
    <w:p w14:paraId="4897939D" w14:textId="77777777" w:rsidR="00D713E6" w:rsidRPr="00055F56" w:rsidRDefault="00000000" w:rsidP="00055F56">
      <w:pPr>
        <w:spacing w:after="80" w:line="480" w:lineRule="auto"/>
        <w:jc w:val="both"/>
        <w:rPr>
          <w:rFonts w:cs="Times New Roman"/>
          <w:color w:val="000000" w:themeColor="text1"/>
          <w:sz w:val="24"/>
          <w:szCs w:val="24"/>
        </w:rPr>
      </w:pPr>
      <w:r w:rsidRPr="00055F56">
        <w:rPr>
          <w:rFonts w:cs="Times New Roman"/>
          <w:b/>
          <w:color w:val="000000" w:themeColor="text1"/>
          <w:sz w:val="24"/>
          <w:szCs w:val="24"/>
        </w:rPr>
        <w:lastRenderedPageBreak/>
        <w:t>4. Segmented-regression specification and sensitivity models</w:t>
      </w:r>
    </w:p>
    <w:p w14:paraId="7A06B8E3" w14:textId="77777777" w:rsidR="00D713E6" w:rsidRPr="00055F56" w:rsidRDefault="00000000" w:rsidP="00055F56">
      <w:pPr>
        <w:spacing w:after="120" w:line="480" w:lineRule="auto"/>
        <w:jc w:val="both"/>
        <w:rPr>
          <w:rFonts w:cs="Times New Roman"/>
          <w:color w:val="000000" w:themeColor="text1"/>
          <w:sz w:val="24"/>
          <w:szCs w:val="24"/>
        </w:rPr>
      </w:pPr>
      <w:r w:rsidRPr="00055F56">
        <w:rPr>
          <w:rFonts w:cs="Times New Roman"/>
          <w:color w:val="000000" w:themeColor="text1"/>
          <w:sz w:val="24"/>
          <w:szCs w:val="24"/>
        </w:rPr>
        <w:t>The primary model was a continuous one-breakpoint segmented linear regression of total operative time on chronological case number, entered continuously from 1 to 58 and unadjusted for procedure type, since the objective was the overall single-surgeon trajectory. The breakpoint was estimated by profiling the residual sum of squares over candidate values, and the Davies test statistic was taken as the maximized absolute t statistic for the change-in-slope coefficient across candidate breakpoints 8 to 50, with the Davies upper bound used for the P value. Confidence intervals for the breakpoint and for both segment slopes are percentile intervals from 2,000 residual bootstrap resamples.</w:t>
      </w:r>
    </w:p>
    <w:p w14:paraId="257156EF" w14:textId="77777777" w:rsidR="00055F56" w:rsidRPr="00055F56" w:rsidRDefault="00055F56" w:rsidP="00055F56">
      <w:pPr>
        <w:spacing w:after="120" w:line="480" w:lineRule="auto"/>
        <w:jc w:val="both"/>
        <w:rPr>
          <w:rFonts w:cs="Times New Roman"/>
          <w:color w:val="000000" w:themeColor="text1"/>
          <w:sz w:val="24"/>
          <w:szCs w:val="24"/>
        </w:rPr>
      </w:pPr>
    </w:p>
    <w:p w14:paraId="6EEFC7E9" w14:textId="77777777" w:rsidR="00D713E6" w:rsidRPr="00055F56" w:rsidRDefault="00000000" w:rsidP="00055F56">
      <w:pPr>
        <w:spacing w:after="120" w:line="480" w:lineRule="auto"/>
        <w:jc w:val="both"/>
        <w:rPr>
          <w:rFonts w:cs="Times New Roman"/>
          <w:color w:val="000000" w:themeColor="text1"/>
          <w:sz w:val="24"/>
          <w:szCs w:val="24"/>
        </w:rPr>
      </w:pPr>
      <w:r w:rsidRPr="00055F56">
        <w:rPr>
          <w:rFonts w:cs="Times New Roman"/>
          <w:color w:val="000000" w:themeColor="text1"/>
          <w:sz w:val="24"/>
          <w:szCs w:val="24"/>
        </w:rPr>
        <w:t>Two post hoc sensitivity models were fitted. The first excluded the six sleeve gastrectomy cases; original chronological case numbers were retained rather than renumbering the remaining 52 cases, so that the estimated breakpoint remains on the original case scale and is directly comparable with the primary model. The second added fixed effects for procedure type (three indicator terms with sleeve gastrectomy as reference) and conversion status to the segmented model. Results appear in Table S1.</w:t>
      </w:r>
    </w:p>
    <w:p w14:paraId="6E267A7C" w14:textId="77777777" w:rsidR="00055F56" w:rsidRPr="00055F56" w:rsidRDefault="00055F56" w:rsidP="00055F56">
      <w:pPr>
        <w:spacing w:after="120" w:line="480" w:lineRule="auto"/>
        <w:jc w:val="both"/>
        <w:rPr>
          <w:rFonts w:cs="Times New Roman"/>
          <w:color w:val="000000" w:themeColor="text1"/>
          <w:sz w:val="24"/>
          <w:szCs w:val="24"/>
        </w:rPr>
      </w:pPr>
    </w:p>
    <w:p w14:paraId="77F34F2A" w14:textId="77777777" w:rsidR="00055F56" w:rsidRPr="00055F56" w:rsidRDefault="00000000" w:rsidP="00055F56">
      <w:pPr>
        <w:spacing w:after="120" w:line="480" w:lineRule="auto"/>
        <w:jc w:val="both"/>
        <w:rPr>
          <w:rFonts w:cs="Times New Roman"/>
          <w:color w:val="000000" w:themeColor="text1"/>
          <w:sz w:val="24"/>
          <w:szCs w:val="24"/>
        </w:rPr>
      </w:pPr>
      <w:r w:rsidRPr="00055F56">
        <w:rPr>
          <w:rFonts w:cs="Times New Roman"/>
          <w:color w:val="000000" w:themeColor="text1"/>
          <w:sz w:val="24"/>
          <w:szCs w:val="24"/>
        </w:rPr>
        <w:t xml:space="preserve">Residual BMI imbalance was explored with linear mixed-effects models of the form outcome ~ approach + BMI + (1 | matched pair), fitted by restricted maximum likelihood, with denominator degrees of freedom by Satterthwaite approximation. Component (docking and console) times were available for 44 of 58 cases; missing values were not </w:t>
      </w:r>
      <w:proofErr w:type="gramStart"/>
      <w:r w:rsidRPr="00055F56">
        <w:rPr>
          <w:rFonts w:cs="Times New Roman"/>
          <w:color w:val="000000" w:themeColor="text1"/>
          <w:sz w:val="24"/>
          <w:szCs w:val="24"/>
        </w:rPr>
        <w:t>imputed</w:t>
      </w:r>
      <w:proofErr w:type="gramEnd"/>
      <w:r w:rsidRPr="00055F56">
        <w:rPr>
          <w:rFonts w:cs="Times New Roman"/>
          <w:color w:val="000000" w:themeColor="text1"/>
          <w:sz w:val="24"/>
          <w:szCs w:val="24"/>
        </w:rPr>
        <w:t xml:space="preserve"> and no component model was fitted.</w:t>
      </w:r>
    </w:p>
    <w:p w14:paraId="0C6E3FC3" w14:textId="77777777" w:rsidR="00055F56" w:rsidRPr="00055F56" w:rsidRDefault="00055F56" w:rsidP="00055F56">
      <w:pPr>
        <w:spacing w:after="120" w:line="480" w:lineRule="auto"/>
        <w:jc w:val="both"/>
        <w:rPr>
          <w:rFonts w:cs="Times New Roman"/>
          <w:color w:val="000000" w:themeColor="text1"/>
          <w:sz w:val="24"/>
          <w:szCs w:val="24"/>
        </w:rPr>
      </w:pPr>
    </w:p>
    <w:p w14:paraId="2E777A80" w14:textId="4C30EFD9" w:rsidR="00D713E6" w:rsidRPr="00055F56" w:rsidRDefault="00000000" w:rsidP="00055F56">
      <w:pPr>
        <w:spacing w:after="120" w:line="480" w:lineRule="auto"/>
        <w:jc w:val="both"/>
        <w:rPr>
          <w:rFonts w:cs="Times New Roman"/>
          <w:color w:val="000000" w:themeColor="text1"/>
          <w:sz w:val="24"/>
          <w:szCs w:val="24"/>
        </w:rPr>
      </w:pPr>
      <w:r w:rsidRPr="00055F56">
        <w:rPr>
          <w:rFonts w:cs="Times New Roman"/>
          <w:color w:val="000000" w:themeColor="text1"/>
          <w:sz w:val="24"/>
          <w:szCs w:val="24"/>
        </w:rPr>
        <w:lastRenderedPageBreak/>
        <w:t>Analyses used SPSS 29.0 (IBM Corp., Armonk, NY, USA) and R 4.2.2 (R Foundation for Statistical Computing, Vienna, Austria) with the segmented, MatchIt, lme4, and lmerTest packages. The bootstrap used a fixed random seed (2024).</w:t>
      </w:r>
    </w:p>
    <w:p w14:paraId="4FF648C6" w14:textId="77777777" w:rsidR="00055F56" w:rsidRPr="00055F56" w:rsidRDefault="00055F56" w:rsidP="00055F56">
      <w:pPr>
        <w:spacing w:line="480" w:lineRule="auto"/>
        <w:jc w:val="both"/>
        <w:rPr>
          <w:rFonts w:cs="Times New Roman"/>
          <w:b/>
          <w:color w:val="000000" w:themeColor="text1"/>
          <w:sz w:val="24"/>
          <w:szCs w:val="24"/>
        </w:rPr>
        <w:sectPr w:rsidR="00055F56" w:rsidRPr="00055F56" w:rsidSect="00055F56">
          <w:footerReference w:type="even" r:id="rId8"/>
          <w:footerReference w:type="default" r:id="rId9"/>
          <w:pgSz w:w="11909" w:h="16834"/>
          <w:pgMar w:top="1440" w:right="1440" w:bottom="1440" w:left="1440" w:header="720" w:footer="720" w:gutter="0"/>
          <w:cols w:space="720"/>
          <w:docGrid w:linePitch="360"/>
        </w:sectPr>
      </w:pPr>
    </w:p>
    <w:p w14:paraId="691083DA" w14:textId="1A0514A9" w:rsidR="00D713E6" w:rsidRPr="00055F56" w:rsidRDefault="00000000" w:rsidP="00055F56">
      <w:pPr>
        <w:spacing w:line="480" w:lineRule="auto"/>
        <w:jc w:val="both"/>
        <w:rPr>
          <w:rFonts w:cs="Times New Roman"/>
          <w:color w:val="000000" w:themeColor="text1"/>
          <w:sz w:val="24"/>
          <w:szCs w:val="24"/>
        </w:rPr>
      </w:pPr>
      <w:r w:rsidRPr="00055F56">
        <w:rPr>
          <w:rFonts w:cs="Times New Roman"/>
          <w:b/>
          <w:color w:val="000000" w:themeColor="text1"/>
          <w:sz w:val="24"/>
          <w:szCs w:val="24"/>
        </w:rPr>
        <w:lastRenderedPageBreak/>
        <w:t>Supplementary Tables</w:t>
      </w:r>
    </w:p>
    <w:p w14:paraId="399F2853" w14:textId="77777777" w:rsidR="00D713E6" w:rsidRPr="00055F56" w:rsidRDefault="00000000" w:rsidP="00055F56">
      <w:pPr>
        <w:keepNext/>
        <w:spacing w:after="120" w:line="480" w:lineRule="auto"/>
        <w:jc w:val="both"/>
        <w:rPr>
          <w:rFonts w:cs="Times New Roman"/>
          <w:color w:val="000000" w:themeColor="text1"/>
          <w:sz w:val="24"/>
          <w:szCs w:val="24"/>
        </w:rPr>
      </w:pPr>
      <w:r w:rsidRPr="00055F56">
        <w:rPr>
          <w:rFonts w:cs="Times New Roman"/>
          <w:b/>
          <w:color w:val="000000" w:themeColor="text1"/>
          <w:sz w:val="24"/>
          <w:szCs w:val="24"/>
        </w:rPr>
        <w:t xml:space="preserve">Table S1. </w:t>
      </w:r>
      <w:r w:rsidRPr="00055F56">
        <w:rPr>
          <w:rFonts w:cs="Times New Roman"/>
          <w:bCs/>
          <w:color w:val="000000" w:themeColor="text1"/>
          <w:sz w:val="24"/>
          <w:szCs w:val="24"/>
        </w:rPr>
        <w:t>Segmented-regression models of robotic operative time</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63"/>
        <w:gridCol w:w="451"/>
        <w:gridCol w:w="1860"/>
        <w:gridCol w:w="2330"/>
        <w:gridCol w:w="2369"/>
        <w:gridCol w:w="1899"/>
        <w:gridCol w:w="1350"/>
        <w:gridCol w:w="882"/>
      </w:tblGrid>
      <w:tr w:rsidR="00D713E6" w:rsidRPr="006A1461" w14:paraId="7E665B09" w14:textId="77777777" w:rsidTr="00055F56">
        <w:trPr>
          <w:cantSplit/>
          <w:tblHeader/>
          <w:jc w:val="center"/>
        </w:trPr>
        <w:tc>
          <w:tcPr>
            <w:tcW w:w="1022" w:type="pct"/>
            <w:tcBorders>
              <w:bottom w:val="single" w:sz="4" w:space="0" w:color="auto"/>
            </w:tcBorders>
            <w:tcMar>
              <w:top w:w="20" w:type="dxa"/>
              <w:left w:w="25" w:type="dxa"/>
              <w:bottom w:w="20" w:type="dxa"/>
              <w:right w:w="25" w:type="dxa"/>
            </w:tcMar>
            <w:vAlign w:val="center"/>
          </w:tcPr>
          <w:p w14:paraId="29DAC1BC" w14:textId="77777777" w:rsidR="00D713E6" w:rsidRPr="006A1461" w:rsidRDefault="00000000" w:rsidP="00055F56">
            <w:pPr>
              <w:jc w:val="center"/>
              <w:rPr>
                <w:rFonts w:cs="Times New Roman"/>
                <w:color w:val="000000" w:themeColor="text1"/>
                <w:sz w:val="24"/>
                <w:szCs w:val="24"/>
              </w:rPr>
            </w:pPr>
            <w:r w:rsidRPr="006A1461">
              <w:rPr>
                <w:rFonts w:cs="Times New Roman"/>
                <w:b/>
                <w:color w:val="000000" w:themeColor="text1"/>
                <w:sz w:val="24"/>
                <w:szCs w:val="24"/>
              </w:rPr>
              <w:t>Model</w:t>
            </w:r>
          </w:p>
        </w:tc>
        <w:tc>
          <w:tcPr>
            <w:tcW w:w="161" w:type="pct"/>
            <w:tcBorders>
              <w:bottom w:val="single" w:sz="4" w:space="0" w:color="auto"/>
            </w:tcBorders>
            <w:tcMar>
              <w:top w:w="20" w:type="dxa"/>
              <w:left w:w="25" w:type="dxa"/>
              <w:bottom w:w="20" w:type="dxa"/>
              <w:right w:w="25" w:type="dxa"/>
            </w:tcMar>
            <w:vAlign w:val="center"/>
          </w:tcPr>
          <w:p w14:paraId="48470B02" w14:textId="77777777" w:rsidR="00D713E6" w:rsidRPr="006A1461" w:rsidRDefault="00000000" w:rsidP="00055F56">
            <w:pPr>
              <w:jc w:val="center"/>
              <w:rPr>
                <w:rFonts w:cs="Times New Roman"/>
                <w:color w:val="000000" w:themeColor="text1"/>
                <w:sz w:val="24"/>
                <w:szCs w:val="24"/>
              </w:rPr>
            </w:pPr>
            <w:r w:rsidRPr="006A1461">
              <w:rPr>
                <w:rFonts w:cs="Times New Roman"/>
                <w:b/>
                <w:color w:val="000000" w:themeColor="text1"/>
                <w:sz w:val="24"/>
                <w:szCs w:val="24"/>
              </w:rPr>
              <w:t>n</w:t>
            </w:r>
          </w:p>
        </w:tc>
        <w:tc>
          <w:tcPr>
            <w:tcW w:w="664" w:type="pct"/>
            <w:tcBorders>
              <w:bottom w:val="single" w:sz="4" w:space="0" w:color="auto"/>
            </w:tcBorders>
            <w:tcMar>
              <w:top w:w="20" w:type="dxa"/>
              <w:left w:w="25" w:type="dxa"/>
              <w:bottom w:w="20" w:type="dxa"/>
              <w:right w:w="25" w:type="dxa"/>
            </w:tcMar>
            <w:vAlign w:val="center"/>
          </w:tcPr>
          <w:p w14:paraId="687E3107" w14:textId="77777777" w:rsidR="00D713E6" w:rsidRPr="006A1461" w:rsidRDefault="00000000" w:rsidP="00055F56">
            <w:pPr>
              <w:jc w:val="center"/>
              <w:rPr>
                <w:rFonts w:cs="Times New Roman"/>
                <w:color w:val="000000" w:themeColor="text1"/>
                <w:sz w:val="24"/>
                <w:szCs w:val="24"/>
              </w:rPr>
            </w:pPr>
            <w:r w:rsidRPr="006A1461">
              <w:rPr>
                <w:rFonts w:cs="Times New Roman"/>
                <w:b/>
                <w:color w:val="000000" w:themeColor="text1"/>
                <w:sz w:val="24"/>
                <w:szCs w:val="24"/>
              </w:rPr>
              <w:t>Breakpoint (95% CI)</w:t>
            </w:r>
          </w:p>
        </w:tc>
        <w:tc>
          <w:tcPr>
            <w:tcW w:w="832" w:type="pct"/>
            <w:tcBorders>
              <w:bottom w:val="single" w:sz="4" w:space="0" w:color="auto"/>
            </w:tcBorders>
            <w:tcMar>
              <w:top w:w="20" w:type="dxa"/>
              <w:left w:w="25" w:type="dxa"/>
              <w:bottom w:w="20" w:type="dxa"/>
              <w:right w:w="25" w:type="dxa"/>
            </w:tcMar>
            <w:vAlign w:val="center"/>
          </w:tcPr>
          <w:p w14:paraId="4C2BC98F" w14:textId="77777777" w:rsidR="00D713E6" w:rsidRPr="006A1461" w:rsidRDefault="00000000" w:rsidP="00055F56">
            <w:pPr>
              <w:jc w:val="center"/>
              <w:rPr>
                <w:rFonts w:cs="Times New Roman"/>
                <w:color w:val="000000" w:themeColor="text1"/>
                <w:sz w:val="24"/>
                <w:szCs w:val="24"/>
              </w:rPr>
            </w:pPr>
            <w:r w:rsidRPr="006A1461">
              <w:rPr>
                <w:rFonts w:cs="Times New Roman"/>
                <w:b/>
                <w:color w:val="000000" w:themeColor="text1"/>
                <w:sz w:val="24"/>
                <w:szCs w:val="24"/>
              </w:rPr>
              <w:t>Pre-breakpoint slope (95% CI)</w:t>
            </w:r>
          </w:p>
        </w:tc>
        <w:tc>
          <w:tcPr>
            <w:tcW w:w="846" w:type="pct"/>
            <w:tcBorders>
              <w:bottom w:val="single" w:sz="4" w:space="0" w:color="auto"/>
            </w:tcBorders>
            <w:tcMar>
              <w:top w:w="20" w:type="dxa"/>
              <w:left w:w="25" w:type="dxa"/>
              <w:bottom w:w="20" w:type="dxa"/>
              <w:right w:w="25" w:type="dxa"/>
            </w:tcMar>
            <w:vAlign w:val="center"/>
          </w:tcPr>
          <w:p w14:paraId="46E061FE" w14:textId="77777777" w:rsidR="00D713E6" w:rsidRPr="006A1461" w:rsidRDefault="00000000" w:rsidP="00055F56">
            <w:pPr>
              <w:jc w:val="center"/>
              <w:rPr>
                <w:rFonts w:cs="Times New Roman"/>
                <w:color w:val="000000" w:themeColor="text1"/>
                <w:sz w:val="24"/>
                <w:szCs w:val="24"/>
              </w:rPr>
            </w:pPr>
            <w:r w:rsidRPr="006A1461">
              <w:rPr>
                <w:rFonts w:cs="Times New Roman"/>
                <w:b/>
                <w:color w:val="000000" w:themeColor="text1"/>
                <w:sz w:val="24"/>
                <w:szCs w:val="24"/>
              </w:rPr>
              <w:t>Post-breakpoint slope (95% CI)</w:t>
            </w:r>
          </w:p>
        </w:tc>
        <w:tc>
          <w:tcPr>
            <w:tcW w:w="678" w:type="pct"/>
            <w:tcBorders>
              <w:bottom w:val="single" w:sz="4" w:space="0" w:color="auto"/>
            </w:tcBorders>
            <w:tcMar>
              <w:top w:w="20" w:type="dxa"/>
              <w:left w:w="25" w:type="dxa"/>
              <w:bottom w:w="20" w:type="dxa"/>
              <w:right w:w="25" w:type="dxa"/>
            </w:tcMar>
            <w:vAlign w:val="center"/>
          </w:tcPr>
          <w:p w14:paraId="291C2E75" w14:textId="77777777" w:rsidR="00D713E6" w:rsidRPr="006A1461" w:rsidRDefault="00000000" w:rsidP="00055F56">
            <w:pPr>
              <w:jc w:val="center"/>
              <w:rPr>
                <w:rFonts w:cs="Times New Roman"/>
                <w:color w:val="000000" w:themeColor="text1"/>
                <w:sz w:val="24"/>
                <w:szCs w:val="24"/>
              </w:rPr>
            </w:pPr>
            <w:r w:rsidRPr="006A1461">
              <w:rPr>
                <w:rFonts w:cs="Times New Roman"/>
                <w:b/>
                <w:color w:val="000000" w:themeColor="text1"/>
                <w:sz w:val="24"/>
                <w:szCs w:val="24"/>
              </w:rPr>
              <w:t>Change in slope (95% CI)</w:t>
            </w:r>
          </w:p>
        </w:tc>
        <w:tc>
          <w:tcPr>
            <w:tcW w:w="482" w:type="pct"/>
            <w:tcBorders>
              <w:bottom w:val="single" w:sz="4" w:space="0" w:color="auto"/>
            </w:tcBorders>
            <w:tcMar>
              <w:top w:w="20" w:type="dxa"/>
              <w:left w:w="25" w:type="dxa"/>
              <w:bottom w:w="20" w:type="dxa"/>
              <w:right w:w="25" w:type="dxa"/>
            </w:tcMar>
            <w:vAlign w:val="center"/>
          </w:tcPr>
          <w:p w14:paraId="392F0889" w14:textId="77777777" w:rsidR="00D713E6" w:rsidRPr="006A1461" w:rsidRDefault="00000000" w:rsidP="00055F56">
            <w:pPr>
              <w:jc w:val="center"/>
              <w:rPr>
                <w:rFonts w:cs="Times New Roman"/>
                <w:color w:val="000000" w:themeColor="text1"/>
                <w:sz w:val="24"/>
                <w:szCs w:val="24"/>
              </w:rPr>
            </w:pPr>
            <w:r w:rsidRPr="006A1461">
              <w:rPr>
                <w:rFonts w:cs="Times New Roman"/>
                <w:b/>
                <w:color w:val="000000" w:themeColor="text1"/>
                <w:sz w:val="24"/>
                <w:szCs w:val="24"/>
              </w:rPr>
              <w:t>Davies statistic</w:t>
            </w:r>
          </w:p>
        </w:tc>
        <w:tc>
          <w:tcPr>
            <w:tcW w:w="315" w:type="pct"/>
            <w:tcBorders>
              <w:bottom w:val="single" w:sz="4" w:space="0" w:color="auto"/>
            </w:tcBorders>
            <w:tcMar>
              <w:top w:w="20" w:type="dxa"/>
              <w:left w:w="25" w:type="dxa"/>
              <w:bottom w:w="20" w:type="dxa"/>
              <w:right w:w="25" w:type="dxa"/>
            </w:tcMar>
            <w:vAlign w:val="center"/>
          </w:tcPr>
          <w:p w14:paraId="5C6734ED" w14:textId="77777777" w:rsidR="00D713E6" w:rsidRPr="006A1461" w:rsidRDefault="00000000" w:rsidP="00055F56">
            <w:pPr>
              <w:jc w:val="center"/>
              <w:rPr>
                <w:rFonts w:cs="Times New Roman"/>
                <w:color w:val="000000" w:themeColor="text1"/>
                <w:sz w:val="24"/>
                <w:szCs w:val="24"/>
              </w:rPr>
            </w:pPr>
            <w:r w:rsidRPr="006A1461">
              <w:rPr>
                <w:rFonts w:cs="Times New Roman"/>
                <w:b/>
                <w:color w:val="000000" w:themeColor="text1"/>
                <w:sz w:val="24"/>
                <w:szCs w:val="24"/>
              </w:rPr>
              <w:t>P</w:t>
            </w:r>
          </w:p>
        </w:tc>
      </w:tr>
      <w:tr w:rsidR="00D713E6" w:rsidRPr="006A1461" w14:paraId="7C79B0F0" w14:textId="77777777" w:rsidTr="00055F56">
        <w:trPr>
          <w:jc w:val="center"/>
        </w:trPr>
        <w:tc>
          <w:tcPr>
            <w:tcW w:w="1022" w:type="pct"/>
            <w:tcBorders>
              <w:top w:val="single" w:sz="4" w:space="0" w:color="auto"/>
            </w:tcBorders>
            <w:tcMar>
              <w:top w:w="20" w:type="dxa"/>
              <w:left w:w="25" w:type="dxa"/>
              <w:bottom w:w="20" w:type="dxa"/>
              <w:right w:w="25" w:type="dxa"/>
            </w:tcMar>
            <w:vAlign w:val="center"/>
          </w:tcPr>
          <w:p w14:paraId="37BF5A89" w14:textId="77777777" w:rsidR="00D713E6" w:rsidRPr="006A1461" w:rsidRDefault="00000000" w:rsidP="00055F56">
            <w:pPr>
              <w:jc w:val="center"/>
              <w:rPr>
                <w:rFonts w:cs="Times New Roman"/>
                <w:color w:val="000000" w:themeColor="text1"/>
                <w:sz w:val="24"/>
                <w:szCs w:val="24"/>
              </w:rPr>
            </w:pPr>
            <w:r w:rsidRPr="006A1461">
              <w:rPr>
                <w:rFonts w:cs="Times New Roman"/>
                <w:color w:val="000000" w:themeColor="text1"/>
                <w:sz w:val="24"/>
                <w:szCs w:val="24"/>
              </w:rPr>
              <w:t>Primary, unadjusted</w:t>
            </w:r>
          </w:p>
        </w:tc>
        <w:tc>
          <w:tcPr>
            <w:tcW w:w="161" w:type="pct"/>
            <w:tcBorders>
              <w:top w:val="single" w:sz="4" w:space="0" w:color="auto"/>
            </w:tcBorders>
            <w:tcMar>
              <w:top w:w="20" w:type="dxa"/>
              <w:left w:w="25" w:type="dxa"/>
              <w:bottom w:w="20" w:type="dxa"/>
              <w:right w:w="25" w:type="dxa"/>
            </w:tcMar>
            <w:vAlign w:val="center"/>
          </w:tcPr>
          <w:p w14:paraId="430113C2" w14:textId="77777777" w:rsidR="00D713E6" w:rsidRPr="006A1461" w:rsidRDefault="00000000" w:rsidP="00055F56">
            <w:pPr>
              <w:jc w:val="center"/>
              <w:rPr>
                <w:rFonts w:cs="Times New Roman"/>
                <w:color w:val="000000" w:themeColor="text1"/>
                <w:sz w:val="24"/>
                <w:szCs w:val="24"/>
              </w:rPr>
            </w:pPr>
            <w:r w:rsidRPr="006A1461">
              <w:rPr>
                <w:rFonts w:cs="Times New Roman"/>
                <w:color w:val="000000" w:themeColor="text1"/>
                <w:sz w:val="24"/>
                <w:szCs w:val="24"/>
              </w:rPr>
              <w:t>58</w:t>
            </w:r>
          </w:p>
        </w:tc>
        <w:tc>
          <w:tcPr>
            <w:tcW w:w="664" w:type="pct"/>
            <w:tcBorders>
              <w:top w:val="single" w:sz="4" w:space="0" w:color="auto"/>
            </w:tcBorders>
            <w:tcMar>
              <w:top w:w="20" w:type="dxa"/>
              <w:left w:w="25" w:type="dxa"/>
              <w:bottom w:w="20" w:type="dxa"/>
              <w:right w:w="25" w:type="dxa"/>
            </w:tcMar>
            <w:vAlign w:val="center"/>
          </w:tcPr>
          <w:p w14:paraId="1B5FD916" w14:textId="588229DF" w:rsidR="00D713E6" w:rsidRPr="006A1461" w:rsidRDefault="00000000" w:rsidP="00055F56">
            <w:pPr>
              <w:jc w:val="center"/>
              <w:rPr>
                <w:rFonts w:cs="Times New Roman"/>
                <w:color w:val="000000" w:themeColor="text1"/>
                <w:sz w:val="24"/>
                <w:szCs w:val="24"/>
              </w:rPr>
            </w:pPr>
            <w:r w:rsidRPr="006A1461">
              <w:rPr>
                <w:rFonts w:cs="Times New Roman"/>
                <w:color w:val="000000" w:themeColor="text1"/>
                <w:sz w:val="24"/>
                <w:szCs w:val="24"/>
              </w:rPr>
              <w:t>31.9 (26.4</w:t>
            </w:r>
            <w:r w:rsidR="006A1461">
              <w:rPr>
                <w:rFonts w:cs="Times New Roman"/>
                <w:color w:val="000000" w:themeColor="text1"/>
                <w:sz w:val="24"/>
                <w:szCs w:val="24"/>
              </w:rPr>
              <w:t>-</w:t>
            </w:r>
            <w:r w:rsidRPr="006A1461">
              <w:rPr>
                <w:rFonts w:cs="Times New Roman"/>
                <w:color w:val="000000" w:themeColor="text1"/>
                <w:sz w:val="24"/>
                <w:szCs w:val="24"/>
              </w:rPr>
              <w:t>37.2)</w:t>
            </w:r>
          </w:p>
        </w:tc>
        <w:tc>
          <w:tcPr>
            <w:tcW w:w="832" w:type="pct"/>
            <w:tcBorders>
              <w:top w:val="single" w:sz="4" w:space="0" w:color="auto"/>
            </w:tcBorders>
            <w:tcMar>
              <w:top w:w="20" w:type="dxa"/>
              <w:left w:w="25" w:type="dxa"/>
              <w:bottom w:w="20" w:type="dxa"/>
              <w:right w:w="25" w:type="dxa"/>
            </w:tcMar>
            <w:vAlign w:val="center"/>
          </w:tcPr>
          <w:p w14:paraId="4717F224" w14:textId="5E463E36" w:rsidR="00D713E6" w:rsidRPr="006A1461" w:rsidRDefault="006A1461" w:rsidP="00055F56">
            <w:pPr>
              <w:jc w:val="center"/>
              <w:rPr>
                <w:rFonts w:cs="Times New Roman"/>
                <w:color w:val="000000" w:themeColor="text1"/>
                <w:sz w:val="24"/>
                <w:szCs w:val="24"/>
              </w:rPr>
            </w:pPr>
            <w:r>
              <w:rPr>
                <w:rFonts w:cs="Times New Roman"/>
                <w:color w:val="000000" w:themeColor="text1"/>
                <w:sz w:val="24"/>
                <w:szCs w:val="24"/>
              </w:rPr>
              <w:t>-</w:t>
            </w:r>
            <w:r w:rsidRPr="006A1461">
              <w:rPr>
                <w:rFonts w:cs="Times New Roman"/>
                <w:color w:val="000000" w:themeColor="text1"/>
                <w:sz w:val="24"/>
                <w:szCs w:val="24"/>
              </w:rPr>
              <w:t>3.2 (</w:t>
            </w:r>
            <w:r>
              <w:rPr>
                <w:rFonts w:cs="Times New Roman"/>
                <w:color w:val="000000" w:themeColor="text1"/>
                <w:sz w:val="24"/>
                <w:szCs w:val="24"/>
              </w:rPr>
              <w:t>-</w:t>
            </w:r>
            <w:r w:rsidRPr="006A1461">
              <w:rPr>
                <w:rFonts w:cs="Times New Roman"/>
                <w:color w:val="000000" w:themeColor="text1"/>
                <w:sz w:val="24"/>
                <w:szCs w:val="24"/>
              </w:rPr>
              <w:t xml:space="preserve">3.8 to </w:t>
            </w:r>
            <w:r>
              <w:rPr>
                <w:rFonts w:cs="Times New Roman"/>
                <w:color w:val="000000" w:themeColor="text1"/>
                <w:sz w:val="24"/>
                <w:szCs w:val="24"/>
              </w:rPr>
              <w:t>-</w:t>
            </w:r>
            <w:r w:rsidRPr="006A1461">
              <w:rPr>
                <w:rFonts w:cs="Times New Roman"/>
                <w:color w:val="000000" w:themeColor="text1"/>
                <w:sz w:val="24"/>
                <w:szCs w:val="24"/>
              </w:rPr>
              <w:t>2.8)</w:t>
            </w:r>
          </w:p>
        </w:tc>
        <w:tc>
          <w:tcPr>
            <w:tcW w:w="846" w:type="pct"/>
            <w:tcBorders>
              <w:top w:val="single" w:sz="4" w:space="0" w:color="auto"/>
            </w:tcBorders>
            <w:tcMar>
              <w:top w:w="20" w:type="dxa"/>
              <w:left w:w="25" w:type="dxa"/>
              <w:bottom w:w="20" w:type="dxa"/>
              <w:right w:w="25" w:type="dxa"/>
            </w:tcMar>
            <w:vAlign w:val="center"/>
          </w:tcPr>
          <w:p w14:paraId="7CB11E0D" w14:textId="16E45EF9" w:rsidR="00D713E6" w:rsidRPr="006A1461" w:rsidRDefault="006A1461" w:rsidP="00055F56">
            <w:pPr>
              <w:jc w:val="center"/>
              <w:rPr>
                <w:rFonts w:cs="Times New Roman"/>
                <w:color w:val="000000" w:themeColor="text1"/>
                <w:sz w:val="24"/>
                <w:szCs w:val="24"/>
              </w:rPr>
            </w:pPr>
            <w:r>
              <w:rPr>
                <w:rFonts w:cs="Times New Roman"/>
                <w:color w:val="000000" w:themeColor="text1"/>
                <w:sz w:val="24"/>
                <w:szCs w:val="24"/>
              </w:rPr>
              <w:t>-</w:t>
            </w:r>
            <w:r w:rsidRPr="006A1461">
              <w:rPr>
                <w:rFonts w:cs="Times New Roman"/>
                <w:color w:val="000000" w:themeColor="text1"/>
                <w:sz w:val="24"/>
                <w:szCs w:val="24"/>
              </w:rPr>
              <w:t>0.3 (</w:t>
            </w:r>
            <w:r>
              <w:rPr>
                <w:rFonts w:cs="Times New Roman"/>
                <w:color w:val="000000" w:themeColor="text1"/>
                <w:sz w:val="24"/>
                <w:szCs w:val="24"/>
              </w:rPr>
              <w:t>-</w:t>
            </w:r>
            <w:r w:rsidRPr="006A1461">
              <w:rPr>
                <w:rFonts w:cs="Times New Roman"/>
                <w:color w:val="000000" w:themeColor="text1"/>
                <w:sz w:val="24"/>
                <w:szCs w:val="24"/>
              </w:rPr>
              <w:t>0.9 to 0.6)</w:t>
            </w:r>
          </w:p>
        </w:tc>
        <w:tc>
          <w:tcPr>
            <w:tcW w:w="678" w:type="pct"/>
            <w:tcBorders>
              <w:top w:val="single" w:sz="4" w:space="0" w:color="auto"/>
            </w:tcBorders>
            <w:tcMar>
              <w:top w:w="20" w:type="dxa"/>
              <w:left w:w="25" w:type="dxa"/>
              <w:bottom w:w="20" w:type="dxa"/>
              <w:right w:w="25" w:type="dxa"/>
            </w:tcMar>
            <w:vAlign w:val="center"/>
          </w:tcPr>
          <w:p w14:paraId="31DAC3CC" w14:textId="08C76823" w:rsidR="00D713E6" w:rsidRPr="006A1461" w:rsidRDefault="00000000" w:rsidP="00055F56">
            <w:pPr>
              <w:jc w:val="center"/>
              <w:rPr>
                <w:rFonts w:cs="Times New Roman"/>
                <w:color w:val="000000" w:themeColor="text1"/>
                <w:sz w:val="24"/>
                <w:szCs w:val="24"/>
              </w:rPr>
            </w:pPr>
            <w:r w:rsidRPr="006A1461">
              <w:rPr>
                <w:rFonts w:cs="Times New Roman"/>
                <w:color w:val="000000" w:themeColor="text1"/>
                <w:sz w:val="24"/>
                <w:szCs w:val="24"/>
              </w:rPr>
              <w:t>3.0 (2.3</w:t>
            </w:r>
            <w:r w:rsidR="006A1461">
              <w:rPr>
                <w:rFonts w:cs="Times New Roman"/>
                <w:color w:val="000000" w:themeColor="text1"/>
                <w:sz w:val="24"/>
                <w:szCs w:val="24"/>
              </w:rPr>
              <w:t>-</w:t>
            </w:r>
            <w:r w:rsidRPr="006A1461">
              <w:rPr>
                <w:rFonts w:cs="Times New Roman"/>
                <w:color w:val="000000" w:themeColor="text1"/>
                <w:sz w:val="24"/>
                <w:szCs w:val="24"/>
              </w:rPr>
              <w:t>3.8)</w:t>
            </w:r>
          </w:p>
        </w:tc>
        <w:tc>
          <w:tcPr>
            <w:tcW w:w="482" w:type="pct"/>
            <w:tcBorders>
              <w:top w:val="single" w:sz="4" w:space="0" w:color="auto"/>
            </w:tcBorders>
            <w:tcMar>
              <w:top w:w="20" w:type="dxa"/>
              <w:left w:w="25" w:type="dxa"/>
              <w:bottom w:w="20" w:type="dxa"/>
              <w:right w:w="25" w:type="dxa"/>
            </w:tcMar>
            <w:vAlign w:val="center"/>
          </w:tcPr>
          <w:p w14:paraId="30963251" w14:textId="77777777" w:rsidR="00D713E6" w:rsidRPr="006A1461" w:rsidRDefault="00000000" w:rsidP="00055F56">
            <w:pPr>
              <w:jc w:val="center"/>
              <w:rPr>
                <w:rFonts w:cs="Times New Roman"/>
                <w:color w:val="000000" w:themeColor="text1"/>
                <w:sz w:val="24"/>
                <w:szCs w:val="24"/>
              </w:rPr>
            </w:pPr>
            <w:r w:rsidRPr="006A1461">
              <w:rPr>
                <w:rFonts w:cs="Times New Roman"/>
                <w:color w:val="000000" w:themeColor="text1"/>
                <w:sz w:val="24"/>
                <w:szCs w:val="24"/>
              </w:rPr>
              <w:t>7.53</w:t>
            </w:r>
          </w:p>
        </w:tc>
        <w:tc>
          <w:tcPr>
            <w:tcW w:w="315" w:type="pct"/>
            <w:tcBorders>
              <w:top w:val="single" w:sz="4" w:space="0" w:color="auto"/>
            </w:tcBorders>
            <w:tcMar>
              <w:top w:w="20" w:type="dxa"/>
              <w:left w:w="25" w:type="dxa"/>
              <w:bottom w:w="20" w:type="dxa"/>
              <w:right w:w="25" w:type="dxa"/>
            </w:tcMar>
            <w:vAlign w:val="center"/>
          </w:tcPr>
          <w:p w14:paraId="0D1512AA" w14:textId="77777777" w:rsidR="00D713E6" w:rsidRPr="006A1461" w:rsidRDefault="00000000" w:rsidP="00055F56">
            <w:pPr>
              <w:jc w:val="center"/>
              <w:rPr>
                <w:rFonts w:cs="Times New Roman"/>
                <w:color w:val="000000" w:themeColor="text1"/>
                <w:sz w:val="24"/>
                <w:szCs w:val="24"/>
              </w:rPr>
            </w:pPr>
            <w:r w:rsidRPr="006A1461">
              <w:rPr>
                <w:rFonts w:cs="Times New Roman"/>
                <w:color w:val="000000" w:themeColor="text1"/>
                <w:sz w:val="24"/>
                <w:szCs w:val="24"/>
              </w:rPr>
              <w:t>&lt;0.001</w:t>
            </w:r>
          </w:p>
        </w:tc>
      </w:tr>
      <w:tr w:rsidR="00D713E6" w:rsidRPr="006A1461" w14:paraId="223FCD56" w14:textId="77777777" w:rsidTr="00055F56">
        <w:trPr>
          <w:jc w:val="center"/>
        </w:trPr>
        <w:tc>
          <w:tcPr>
            <w:tcW w:w="1022" w:type="pct"/>
            <w:tcMar>
              <w:top w:w="20" w:type="dxa"/>
              <w:left w:w="25" w:type="dxa"/>
              <w:bottom w:w="20" w:type="dxa"/>
              <w:right w:w="25" w:type="dxa"/>
            </w:tcMar>
            <w:vAlign w:val="center"/>
          </w:tcPr>
          <w:p w14:paraId="6385D555" w14:textId="77777777" w:rsidR="00D713E6" w:rsidRPr="006A1461" w:rsidRDefault="00000000" w:rsidP="00055F56">
            <w:pPr>
              <w:jc w:val="center"/>
              <w:rPr>
                <w:rFonts w:cs="Times New Roman"/>
                <w:color w:val="000000" w:themeColor="text1"/>
                <w:sz w:val="24"/>
                <w:szCs w:val="24"/>
              </w:rPr>
            </w:pPr>
            <w:r w:rsidRPr="006A1461">
              <w:rPr>
                <w:rFonts w:cs="Times New Roman"/>
                <w:color w:val="000000" w:themeColor="text1"/>
                <w:sz w:val="24"/>
                <w:szCs w:val="24"/>
              </w:rPr>
              <w:t>Excluding SG</w:t>
            </w:r>
          </w:p>
        </w:tc>
        <w:tc>
          <w:tcPr>
            <w:tcW w:w="161" w:type="pct"/>
            <w:tcMar>
              <w:top w:w="20" w:type="dxa"/>
              <w:left w:w="25" w:type="dxa"/>
              <w:bottom w:w="20" w:type="dxa"/>
              <w:right w:w="25" w:type="dxa"/>
            </w:tcMar>
            <w:vAlign w:val="center"/>
          </w:tcPr>
          <w:p w14:paraId="2055F82B" w14:textId="77777777" w:rsidR="00D713E6" w:rsidRPr="006A1461" w:rsidRDefault="00000000" w:rsidP="00055F56">
            <w:pPr>
              <w:jc w:val="center"/>
              <w:rPr>
                <w:rFonts w:cs="Times New Roman"/>
                <w:color w:val="000000" w:themeColor="text1"/>
                <w:sz w:val="24"/>
                <w:szCs w:val="24"/>
              </w:rPr>
            </w:pPr>
            <w:r w:rsidRPr="006A1461">
              <w:rPr>
                <w:rFonts w:cs="Times New Roman"/>
                <w:color w:val="000000" w:themeColor="text1"/>
                <w:sz w:val="24"/>
                <w:szCs w:val="24"/>
              </w:rPr>
              <w:t>52</w:t>
            </w:r>
          </w:p>
        </w:tc>
        <w:tc>
          <w:tcPr>
            <w:tcW w:w="664" w:type="pct"/>
            <w:tcMar>
              <w:top w:w="20" w:type="dxa"/>
              <w:left w:w="25" w:type="dxa"/>
              <w:bottom w:w="20" w:type="dxa"/>
              <w:right w:w="25" w:type="dxa"/>
            </w:tcMar>
            <w:vAlign w:val="center"/>
          </w:tcPr>
          <w:p w14:paraId="1D1E5EBE" w14:textId="4CA1B535" w:rsidR="00D713E6" w:rsidRPr="006A1461" w:rsidRDefault="00000000" w:rsidP="00055F56">
            <w:pPr>
              <w:jc w:val="center"/>
              <w:rPr>
                <w:rFonts w:cs="Times New Roman"/>
                <w:color w:val="000000" w:themeColor="text1"/>
                <w:sz w:val="24"/>
                <w:szCs w:val="24"/>
              </w:rPr>
            </w:pPr>
            <w:r w:rsidRPr="006A1461">
              <w:rPr>
                <w:rFonts w:cs="Times New Roman"/>
                <w:color w:val="000000" w:themeColor="text1"/>
                <w:sz w:val="24"/>
                <w:szCs w:val="24"/>
              </w:rPr>
              <w:t>31.0 (24.1</w:t>
            </w:r>
            <w:r w:rsidR="006A1461">
              <w:rPr>
                <w:rFonts w:cs="Times New Roman"/>
                <w:color w:val="000000" w:themeColor="text1"/>
                <w:sz w:val="24"/>
                <w:szCs w:val="24"/>
              </w:rPr>
              <w:t>-</w:t>
            </w:r>
            <w:r w:rsidRPr="006A1461">
              <w:rPr>
                <w:rFonts w:cs="Times New Roman"/>
                <w:color w:val="000000" w:themeColor="text1"/>
                <w:sz w:val="24"/>
                <w:szCs w:val="24"/>
              </w:rPr>
              <w:t>37.0)</w:t>
            </w:r>
          </w:p>
        </w:tc>
        <w:tc>
          <w:tcPr>
            <w:tcW w:w="832" w:type="pct"/>
            <w:tcMar>
              <w:top w:w="20" w:type="dxa"/>
              <w:left w:w="25" w:type="dxa"/>
              <w:bottom w:w="20" w:type="dxa"/>
              <w:right w:w="25" w:type="dxa"/>
            </w:tcMar>
            <w:vAlign w:val="center"/>
          </w:tcPr>
          <w:p w14:paraId="31255FB0" w14:textId="36E81711" w:rsidR="00D713E6" w:rsidRPr="006A1461" w:rsidRDefault="006A1461" w:rsidP="00055F56">
            <w:pPr>
              <w:jc w:val="center"/>
              <w:rPr>
                <w:rFonts w:cs="Times New Roman"/>
                <w:color w:val="000000" w:themeColor="text1"/>
                <w:sz w:val="24"/>
                <w:szCs w:val="24"/>
              </w:rPr>
            </w:pPr>
            <w:r>
              <w:rPr>
                <w:rFonts w:cs="Times New Roman"/>
                <w:color w:val="000000" w:themeColor="text1"/>
                <w:sz w:val="24"/>
                <w:szCs w:val="24"/>
              </w:rPr>
              <w:t>-</w:t>
            </w:r>
            <w:r w:rsidRPr="006A1461">
              <w:rPr>
                <w:rFonts w:cs="Times New Roman"/>
                <w:color w:val="000000" w:themeColor="text1"/>
                <w:sz w:val="24"/>
                <w:szCs w:val="24"/>
              </w:rPr>
              <w:t>3.2 (</w:t>
            </w:r>
            <w:r>
              <w:rPr>
                <w:rFonts w:cs="Times New Roman"/>
                <w:color w:val="000000" w:themeColor="text1"/>
                <w:sz w:val="24"/>
                <w:szCs w:val="24"/>
              </w:rPr>
              <w:t>-</w:t>
            </w:r>
            <w:r w:rsidRPr="006A1461">
              <w:rPr>
                <w:rFonts w:cs="Times New Roman"/>
                <w:color w:val="000000" w:themeColor="text1"/>
                <w:sz w:val="24"/>
                <w:szCs w:val="24"/>
              </w:rPr>
              <w:t xml:space="preserve">3.9 to </w:t>
            </w:r>
            <w:r>
              <w:rPr>
                <w:rFonts w:cs="Times New Roman"/>
                <w:color w:val="000000" w:themeColor="text1"/>
                <w:sz w:val="24"/>
                <w:szCs w:val="24"/>
              </w:rPr>
              <w:t>-</w:t>
            </w:r>
            <w:r w:rsidRPr="006A1461">
              <w:rPr>
                <w:rFonts w:cs="Times New Roman"/>
                <w:color w:val="000000" w:themeColor="text1"/>
                <w:sz w:val="24"/>
                <w:szCs w:val="24"/>
              </w:rPr>
              <w:t>2.7)</w:t>
            </w:r>
          </w:p>
        </w:tc>
        <w:tc>
          <w:tcPr>
            <w:tcW w:w="846" w:type="pct"/>
            <w:tcMar>
              <w:top w:w="20" w:type="dxa"/>
              <w:left w:w="25" w:type="dxa"/>
              <w:bottom w:w="20" w:type="dxa"/>
              <w:right w:w="25" w:type="dxa"/>
            </w:tcMar>
            <w:vAlign w:val="center"/>
          </w:tcPr>
          <w:p w14:paraId="01D4B36A" w14:textId="2F2385A3" w:rsidR="00D713E6" w:rsidRPr="006A1461" w:rsidRDefault="006A1461" w:rsidP="00055F56">
            <w:pPr>
              <w:jc w:val="center"/>
              <w:rPr>
                <w:rFonts w:cs="Times New Roman"/>
                <w:color w:val="000000" w:themeColor="text1"/>
                <w:sz w:val="24"/>
                <w:szCs w:val="24"/>
              </w:rPr>
            </w:pPr>
            <w:r>
              <w:rPr>
                <w:rFonts w:cs="Times New Roman"/>
                <w:color w:val="000000" w:themeColor="text1"/>
                <w:sz w:val="24"/>
                <w:szCs w:val="24"/>
              </w:rPr>
              <w:t>-</w:t>
            </w:r>
            <w:r w:rsidRPr="006A1461">
              <w:rPr>
                <w:rFonts w:cs="Times New Roman"/>
                <w:color w:val="000000" w:themeColor="text1"/>
                <w:sz w:val="24"/>
                <w:szCs w:val="24"/>
              </w:rPr>
              <w:t>0.3 (</w:t>
            </w:r>
            <w:r>
              <w:rPr>
                <w:rFonts w:cs="Times New Roman"/>
                <w:color w:val="000000" w:themeColor="text1"/>
                <w:sz w:val="24"/>
                <w:szCs w:val="24"/>
              </w:rPr>
              <w:t>-</w:t>
            </w:r>
            <w:r w:rsidRPr="006A1461">
              <w:rPr>
                <w:rFonts w:cs="Times New Roman"/>
                <w:color w:val="000000" w:themeColor="text1"/>
                <w:sz w:val="24"/>
                <w:szCs w:val="24"/>
              </w:rPr>
              <w:t>0.9 to 0.6)</w:t>
            </w:r>
          </w:p>
        </w:tc>
        <w:tc>
          <w:tcPr>
            <w:tcW w:w="678" w:type="pct"/>
            <w:tcMar>
              <w:top w:w="20" w:type="dxa"/>
              <w:left w:w="25" w:type="dxa"/>
              <w:bottom w:w="20" w:type="dxa"/>
              <w:right w:w="25" w:type="dxa"/>
            </w:tcMar>
            <w:vAlign w:val="center"/>
          </w:tcPr>
          <w:p w14:paraId="57F3A021" w14:textId="2271CE35" w:rsidR="00D713E6" w:rsidRPr="006A1461" w:rsidRDefault="00000000" w:rsidP="00055F56">
            <w:pPr>
              <w:jc w:val="center"/>
              <w:rPr>
                <w:rFonts w:cs="Times New Roman"/>
                <w:color w:val="000000" w:themeColor="text1"/>
                <w:sz w:val="24"/>
                <w:szCs w:val="24"/>
              </w:rPr>
            </w:pPr>
            <w:r w:rsidRPr="006A1461">
              <w:rPr>
                <w:rFonts w:cs="Times New Roman"/>
                <w:color w:val="000000" w:themeColor="text1"/>
                <w:sz w:val="24"/>
                <w:szCs w:val="24"/>
              </w:rPr>
              <w:t>2.9 (2.2</w:t>
            </w:r>
            <w:r w:rsidR="006A1461">
              <w:rPr>
                <w:rFonts w:cs="Times New Roman"/>
                <w:color w:val="000000" w:themeColor="text1"/>
                <w:sz w:val="24"/>
                <w:szCs w:val="24"/>
              </w:rPr>
              <w:t>-</w:t>
            </w:r>
            <w:r w:rsidRPr="006A1461">
              <w:rPr>
                <w:rFonts w:cs="Times New Roman"/>
                <w:color w:val="000000" w:themeColor="text1"/>
                <w:sz w:val="24"/>
                <w:szCs w:val="24"/>
              </w:rPr>
              <w:t>3.8)</w:t>
            </w:r>
          </w:p>
        </w:tc>
        <w:tc>
          <w:tcPr>
            <w:tcW w:w="482" w:type="pct"/>
            <w:tcMar>
              <w:top w:w="20" w:type="dxa"/>
              <w:left w:w="25" w:type="dxa"/>
              <w:bottom w:w="20" w:type="dxa"/>
              <w:right w:w="25" w:type="dxa"/>
            </w:tcMar>
            <w:vAlign w:val="center"/>
          </w:tcPr>
          <w:p w14:paraId="3852FBCA" w14:textId="77777777" w:rsidR="00D713E6" w:rsidRPr="006A1461" w:rsidRDefault="00000000" w:rsidP="00055F56">
            <w:pPr>
              <w:jc w:val="center"/>
              <w:rPr>
                <w:rFonts w:cs="Times New Roman"/>
                <w:color w:val="000000" w:themeColor="text1"/>
                <w:sz w:val="24"/>
                <w:szCs w:val="24"/>
              </w:rPr>
            </w:pPr>
            <w:r w:rsidRPr="006A1461">
              <w:rPr>
                <w:rFonts w:cs="Times New Roman"/>
                <w:color w:val="000000" w:themeColor="text1"/>
                <w:sz w:val="24"/>
                <w:szCs w:val="24"/>
              </w:rPr>
              <w:t>6.76</w:t>
            </w:r>
          </w:p>
        </w:tc>
        <w:tc>
          <w:tcPr>
            <w:tcW w:w="315" w:type="pct"/>
            <w:tcMar>
              <w:top w:w="20" w:type="dxa"/>
              <w:left w:w="25" w:type="dxa"/>
              <w:bottom w:w="20" w:type="dxa"/>
              <w:right w:w="25" w:type="dxa"/>
            </w:tcMar>
            <w:vAlign w:val="center"/>
          </w:tcPr>
          <w:p w14:paraId="62925124" w14:textId="77777777" w:rsidR="00D713E6" w:rsidRPr="006A1461" w:rsidRDefault="00000000" w:rsidP="00055F56">
            <w:pPr>
              <w:jc w:val="center"/>
              <w:rPr>
                <w:rFonts w:cs="Times New Roman"/>
                <w:color w:val="000000" w:themeColor="text1"/>
                <w:sz w:val="24"/>
                <w:szCs w:val="24"/>
              </w:rPr>
            </w:pPr>
            <w:r w:rsidRPr="006A1461">
              <w:rPr>
                <w:rFonts w:cs="Times New Roman"/>
                <w:color w:val="000000" w:themeColor="text1"/>
                <w:sz w:val="24"/>
                <w:szCs w:val="24"/>
              </w:rPr>
              <w:t>&lt;0.001</w:t>
            </w:r>
          </w:p>
        </w:tc>
      </w:tr>
      <w:tr w:rsidR="00D713E6" w:rsidRPr="006A1461" w14:paraId="42D67459" w14:textId="77777777" w:rsidTr="00055F56">
        <w:trPr>
          <w:jc w:val="center"/>
        </w:trPr>
        <w:tc>
          <w:tcPr>
            <w:tcW w:w="1022" w:type="pct"/>
            <w:tcBorders>
              <w:bottom w:val="single" w:sz="4" w:space="0" w:color="auto"/>
            </w:tcBorders>
            <w:tcMar>
              <w:top w:w="20" w:type="dxa"/>
              <w:left w:w="25" w:type="dxa"/>
              <w:bottom w:w="20" w:type="dxa"/>
              <w:right w:w="25" w:type="dxa"/>
            </w:tcMar>
            <w:vAlign w:val="center"/>
          </w:tcPr>
          <w:p w14:paraId="04B52E5E" w14:textId="77777777" w:rsidR="00D713E6" w:rsidRPr="006A1461" w:rsidRDefault="00000000" w:rsidP="00055F56">
            <w:pPr>
              <w:jc w:val="center"/>
              <w:rPr>
                <w:rFonts w:cs="Times New Roman"/>
                <w:color w:val="000000" w:themeColor="text1"/>
                <w:sz w:val="24"/>
                <w:szCs w:val="24"/>
              </w:rPr>
            </w:pPr>
            <w:r w:rsidRPr="006A1461">
              <w:rPr>
                <w:rFonts w:cs="Times New Roman"/>
                <w:color w:val="000000" w:themeColor="text1"/>
                <w:sz w:val="24"/>
                <w:szCs w:val="24"/>
              </w:rPr>
              <w:t>Adjusted for procedure and conversion status</w:t>
            </w:r>
          </w:p>
        </w:tc>
        <w:tc>
          <w:tcPr>
            <w:tcW w:w="161" w:type="pct"/>
            <w:tcBorders>
              <w:bottom w:val="single" w:sz="4" w:space="0" w:color="auto"/>
            </w:tcBorders>
            <w:tcMar>
              <w:top w:w="20" w:type="dxa"/>
              <w:left w:w="25" w:type="dxa"/>
              <w:bottom w:w="20" w:type="dxa"/>
              <w:right w:w="25" w:type="dxa"/>
            </w:tcMar>
            <w:vAlign w:val="center"/>
          </w:tcPr>
          <w:p w14:paraId="35C0829F" w14:textId="77777777" w:rsidR="00D713E6" w:rsidRPr="006A1461" w:rsidRDefault="00000000" w:rsidP="00055F56">
            <w:pPr>
              <w:jc w:val="center"/>
              <w:rPr>
                <w:rFonts w:cs="Times New Roman"/>
                <w:color w:val="000000" w:themeColor="text1"/>
                <w:sz w:val="24"/>
                <w:szCs w:val="24"/>
              </w:rPr>
            </w:pPr>
            <w:r w:rsidRPr="006A1461">
              <w:rPr>
                <w:rFonts w:cs="Times New Roman"/>
                <w:color w:val="000000" w:themeColor="text1"/>
                <w:sz w:val="24"/>
                <w:szCs w:val="24"/>
              </w:rPr>
              <w:t>58</w:t>
            </w:r>
          </w:p>
        </w:tc>
        <w:tc>
          <w:tcPr>
            <w:tcW w:w="664" w:type="pct"/>
            <w:tcBorders>
              <w:bottom w:val="single" w:sz="4" w:space="0" w:color="auto"/>
            </w:tcBorders>
            <w:tcMar>
              <w:top w:w="20" w:type="dxa"/>
              <w:left w:w="25" w:type="dxa"/>
              <w:bottom w:w="20" w:type="dxa"/>
              <w:right w:w="25" w:type="dxa"/>
            </w:tcMar>
            <w:vAlign w:val="center"/>
          </w:tcPr>
          <w:p w14:paraId="355FE9A0" w14:textId="49A12DDB" w:rsidR="00D713E6" w:rsidRPr="006A1461" w:rsidRDefault="00000000" w:rsidP="00055F56">
            <w:pPr>
              <w:jc w:val="center"/>
              <w:rPr>
                <w:rFonts w:cs="Times New Roman"/>
                <w:color w:val="000000" w:themeColor="text1"/>
                <w:sz w:val="24"/>
                <w:szCs w:val="24"/>
              </w:rPr>
            </w:pPr>
            <w:r w:rsidRPr="006A1461">
              <w:rPr>
                <w:rFonts w:cs="Times New Roman"/>
                <w:color w:val="000000" w:themeColor="text1"/>
                <w:sz w:val="24"/>
                <w:szCs w:val="24"/>
              </w:rPr>
              <w:t>34.0 (28.9</w:t>
            </w:r>
            <w:r w:rsidR="006A1461">
              <w:rPr>
                <w:rFonts w:cs="Times New Roman"/>
                <w:color w:val="000000" w:themeColor="text1"/>
                <w:sz w:val="24"/>
                <w:szCs w:val="24"/>
              </w:rPr>
              <w:t>-</w:t>
            </w:r>
            <w:r w:rsidRPr="006A1461">
              <w:rPr>
                <w:rFonts w:cs="Times New Roman"/>
                <w:color w:val="000000" w:themeColor="text1"/>
                <w:sz w:val="24"/>
                <w:szCs w:val="24"/>
              </w:rPr>
              <w:t>39.6)</w:t>
            </w:r>
          </w:p>
        </w:tc>
        <w:tc>
          <w:tcPr>
            <w:tcW w:w="832" w:type="pct"/>
            <w:tcBorders>
              <w:bottom w:val="single" w:sz="4" w:space="0" w:color="auto"/>
            </w:tcBorders>
            <w:tcMar>
              <w:top w:w="20" w:type="dxa"/>
              <w:left w:w="25" w:type="dxa"/>
              <w:bottom w:w="20" w:type="dxa"/>
              <w:right w:w="25" w:type="dxa"/>
            </w:tcMar>
            <w:vAlign w:val="center"/>
          </w:tcPr>
          <w:p w14:paraId="3B926D20" w14:textId="091951A3" w:rsidR="00D713E6" w:rsidRPr="006A1461" w:rsidRDefault="006A1461" w:rsidP="00055F56">
            <w:pPr>
              <w:jc w:val="center"/>
              <w:rPr>
                <w:rFonts w:cs="Times New Roman"/>
                <w:color w:val="000000" w:themeColor="text1"/>
                <w:sz w:val="24"/>
                <w:szCs w:val="24"/>
              </w:rPr>
            </w:pPr>
            <w:r>
              <w:rPr>
                <w:rFonts w:cs="Times New Roman"/>
                <w:color w:val="000000" w:themeColor="text1"/>
                <w:sz w:val="24"/>
                <w:szCs w:val="24"/>
              </w:rPr>
              <w:t>-</w:t>
            </w:r>
            <w:r w:rsidRPr="006A1461">
              <w:rPr>
                <w:rFonts w:cs="Times New Roman"/>
                <w:color w:val="000000" w:themeColor="text1"/>
                <w:sz w:val="24"/>
                <w:szCs w:val="24"/>
              </w:rPr>
              <w:t>3.1 (</w:t>
            </w:r>
            <w:r>
              <w:rPr>
                <w:rFonts w:cs="Times New Roman"/>
                <w:color w:val="000000" w:themeColor="text1"/>
                <w:sz w:val="24"/>
                <w:szCs w:val="24"/>
              </w:rPr>
              <w:t>-</w:t>
            </w:r>
            <w:r w:rsidRPr="006A1461">
              <w:rPr>
                <w:rFonts w:cs="Times New Roman"/>
                <w:color w:val="000000" w:themeColor="text1"/>
                <w:sz w:val="24"/>
                <w:szCs w:val="24"/>
              </w:rPr>
              <w:t xml:space="preserve">3.6 to </w:t>
            </w:r>
            <w:r>
              <w:rPr>
                <w:rFonts w:cs="Times New Roman"/>
                <w:color w:val="000000" w:themeColor="text1"/>
                <w:sz w:val="24"/>
                <w:szCs w:val="24"/>
              </w:rPr>
              <w:t>-</w:t>
            </w:r>
            <w:r w:rsidRPr="006A1461">
              <w:rPr>
                <w:rFonts w:cs="Times New Roman"/>
                <w:color w:val="000000" w:themeColor="text1"/>
                <w:sz w:val="24"/>
                <w:szCs w:val="24"/>
              </w:rPr>
              <w:t>2.6)</w:t>
            </w:r>
          </w:p>
        </w:tc>
        <w:tc>
          <w:tcPr>
            <w:tcW w:w="846" w:type="pct"/>
            <w:tcBorders>
              <w:bottom w:val="single" w:sz="4" w:space="0" w:color="auto"/>
            </w:tcBorders>
            <w:tcMar>
              <w:top w:w="20" w:type="dxa"/>
              <w:left w:w="25" w:type="dxa"/>
              <w:bottom w:w="20" w:type="dxa"/>
              <w:right w:w="25" w:type="dxa"/>
            </w:tcMar>
            <w:vAlign w:val="center"/>
          </w:tcPr>
          <w:p w14:paraId="7B7141D5" w14:textId="15F3EBB6" w:rsidR="00D713E6" w:rsidRPr="006A1461" w:rsidRDefault="006A1461" w:rsidP="00055F56">
            <w:pPr>
              <w:jc w:val="center"/>
              <w:rPr>
                <w:rFonts w:cs="Times New Roman"/>
                <w:color w:val="000000" w:themeColor="text1"/>
                <w:sz w:val="24"/>
                <w:szCs w:val="24"/>
              </w:rPr>
            </w:pPr>
            <w:r>
              <w:rPr>
                <w:rFonts w:cs="Times New Roman"/>
                <w:color w:val="000000" w:themeColor="text1"/>
                <w:sz w:val="24"/>
                <w:szCs w:val="24"/>
              </w:rPr>
              <w:t>-</w:t>
            </w:r>
            <w:r w:rsidRPr="006A1461">
              <w:rPr>
                <w:rFonts w:cs="Times New Roman"/>
                <w:color w:val="000000" w:themeColor="text1"/>
                <w:sz w:val="24"/>
                <w:szCs w:val="24"/>
              </w:rPr>
              <w:t>0.1 (</w:t>
            </w:r>
            <w:r>
              <w:rPr>
                <w:rFonts w:cs="Times New Roman"/>
                <w:color w:val="000000" w:themeColor="text1"/>
                <w:sz w:val="24"/>
                <w:szCs w:val="24"/>
              </w:rPr>
              <w:t>-</w:t>
            </w:r>
            <w:r w:rsidRPr="006A1461">
              <w:rPr>
                <w:rFonts w:cs="Times New Roman"/>
                <w:color w:val="000000" w:themeColor="text1"/>
                <w:sz w:val="24"/>
                <w:szCs w:val="24"/>
              </w:rPr>
              <w:t>0.7 to 0.9)</w:t>
            </w:r>
          </w:p>
        </w:tc>
        <w:tc>
          <w:tcPr>
            <w:tcW w:w="678" w:type="pct"/>
            <w:tcBorders>
              <w:bottom w:val="single" w:sz="4" w:space="0" w:color="auto"/>
            </w:tcBorders>
            <w:tcMar>
              <w:top w:w="20" w:type="dxa"/>
              <w:left w:w="25" w:type="dxa"/>
              <w:bottom w:w="20" w:type="dxa"/>
              <w:right w:w="25" w:type="dxa"/>
            </w:tcMar>
            <w:vAlign w:val="center"/>
          </w:tcPr>
          <w:p w14:paraId="42F78715" w14:textId="24EB8DEF" w:rsidR="00D713E6" w:rsidRPr="006A1461" w:rsidRDefault="00000000" w:rsidP="00055F56">
            <w:pPr>
              <w:jc w:val="center"/>
              <w:rPr>
                <w:rFonts w:cs="Times New Roman"/>
                <w:color w:val="000000" w:themeColor="text1"/>
                <w:sz w:val="24"/>
                <w:szCs w:val="24"/>
              </w:rPr>
            </w:pPr>
            <w:r w:rsidRPr="006A1461">
              <w:rPr>
                <w:rFonts w:cs="Times New Roman"/>
                <w:color w:val="000000" w:themeColor="text1"/>
                <w:sz w:val="24"/>
                <w:szCs w:val="24"/>
              </w:rPr>
              <w:t>3.0 (2.3</w:t>
            </w:r>
            <w:r w:rsidR="006A1461">
              <w:rPr>
                <w:rFonts w:cs="Times New Roman"/>
                <w:color w:val="000000" w:themeColor="text1"/>
                <w:sz w:val="24"/>
                <w:szCs w:val="24"/>
              </w:rPr>
              <w:t>-</w:t>
            </w:r>
            <w:r w:rsidRPr="006A1461">
              <w:rPr>
                <w:rFonts w:cs="Times New Roman"/>
                <w:color w:val="000000" w:themeColor="text1"/>
                <w:sz w:val="24"/>
                <w:szCs w:val="24"/>
              </w:rPr>
              <w:t>4.0)</w:t>
            </w:r>
          </w:p>
        </w:tc>
        <w:tc>
          <w:tcPr>
            <w:tcW w:w="482" w:type="pct"/>
            <w:tcBorders>
              <w:bottom w:val="single" w:sz="4" w:space="0" w:color="auto"/>
            </w:tcBorders>
            <w:tcMar>
              <w:top w:w="20" w:type="dxa"/>
              <w:left w:w="25" w:type="dxa"/>
              <w:bottom w:w="20" w:type="dxa"/>
              <w:right w:w="25" w:type="dxa"/>
            </w:tcMar>
            <w:vAlign w:val="center"/>
          </w:tcPr>
          <w:p w14:paraId="2D061077" w14:textId="77777777" w:rsidR="00D713E6" w:rsidRPr="006A1461" w:rsidRDefault="00000000" w:rsidP="00055F56">
            <w:pPr>
              <w:jc w:val="center"/>
              <w:rPr>
                <w:rFonts w:cs="Times New Roman"/>
                <w:color w:val="000000" w:themeColor="text1"/>
                <w:sz w:val="24"/>
                <w:szCs w:val="24"/>
              </w:rPr>
            </w:pPr>
            <w:r w:rsidRPr="006A1461">
              <w:rPr>
                <w:rFonts w:cs="Times New Roman"/>
                <w:color w:val="000000" w:themeColor="text1"/>
                <w:sz w:val="24"/>
                <w:szCs w:val="24"/>
              </w:rPr>
              <w:t>6.83</w:t>
            </w:r>
          </w:p>
        </w:tc>
        <w:tc>
          <w:tcPr>
            <w:tcW w:w="315" w:type="pct"/>
            <w:tcBorders>
              <w:bottom w:val="single" w:sz="4" w:space="0" w:color="auto"/>
            </w:tcBorders>
            <w:tcMar>
              <w:top w:w="20" w:type="dxa"/>
              <w:left w:w="25" w:type="dxa"/>
              <w:bottom w:w="20" w:type="dxa"/>
              <w:right w:w="25" w:type="dxa"/>
            </w:tcMar>
            <w:vAlign w:val="center"/>
          </w:tcPr>
          <w:p w14:paraId="5CB264EB" w14:textId="77777777" w:rsidR="00D713E6" w:rsidRPr="006A1461" w:rsidRDefault="00000000" w:rsidP="00055F56">
            <w:pPr>
              <w:jc w:val="center"/>
              <w:rPr>
                <w:rFonts w:cs="Times New Roman"/>
                <w:color w:val="000000" w:themeColor="text1"/>
                <w:sz w:val="24"/>
                <w:szCs w:val="24"/>
              </w:rPr>
            </w:pPr>
            <w:r w:rsidRPr="006A1461">
              <w:rPr>
                <w:rFonts w:cs="Times New Roman"/>
                <w:color w:val="000000" w:themeColor="text1"/>
                <w:sz w:val="24"/>
                <w:szCs w:val="24"/>
              </w:rPr>
              <w:t>&lt;0.001</w:t>
            </w:r>
          </w:p>
        </w:tc>
      </w:tr>
    </w:tbl>
    <w:p w14:paraId="383A402A" w14:textId="4C06A356" w:rsidR="00D713E6" w:rsidRPr="00055F56" w:rsidRDefault="00000000" w:rsidP="00055F56">
      <w:pPr>
        <w:spacing w:after="400" w:line="480" w:lineRule="auto"/>
        <w:jc w:val="both"/>
        <w:rPr>
          <w:rFonts w:cs="Times New Roman"/>
          <w:color w:val="000000" w:themeColor="text1"/>
          <w:sz w:val="24"/>
          <w:szCs w:val="24"/>
        </w:rPr>
      </w:pPr>
      <w:r w:rsidRPr="00055F56">
        <w:rPr>
          <w:rFonts w:cs="Times New Roman"/>
          <w:i/>
          <w:color w:val="000000" w:themeColor="text1"/>
          <w:sz w:val="24"/>
          <w:szCs w:val="24"/>
        </w:rPr>
        <w:t>CI, confidence interval; SG, sleeve gastrectomy. Slopes and the change in slope are in minutes per case. Case number was entered continuously from 1 to 58; original chronological case numbers were retained when sleeve gastrectomy cases were excluded. Confidence intervals are percentile intervals from 2,000 residual bootstrap resamples. The Davies statistic is the maximized absolute t statistic for the change in slope over candidate breakpoints 8</w:t>
      </w:r>
      <w:r w:rsidR="006A1461">
        <w:rPr>
          <w:rFonts w:cs="Times New Roman"/>
          <w:i/>
          <w:color w:val="000000" w:themeColor="text1"/>
          <w:sz w:val="24"/>
          <w:szCs w:val="24"/>
        </w:rPr>
        <w:t>-</w:t>
      </w:r>
      <w:r w:rsidRPr="00055F56">
        <w:rPr>
          <w:rFonts w:cs="Times New Roman"/>
          <w:i/>
          <w:color w:val="000000" w:themeColor="text1"/>
          <w:sz w:val="24"/>
          <w:szCs w:val="24"/>
        </w:rPr>
        <w:t>50; P values are Davies upper bounds. The post-breakpoint interval includes zero in every model.</w:t>
      </w:r>
    </w:p>
    <w:p w14:paraId="302E9C39" w14:textId="77777777" w:rsidR="00055F56" w:rsidRPr="00055F56" w:rsidRDefault="00055F56" w:rsidP="00055F56">
      <w:pPr>
        <w:rPr>
          <w:rFonts w:cs="Times New Roman"/>
          <w:b/>
          <w:color w:val="000000" w:themeColor="text1"/>
          <w:sz w:val="24"/>
          <w:szCs w:val="24"/>
        </w:rPr>
        <w:sectPr w:rsidR="00055F56" w:rsidRPr="00055F56" w:rsidSect="00055F56">
          <w:pgSz w:w="16834" w:h="11909" w:orient="landscape"/>
          <w:pgMar w:top="1440" w:right="1440" w:bottom="1440" w:left="1440" w:header="720" w:footer="720" w:gutter="0"/>
          <w:cols w:space="720"/>
          <w:docGrid w:linePitch="360"/>
        </w:sectPr>
      </w:pPr>
    </w:p>
    <w:p w14:paraId="2DBC7030" w14:textId="57243A76" w:rsidR="00D713E6" w:rsidRPr="00055F56" w:rsidRDefault="00000000" w:rsidP="00055F56">
      <w:pPr>
        <w:rPr>
          <w:rFonts w:cs="Times New Roman"/>
          <w:b/>
          <w:color w:val="000000" w:themeColor="text1"/>
          <w:sz w:val="24"/>
          <w:szCs w:val="24"/>
        </w:rPr>
      </w:pPr>
      <w:r w:rsidRPr="00055F56">
        <w:rPr>
          <w:rFonts w:cs="Times New Roman"/>
          <w:b/>
          <w:color w:val="000000" w:themeColor="text1"/>
          <w:sz w:val="24"/>
          <w:szCs w:val="24"/>
        </w:rPr>
        <w:lastRenderedPageBreak/>
        <w:t>Table S2</w:t>
      </w:r>
      <w:r w:rsidR="00055F56" w:rsidRPr="00055F56">
        <w:rPr>
          <w:rFonts w:cs="Times New Roman"/>
          <w:b/>
          <w:color w:val="000000" w:themeColor="text1"/>
          <w:sz w:val="24"/>
          <w:szCs w:val="24"/>
        </w:rPr>
        <w:t xml:space="preserve"> (a)</w:t>
      </w:r>
      <w:r w:rsidRPr="00055F56">
        <w:rPr>
          <w:rFonts w:cs="Times New Roman"/>
          <w:b/>
          <w:color w:val="000000" w:themeColor="text1"/>
          <w:sz w:val="24"/>
          <w:szCs w:val="24"/>
        </w:rPr>
        <w:t xml:space="preserve">. </w:t>
      </w:r>
      <w:r w:rsidRPr="00055F56">
        <w:rPr>
          <w:rFonts w:cs="Times New Roman"/>
          <w:bCs/>
          <w:color w:val="000000" w:themeColor="text1"/>
          <w:sz w:val="24"/>
          <w:szCs w:val="24"/>
        </w:rPr>
        <w:t>Operative-time summaries by learning-curve phase</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083"/>
        <w:gridCol w:w="3082"/>
        <w:gridCol w:w="3080"/>
      </w:tblGrid>
      <w:tr w:rsidR="00D713E6" w:rsidRPr="00055F56" w14:paraId="206C69B9" w14:textId="77777777" w:rsidTr="00055F56">
        <w:trPr>
          <w:cantSplit/>
          <w:trHeight w:val="57"/>
          <w:tblHeader/>
        </w:trPr>
        <w:tc>
          <w:tcPr>
            <w:tcW w:w="1667" w:type="pct"/>
            <w:tcBorders>
              <w:bottom w:val="single" w:sz="4" w:space="0" w:color="auto"/>
            </w:tcBorders>
            <w:vAlign w:val="center"/>
          </w:tcPr>
          <w:p w14:paraId="3128AE9D" w14:textId="77777777" w:rsidR="00D713E6" w:rsidRPr="00055F56" w:rsidRDefault="00000000" w:rsidP="00055F56">
            <w:pPr>
              <w:spacing w:line="480" w:lineRule="auto"/>
              <w:jc w:val="center"/>
              <w:rPr>
                <w:rFonts w:cs="Times New Roman"/>
                <w:color w:val="000000" w:themeColor="text1"/>
                <w:sz w:val="24"/>
                <w:szCs w:val="24"/>
              </w:rPr>
            </w:pPr>
            <w:r w:rsidRPr="00055F56">
              <w:rPr>
                <w:rFonts w:cs="Times New Roman"/>
                <w:b/>
                <w:color w:val="000000" w:themeColor="text1"/>
                <w:sz w:val="24"/>
                <w:szCs w:val="24"/>
              </w:rPr>
              <w:t>Measure</w:t>
            </w:r>
          </w:p>
        </w:tc>
        <w:tc>
          <w:tcPr>
            <w:tcW w:w="1667" w:type="pct"/>
            <w:tcBorders>
              <w:bottom w:val="single" w:sz="4" w:space="0" w:color="auto"/>
            </w:tcBorders>
            <w:vAlign w:val="center"/>
          </w:tcPr>
          <w:p w14:paraId="00BF9A53" w14:textId="78892C5E" w:rsidR="00D713E6" w:rsidRPr="00055F56" w:rsidRDefault="00000000" w:rsidP="00055F56">
            <w:pPr>
              <w:spacing w:line="480" w:lineRule="auto"/>
              <w:jc w:val="center"/>
              <w:rPr>
                <w:rFonts w:cs="Times New Roman"/>
                <w:color w:val="000000" w:themeColor="text1"/>
                <w:sz w:val="24"/>
                <w:szCs w:val="24"/>
              </w:rPr>
            </w:pPr>
            <w:r w:rsidRPr="00055F56">
              <w:rPr>
                <w:rFonts w:cs="Times New Roman"/>
                <w:b/>
                <w:color w:val="000000" w:themeColor="text1"/>
                <w:sz w:val="24"/>
                <w:szCs w:val="24"/>
              </w:rPr>
              <w:t>Cases 1</w:t>
            </w:r>
            <w:r w:rsidR="006A1461">
              <w:rPr>
                <w:rFonts w:cs="Times New Roman"/>
                <w:b/>
                <w:color w:val="000000" w:themeColor="text1"/>
                <w:sz w:val="24"/>
                <w:szCs w:val="24"/>
              </w:rPr>
              <w:t>-</w:t>
            </w:r>
            <w:r w:rsidRPr="00055F56">
              <w:rPr>
                <w:rFonts w:cs="Times New Roman"/>
                <w:b/>
                <w:color w:val="000000" w:themeColor="text1"/>
                <w:sz w:val="24"/>
                <w:szCs w:val="24"/>
              </w:rPr>
              <w:t>31</w:t>
            </w:r>
          </w:p>
        </w:tc>
        <w:tc>
          <w:tcPr>
            <w:tcW w:w="1667" w:type="pct"/>
            <w:tcBorders>
              <w:bottom w:val="single" w:sz="4" w:space="0" w:color="auto"/>
            </w:tcBorders>
            <w:vAlign w:val="center"/>
          </w:tcPr>
          <w:p w14:paraId="51901B19" w14:textId="375C0D52" w:rsidR="00D713E6" w:rsidRPr="00055F56" w:rsidRDefault="00000000" w:rsidP="00055F56">
            <w:pPr>
              <w:spacing w:line="480" w:lineRule="auto"/>
              <w:jc w:val="center"/>
              <w:rPr>
                <w:rFonts w:cs="Times New Roman"/>
                <w:color w:val="000000" w:themeColor="text1"/>
                <w:sz w:val="24"/>
                <w:szCs w:val="24"/>
              </w:rPr>
            </w:pPr>
            <w:r w:rsidRPr="00055F56">
              <w:rPr>
                <w:rFonts w:cs="Times New Roman"/>
                <w:b/>
                <w:color w:val="000000" w:themeColor="text1"/>
                <w:sz w:val="24"/>
                <w:szCs w:val="24"/>
              </w:rPr>
              <w:t>Cases 32</w:t>
            </w:r>
            <w:r w:rsidR="006A1461">
              <w:rPr>
                <w:rFonts w:cs="Times New Roman"/>
                <w:b/>
                <w:color w:val="000000" w:themeColor="text1"/>
                <w:sz w:val="24"/>
                <w:szCs w:val="24"/>
              </w:rPr>
              <w:t>-</w:t>
            </w:r>
            <w:r w:rsidRPr="00055F56">
              <w:rPr>
                <w:rFonts w:cs="Times New Roman"/>
                <w:b/>
                <w:color w:val="000000" w:themeColor="text1"/>
                <w:sz w:val="24"/>
                <w:szCs w:val="24"/>
              </w:rPr>
              <w:t>58</w:t>
            </w:r>
          </w:p>
        </w:tc>
      </w:tr>
      <w:tr w:rsidR="00D713E6" w:rsidRPr="00055F56" w14:paraId="61D53A3F" w14:textId="77777777" w:rsidTr="00055F56">
        <w:trPr>
          <w:trHeight w:val="57"/>
        </w:trPr>
        <w:tc>
          <w:tcPr>
            <w:tcW w:w="1667" w:type="pct"/>
            <w:tcBorders>
              <w:top w:val="single" w:sz="4" w:space="0" w:color="auto"/>
            </w:tcBorders>
            <w:vAlign w:val="center"/>
          </w:tcPr>
          <w:p w14:paraId="7A20A2C3" w14:textId="77777777" w:rsidR="00D713E6" w:rsidRPr="00055F56" w:rsidRDefault="00000000" w:rsidP="00055F56">
            <w:pPr>
              <w:spacing w:line="480" w:lineRule="auto"/>
              <w:jc w:val="center"/>
              <w:rPr>
                <w:rFonts w:cs="Times New Roman"/>
                <w:color w:val="000000" w:themeColor="text1"/>
                <w:sz w:val="24"/>
                <w:szCs w:val="24"/>
              </w:rPr>
            </w:pPr>
            <w:r w:rsidRPr="00055F56">
              <w:rPr>
                <w:rFonts w:cs="Times New Roman"/>
                <w:color w:val="000000" w:themeColor="text1"/>
                <w:sz w:val="24"/>
                <w:szCs w:val="24"/>
              </w:rPr>
              <w:t>n</w:t>
            </w:r>
          </w:p>
        </w:tc>
        <w:tc>
          <w:tcPr>
            <w:tcW w:w="1667" w:type="pct"/>
            <w:tcBorders>
              <w:top w:val="single" w:sz="4" w:space="0" w:color="auto"/>
            </w:tcBorders>
            <w:vAlign w:val="center"/>
          </w:tcPr>
          <w:p w14:paraId="51111AC2" w14:textId="77777777" w:rsidR="00D713E6" w:rsidRPr="00055F56" w:rsidRDefault="00000000" w:rsidP="00055F56">
            <w:pPr>
              <w:spacing w:line="480" w:lineRule="auto"/>
              <w:jc w:val="center"/>
              <w:rPr>
                <w:rFonts w:cs="Times New Roman"/>
                <w:color w:val="000000" w:themeColor="text1"/>
                <w:sz w:val="24"/>
                <w:szCs w:val="24"/>
              </w:rPr>
            </w:pPr>
            <w:r w:rsidRPr="00055F56">
              <w:rPr>
                <w:rFonts w:cs="Times New Roman"/>
                <w:color w:val="000000" w:themeColor="text1"/>
                <w:sz w:val="24"/>
                <w:szCs w:val="24"/>
              </w:rPr>
              <w:t>31</w:t>
            </w:r>
          </w:p>
        </w:tc>
        <w:tc>
          <w:tcPr>
            <w:tcW w:w="1667" w:type="pct"/>
            <w:tcBorders>
              <w:top w:val="single" w:sz="4" w:space="0" w:color="auto"/>
            </w:tcBorders>
            <w:vAlign w:val="center"/>
          </w:tcPr>
          <w:p w14:paraId="183C715A" w14:textId="77777777" w:rsidR="00D713E6" w:rsidRPr="00055F56" w:rsidRDefault="00000000" w:rsidP="00055F56">
            <w:pPr>
              <w:spacing w:line="480" w:lineRule="auto"/>
              <w:jc w:val="center"/>
              <w:rPr>
                <w:rFonts w:cs="Times New Roman"/>
                <w:color w:val="000000" w:themeColor="text1"/>
                <w:sz w:val="24"/>
                <w:szCs w:val="24"/>
              </w:rPr>
            </w:pPr>
            <w:r w:rsidRPr="00055F56">
              <w:rPr>
                <w:rFonts w:cs="Times New Roman"/>
                <w:color w:val="000000" w:themeColor="text1"/>
                <w:sz w:val="24"/>
                <w:szCs w:val="24"/>
              </w:rPr>
              <w:t>27</w:t>
            </w:r>
          </w:p>
        </w:tc>
      </w:tr>
      <w:tr w:rsidR="00D713E6" w:rsidRPr="00055F56" w14:paraId="2407243B" w14:textId="77777777" w:rsidTr="00055F56">
        <w:trPr>
          <w:trHeight w:val="57"/>
        </w:trPr>
        <w:tc>
          <w:tcPr>
            <w:tcW w:w="1667" w:type="pct"/>
            <w:vAlign w:val="center"/>
          </w:tcPr>
          <w:p w14:paraId="4C2877B3" w14:textId="77777777" w:rsidR="00D713E6" w:rsidRPr="00055F56" w:rsidRDefault="00000000" w:rsidP="00055F56">
            <w:pPr>
              <w:spacing w:line="480" w:lineRule="auto"/>
              <w:jc w:val="center"/>
              <w:rPr>
                <w:rFonts w:cs="Times New Roman"/>
                <w:color w:val="000000" w:themeColor="text1"/>
                <w:sz w:val="24"/>
                <w:szCs w:val="24"/>
              </w:rPr>
            </w:pPr>
            <w:r w:rsidRPr="00055F56">
              <w:rPr>
                <w:rFonts w:cs="Times New Roman"/>
                <w:color w:val="000000" w:themeColor="text1"/>
                <w:sz w:val="24"/>
                <w:szCs w:val="24"/>
              </w:rPr>
              <w:t>Mean, min</w:t>
            </w:r>
          </w:p>
        </w:tc>
        <w:tc>
          <w:tcPr>
            <w:tcW w:w="1667" w:type="pct"/>
            <w:vAlign w:val="center"/>
          </w:tcPr>
          <w:p w14:paraId="4784EEAF" w14:textId="77777777" w:rsidR="00D713E6" w:rsidRPr="00055F56" w:rsidRDefault="00000000" w:rsidP="00055F56">
            <w:pPr>
              <w:spacing w:line="480" w:lineRule="auto"/>
              <w:jc w:val="center"/>
              <w:rPr>
                <w:rFonts w:cs="Times New Roman"/>
                <w:color w:val="000000" w:themeColor="text1"/>
                <w:sz w:val="24"/>
                <w:szCs w:val="24"/>
              </w:rPr>
            </w:pPr>
            <w:r w:rsidRPr="00055F56">
              <w:rPr>
                <w:rFonts w:cs="Times New Roman"/>
                <w:color w:val="000000" w:themeColor="text1"/>
                <w:sz w:val="24"/>
                <w:szCs w:val="24"/>
              </w:rPr>
              <w:t>208</w:t>
            </w:r>
          </w:p>
        </w:tc>
        <w:tc>
          <w:tcPr>
            <w:tcW w:w="1667" w:type="pct"/>
            <w:vAlign w:val="center"/>
          </w:tcPr>
          <w:p w14:paraId="51C5958D" w14:textId="77777777" w:rsidR="00D713E6" w:rsidRPr="00055F56" w:rsidRDefault="00000000" w:rsidP="00055F56">
            <w:pPr>
              <w:spacing w:line="480" w:lineRule="auto"/>
              <w:jc w:val="center"/>
              <w:rPr>
                <w:rFonts w:cs="Times New Roman"/>
                <w:color w:val="000000" w:themeColor="text1"/>
                <w:sz w:val="24"/>
                <w:szCs w:val="24"/>
              </w:rPr>
            </w:pPr>
            <w:r w:rsidRPr="00055F56">
              <w:rPr>
                <w:rFonts w:cs="Times New Roman"/>
                <w:color w:val="000000" w:themeColor="text1"/>
                <w:sz w:val="24"/>
                <w:szCs w:val="24"/>
              </w:rPr>
              <w:t>154</w:t>
            </w:r>
          </w:p>
        </w:tc>
      </w:tr>
      <w:tr w:rsidR="00D713E6" w:rsidRPr="00055F56" w14:paraId="42E85AFB" w14:textId="77777777" w:rsidTr="00055F56">
        <w:trPr>
          <w:trHeight w:val="57"/>
        </w:trPr>
        <w:tc>
          <w:tcPr>
            <w:tcW w:w="1667" w:type="pct"/>
            <w:vAlign w:val="center"/>
          </w:tcPr>
          <w:p w14:paraId="4105B563" w14:textId="77777777" w:rsidR="00D713E6" w:rsidRPr="00055F56" w:rsidRDefault="00000000" w:rsidP="00055F56">
            <w:pPr>
              <w:spacing w:line="480" w:lineRule="auto"/>
              <w:jc w:val="center"/>
              <w:rPr>
                <w:rFonts w:cs="Times New Roman"/>
                <w:color w:val="000000" w:themeColor="text1"/>
                <w:sz w:val="24"/>
                <w:szCs w:val="24"/>
              </w:rPr>
            </w:pPr>
            <w:r w:rsidRPr="00055F56">
              <w:rPr>
                <w:rFonts w:cs="Times New Roman"/>
                <w:color w:val="000000" w:themeColor="text1"/>
                <w:sz w:val="24"/>
                <w:szCs w:val="24"/>
              </w:rPr>
              <w:t>Median (IQR), min</w:t>
            </w:r>
          </w:p>
        </w:tc>
        <w:tc>
          <w:tcPr>
            <w:tcW w:w="1667" w:type="pct"/>
            <w:vAlign w:val="center"/>
          </w:tcPr>
          <w:p w14:paraId="130C7B86" w14:textId="4DF342B0" w:rsidR="00D713E6" w:rsidRPr="00055F56" w:rsidRDefault="00000000" w:rsidP="00055F56">
            <w:pPr>
              <w:spacing w:line="480" w:lineRule="auto"/>
              <w:jc w:val="center"/>
              <w:rPr>
                <w:rFonts w:cs="Times New Roman"/>
                <w:color w:val="000000" w:themeColor="text1"/>
                <w:sz w:val="24"/>
                <w:szCs w:val="24"/>
              </w:rPr>
            </w:pPr>
            <w:r w:rsidRPr="00055F56">
              <w:rPr>
                <w:rFonts w:cs="Times New Roman"/>
                <w:color w:val="000000" w:themeColor="text1"/>
                <w:sz w:val="24"/>
                <w:szCs w:val="24"/>
              </w:rPr>
              <w:t>203 (185</w:t>
            </w:r>
            <w:r w:rsidR="006A1461">
              <w:rPr>
                <w:rFonts w:cs="Times New Roman"/>
                <w:color w:val="000000" w:themeColor="text1"/>
                <w:sz w:val="24"/>
                <w:szCs w:val="24"/>
              </w:rPr>
              <w:t>-</w:t>
            </w:r>
            <w:r w:rsidRPr="00055F56">
              <w:rPr>
                <w:rFonts w:cs="Times New Roman"/>
                <w:color w:val="000000" w:themeColor="text1"/>
                <w:sz w:val="24"/>
                <w:szCs w:val="24"/>
              </w:rPr>
              <w:t>232)</w:t>
            </w:r>
          </w:p>
        </w:tc>
        <w:tc>
          <w:tcPr>
            <w:tcW w:w="1667" w:type="pct"/>
            <w:vAlign w:val="center"/>
          </w:tcPr>
          <w:p w14:paraId="60EB6E03" w14:textId="53265BA6" w:rsidR="00D713E6" w:rsidRPr="00055F56" w:rsidRDefault="00000000" w:rsidP="00055F56">
            <w:pPr>
              <w:spacing w:line="480" w:lineRule="auto"/>
              <w:jc w:val="center"/>
              <w:rPr>
                <w:rFonts w:cs="Times New Roman"/>
                <w:color w:val="000000" w:themeColor="text1"/>
                <w:sz w:val="24"/>
                <w:szCs w:val="24"/>
              </w:rPr>
            </w:pPr>
            <w:r w:rsidRPr="00055F56">
              <w:rPr>
                <w:rFonts w:cs="Times New Roman"/>
                <w:color w:val="000000" w:themeColor="text1"/>
                <w:sz w:val="24"/>
                <w:szCs w:val="24"/>
              </w:rPr>
              <w:t>152 (143</w:t>
            </w:r>
            <w:r w:rsidR="006A1461">
              <w:rPr>
                <w:rFonts w:cs="Times New Roman"/>
                <w:color w:val="000000" w:themeColor="text1"/>
                <w:sz w:val="24"/>
                <w:szCs w:val="24"/>
              </w:rPr>
              <w:t>-</w:t>
            </w:r>
            <w:r w:rsidRPr="00055F56">
              <w:rPr>
                <w:rFonts w:cs="Times New Roman"/>
                <w:color w:val="000000" w:themeColor="text1"/>
                <w:sz w:val="24"/>
                <w:szCs w:val="24"/>
              </w:rPr>
              <w:t>159)</w:t>
            </w:r>
          </w:p>
        </w:tc>
      </w:tr>
      <w:tr w:rsidR="00D713E6" w:rsidRPr="00055F56" w14:paraId="274EC274" w14:textId="77777777" w:rsidTr="00055F56">
        <w:trPr>
          <w:trHeight w:val="57"/>
        </w:trPr>
        <w:tc>
          <w:tcPr>
            <w:tcW w:w="1667" w:type="pct"/>
            <w:tcBorders>
              <w:bottom w:val="single" w:sz="4" w:space="0" w:color="auto"/>
            </w:tcBorders>
            <w:vAlign w:val="center"/>
          </w:tcPr>
          <w:p w14:paraId="66F72C9E" w14:textId="77777777" w:rsidR="00D713E6" w:rsidRPr="00055F56" w:rsidRDefault="00000000" w:rsidP="00055F56">
            <w:pPr>
              <w:spacing w:line="480" w:lineRule="auto"/>
              <w:jc w:val="center"/>
              <w:rPr>
                <w:rFonts w:cs="Times New Roman"/>
                <w:color w:val="000000" w:themeColor="text1"/>
                <w:sz w:val="24"/>
                <w:szCs w:val="24"/>
              </w:rPr>
            </w:pPr>
            <w:r w:rsidRPr="00055F56">
              <w:rPr>
                <w:rFonts w:cs="Times New Roman"/>
                <w:color w:val="000000" w:themeColor="text1"/>
                <w:sz w:val="24"/>
                <w:szCs w:val="24"/>
              </w:rPr>
              <w:t>Range, min</w:t>
            </w:r>
          </w:p>
        </w:tc>
        <w:tc>
          <w:tcPr>
            <w:tcW w:w="1667" w:type="pct"/>
            <w:tcBorders>
              <w:bottom w:val="single" w:sz="4" w:space="0" w:color="auto"/>
            </w:tcBorders>
            <w:vAlign w:val="center"/>
          </w:tcPr>
          <w:p w14:paraId="337796A5" w14:textId="0FCC4C55" w:rsidR="00D713E6" w:rsidRPr="00055F56" w:rsidRDefault="00000000" w:rsidP="00055F56">
            <w:pPr>
              <w:spacing w:line="480" w:lineRule="auto"/>
              <w:jc w:val="center"/>
              <w:rPr>
                <w:rFonts w:cs="Times New Roman"/>
                <w:color w:val="000000" w:themeColor="text1"/>
                <w:sz w:val="24"/>
                <w:szCs w:val="24"/>
              </w:rPr>
            </w:pPr>
            <w:r w:rsidRPr="00055F56">
              <w:rPr>
                <w:rFonts w:cs="Times New Roman"/>
                <w:color w:val="000000" w:themeColor="text1"/>
                <w:sz w:val="24"/>
                <w:szCs w:val="24"/>
              </w:rPr>
              <w:t>152</w:t>
            </w:r>
            <w:r w:rsidR="006A1461">
              <w:rPr>
                <w:rFonts w:cs="Times New Roman"/>
                <w:color w:val="000000" w:themeColor="text1"/>
                <w:sz w:val="24"/>
                <w:szCs w:val="24"/>
              </w:rPr>
              <w:t>-</w:t>
            </w:r>
            <w:r w:rsidRPr="00055F56">
              <w:rPr>
                <w:rFonts w:cs="Times New Roman"/>
                <w:color w:val="000000" w:themeColor="text1"/>
                <w:sz w:val="24"/>
                <w:szCs w:val="24"/>
              </w:rPr>
              <w:t>300</w:t>
            </w:r>
          </w:p>
        </w:tc>
        <w:tc>
          <w:tcPr>
            <w:tcW w:w="1667" w:type="pct"/>
            <w:tcBorders>
              <w:bottom w:val="single" w:sz="4" w:space="0" w:color="auto"/>
            </w:tcBorders>
            <w:vAlign w:val="center"/>
          </w:tcPr>
          <w:p w14:paraId="0DDB0B57" w14:textId="2C365CCF" w:rsidR="00D713E6" w:rsidRPr="00055F56" w:rsidRDefault="00000000" w:rsidP="00055F56">
            <w:pPr>
              <w:spacing w:line="480" w:lineRule="auto"/>
              <w:jc w:val="center"/>
              <w:rPr>
                <w:rFonts w:cs="Times New Roman"/>
                <w:color w:val="000000" w:themeColor="text1"/>
                <w:sz w:val="24"/>
                <w:szCs w:val="24"/>
              </w:rPr>
            </w:pPr>
            <w:r w:rsidRPr="00055F56">
              <w:rPr>
                <w:rFonts w:cs="Times New Roman"/>
                <w:color w:val="000000" w:themeColor="text1"/>
                <w:sz w:val="24"/>
                <w:szCs w:val="24"/>
              </w:rPr>
              <w:t>130</w:t>
            </w:r>
            <w:r w:rsidR="006A1461">
              <w:rPr>
                <w:rFonts w:cs="Times New Roman"/>
                <w:color w:val="000000" w:themeColor="text1"/>
                <w:sz w:val="24"/>
                <w:szCs w:val="24"/>
              </w:rPr>
              <w:t>-</w:t>
            </w:r>
            <w:r w:rsidRPr="00055F56">
              <w:rPr>
                <w:rFonts w:cs="Times New Roman"/>
                <w:color w:val="000000" w:themeColor="text1"/>
                <w:sz w:val="24"/>
                <w:szCs w:val="24"/>
              </w:rPr>
              <w:t>181</w:t>
            </w:r>
          </w:p>
        </w:tc>
      </w:tr>
    </w:tbl>
    <w:p w14:paraId="13869850" w14:textId="757B30DD" w:rsidR="00D713E6" w:rsidRPr="00055F56" w:rsidRDefault="00000000" w:rsidP="00055F56">
      <w:pPr>
        <w:spacing w:after="280" w:line="480" w:lineRule="auto"/>
        <w:jc w:val="both"/>
        <w:rPr>
          <w:rFonts w:cs="Times New Roman"/>
          <w:color w:val="000000" w:themeColor="text1"/>
          <w:sz w:val="24"/>
          <w:szCs w:val="24"/>
        </w:rPr>
      </w:pPr>
      <w:r w:rsidRPr="00055F56">
        <w:rPr>
          <w:rFonts w:cs="Times New Roman"/>
          <w:i/>
          <w:color w:val="000000" w:themeColor="text1"/>
          <w:sz w:val="24"/>
          <w:szCs w:val="24"/>
        </w:rPr>
        <w:t>IQR, interquartile range. Phases are defined by the estimated breakpoint at case 31.9. Quartiles use the Hyndman</w:t>
      </w:r>
      <w:r w:rsidR="006A1461">
        <w:rPr>
          <w:rFonts w:cs="Times New Roman"/>
          <w:i/>
          <w:color w:val="000000" w:themeColor="text1"/>
          <w:sz w:val="24"/>
          <w:szCs w:val="24"/>
        </w:rPr>
        <w:t>-</w:t>
      </w:r>
      <w:r w:rsidRPr="00055F56">
        <w:rPr>
          <w:rFonts w:cs="Times New Roman"/>
          <w:i/>
          <w:color w:val="000000" w:themeColor="text1"/>
          <w:sz w:val="24"/>
          <w:szCs w:val="24"/>
        </w:rPr>
        <w:t>Fan type 6 estimator.</w:t>
      </w:r>
    </w:p>
    <w:p w14:paraId="2D8DE312" w14:textId="77777777" w:rsidR="00D713E6" w:rsidRPr="00055F56" w:rsidRDefault="00000000" w:rsidP="00055F56">
      <w:pPr>
        <w:spacing w:line="480" w:lineRule="auto"/>
        <w:jc w:val="both"/>
        <w:rPr>
          <w:rFonts w:cs="Times New Roman"/>
          <w:color w:val="000000" w:themeColor="text1"/>
          <w:sz w:val="24"/>
          <w:szCs w:val="24"/>
        </w:rPr>
      </w:pPr>
      <w:r w:rsidRPr="00055F56">
        <w:rPr>
          <w:rFonts w:cs="Times New Roman"/>
          <w:color w:val="000000" w:themeColor="text1"/>
          <w:sz w:val="24"/>
          <w:szCs w:val="24"/>
        </w:rPr>
        <w:br w:type="page"/>
      </w:r>
    </w:p>
    <w:p w14:paraId="374CF13F" w14:textId="715079C8" w:rsidR="00D713E6" w:rsidRPr="00055F56" w:rsidRDefault="00000000" w:rsidP="00055F56">
      <w:pPr>
        <w:keepNext/>
        <w:spacing w:after="120" w:line="480" w:lineRule="auto"/>
        <w:jc w:val="both"/>
        <w:rPr>
          <w:rFonts w:cs="Times New Roman"/>
          <w:color w:val="000000" w:themeColor="text1"/>
          <w:sz w:val="24"/>
          <w:szCs w:val="24"/>
        </w:rPr>
      </w:pPr>
      <w:r w:rsidRPr="00055F56">
        <w:rPr>
          <w:rFonts w:cs="Times New Roman"/>
          <w:b/>
          <w:color w:val="000000" w:themeColor="text1"/>
          <w:sz w:val="24"/>
          <w:szCs w:val="24"/>
        </w:rPr>
        <w:lastRenderedPageBreak/>
        <w:t>Table S2 (</w:t>
      </w:r>
      <w:r w:rsidR="00055F56" w:rsidRPr="00055F56">
        <w:rPr>
          <w:rFonts w:cs="Times New Roman"/>
          <w:b/>
          <w:color w:val="000000" w:themeColor="text1"/>
          <w:sz w:val="24"/>
          <w:szCs w:val="24"/>
        </w:rPr>
        <w:t>b</w:t>
      </w:r>
      <w:r w:rsidRPr="00055F56">
        <w:rPr>
          <w:rFonts w:cs="Times New Roman"/>
          <w:b/>
          <w:color w:val="000000" w:themeColor="text1"/>
          <w:sz w:val="24"/>
          <w:szCs w:val="24"/>
        </w:rPr>
        <w:t xml:space="preserve">). </w:t>
      </w:r>
      <w:r w:rsidRPr="00B94EFE">
        <w:rPr>
          <w:rFonts w:cs="Times New Roman"/>
          <w:bCs/>
          <w:color w:val="000000" w:themeColor="text1"/>
          <w:sz w:val="24"/>
          <w:szCs w:val="24"/>
        </w:rPr>
        <w:t>Operative-time components, early versus later implementation</w:t>
      </w:r>
    </w:p>
    <w:tbl>
      <w:tblPr>
        <w:tblStyle w:val="TableGrid"/>
        <w:tblW w:w="5000" w:type="pct"/>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493"/>
        <w:gridCol w:w="2877"/>
        <w:gridCol w:w="2875"/>
      </w:tblGrid>
      <w:tr w:rsidR="00D713E6" w:rsidRPr="00055F56" w14:paraId="33248098" w14:textId="77777777" w:rsidTr="00055F56">
        <w:trPr>
          <w:cantSplit/>
          <w:tblHeader/>
        </w:trPr>
        <w:tc>
          <w:tcPr>
            <w:tcW w:w="1889" w:type="pct"/>
            <w:tcBorders>
              <w:bottom w:val="single" w:sz="4" w:space="0" w:color="auto"/>
            </w:tcBorders>
            <w:vAlign w:val="center"/>
          </w:tcPr>
          <w:p w14:paraId="1DCFD136" w14:textId="77777777" w:rsidR="00D713E6" w:rsidRPr="00055F56" w:rsidRDefault="00000000" w:rsidP="00055F56">
            <w:pPr>
              <w:spacing w:line="480" w:lineRule="auto"/>
              <w:jc w:val="center"/>
              <w:rPr>
                <w:rFonts w:cs="Times New Roman"/>
                <w:color w:val="000000" w:themeColor="text1"/>
                <w:sz w:val="24"/>
                <w:szCs w:val="24"/>
              </w:rPr>
            </w:pPr>
            <w:r w:rsidRPr="00055F56">
              <w:rPr>
                <w:rFonts w:cs="Times New Roman"/>
                <w:b/>
                <w:color w:val="000000" w:themeColor="text1"/>
                <w:sz w:val="24"/>
                <w:szCs w:val="24"/>
              </w:rPr>
              <w:t>Component</w:t>
            </w:r>
          </w:p>
        </w:tc>
        <w:tc>
          <w:tcPr>
            <w:tcW w:w="1556" w:type="pct"/>
            <w:tcBorders>
              <w:bottom w:val="single" w:sz="4" w:space="0" w:color="auto"/>
            </w:tcBorders>
            <w:vAlign w:val="center"/>
          </w:tcPr>
          <w:p w14:paraId="4899B77E" w14:textId="527D4E97" w:rsidR="00D713E6" w:rsidRPr="00055F56" w:rsidRDefault="00000000" w:rsidP="00055F56">
            <w:pPr>
              <w:spacing w:line="480" w:lineRule="auto"/>
              <w:jc w:val="center"/>
              <w:rPr>
                <w:rFonts w:cs="Times New Roman"/>
                <w:color w:val="000000" w:themeColor="text1"/>
                <w:sz w:val="24"/>
                <w:szCs w:val="24"/>
              </w:rPr>
            </w:pPr>
            <w:r w:rsidRPr="00055F56">
              <w:rPr>
                <w:rFonts w:cs="Times New Roman"/>
                <w:b/>
                <w:color w:val="000000" w:themeColor="text1"/>
                <w:sz w:val="24"/>
                <w:szCs w:val="24"/>
              </w:rPr>
              <w:t>Cases 1</w:t>
            </w:r>
            <w:r w:rsidR="006A1461">
              <w:rPr>
                <w:rFonts w:cs="Times New Roman"/>
                <w:b/>
                <w:color w:val="000000" w:themeColor="text1"/>
                <w:sz w:val="24"/>
                <w:szCs w:val="24"/>
              </w:rPr>
              <w:t>-</w:t>
            </w:r>
            <w:r w:rsidRPr="00055F56">
              <w:rPr>
                <w:rFonts w:cs="Times New Roman"/>
                <w:b/>
                <w:color w:val="000000" w:themeColor="text1"/>
                <w:sz w:val="24"/>
                <w:szCs w:val="24"/>
              </w:rPr>
              <w:t>25</w:t>
            </w:r>
          </w:p>
        </w:tc>
        <w:tc>
          <w:tcPr>
            <w:tcW w:w="1556" w:type="pct"/>
            <w:tcBorders>
              <w:bottom w:val="single" w:sz="4" w:space="0" w:color="auto"/>
            </w:tcBorders>
            <w:vAlign w:val="center"/>
          </w:tcPr>
          <w:p w14:paraId="4C21436D" w14:textId="3746C9FF" w:rsidR="00D713E6" w:rsidRPr="00055F56" w:rsidRDefault="00000000" w:rsidP="00055F56">
            <w:pPr>
              <w:spacing w:line="480" w:lineRule="auto"/>
              <w:jc w:val="center"/>
              <w:rPr>
                <w:rFonts w:cs="Times New Roman"/>
                <w:color w:val="000000" w:themeColor="text1"/>
                <w:sz w:val="24"/>
                <w:szCs w:val="24"/>
              </w:rPr>
            </w:pPr>
            <w:r w:rsidRPr="00055F56">
              <w:rPr>
                <w:rFonts w:cs="Times New Roman"/>
                <w:b/>
                <w:color w:val="000000" w:themeColor="text1"/>
                <w:sz w:val="24"/>
                <w:szCs w:val="24"/>
              </w:rPr>
              <w:t>Cases 26</w:t>
            </w:r>
            <w:r w:rsidR="006A1461">
              <w:rPr>
                <w:rFonts w:cs="Times New Roman"/>
                <w:b/>
                <w:color w:val="000000" w:themeColor="text1"/>
                <w:sz w:val="24"/>
                <w:szCs w:val="24"/>
              </w:rPr>
              <w:t>-</w:t>
            </w:r>
            <w:r w:rsidRPr="00055F56">
              <w:rPr>
                <w:rFonts w:cs="Times New Roman"/>
                <w:b/>
                <w:color w:val="000000" w:themeColor="text1"/>
                <w:sz w:val="24"/>
                <w:szCs w:val="24"/>
              </w:rPr>
              <w:t>58</w:t>
            </w:r>
          </w:p>
        </w:tc>
      </w:tr>
      <w:tr w:rsidR="00D713E6" w:rsidRPr="00055F56" w14:paraId="143B815B" w14:textId="77777777" w:rsidTr="00055F56">
        <w:tc>
          <w:tcPr>
            <w:tcW w:w="1889" w:type="pct"/>
            <w:tcBorders>
              <w:top w:val="single" w:sz="4" w:space="0" w:color="auto"/>
            </w:tcBorders>
            <w:vAlign w:val="center"/>
          </w:tcPr>
          <w:p w14:paraId="1A661273" w14:textId="77777777" w:rsidR="00D713E6" w:rsidRPr="00055F56" w:rsidRDefault="00000000" w:rsidP="00055F56">
            <w:pPr>
              <w:spacing w:line="480" w:lineRule="auto"/>
              <w:jc w:val="center"/>
              <w:rPr>
                <w:rFonts w:cs="Times New Roman"/>
                <w:color w:val="000000" w:themeColor="text1"/>
                <w:sz w:val="24"/>
                <w:szCs w:val="24"/>
              </w:rPr>
            </w:pPr>
            <w:r w:rsidRPr="00055F56">
              <w:rPr>
                <w:rFonts w:cs="Times New Roman"/>
                <w:color w:val="000000" w:themeColor="text1"/>
                <w:sz w:val="24"/>
                <w:szCs w:val="24"/>
              </w:rPr>
              <w:t>Complete component data, n/N</w:t>
            </w:r>
          </w:p>
        </w:tc>
        <w:tc>
          <w:tcPr>
            <w:tcW w:w="1556" w:type="pct"/>
            <w:tcBorders>
              <w:top w:val="single" w:sz="4" w:space="0" w:color="auto"/>
            </w:tcBorders>
            <w:vAlign w:val="center"/>
          </w:tcPr>
          <w:p w14:paraId="58DE8757" w14:textId="77777777" w:rsidR="00D713E6" w:rsidRPr="00055F56" w:rsidRDefault="00000000" w:rsidP="00055F56">
            <w:pPr>
              <w:spacing w:line="480" w:lineRule="auto"/>
              <w:jc w:val="center"/>
              <w:rPr>
                <w:rFonts w:cs="Times New Roman"/>
                <w:color w:val="000000" w:themeColor="text1"/>
                <w:sz w:val="24"/>
                <w:szCs w:val="24"/>
              </w:rPr>
            </w:pPr>
            <w:r w:rsidRPr="00055F56">
              <w:rPr>
                <w:rFonts w:cs="Times New Roman"/>
                <w:color w:val="000000" w:themeColor="text1"/>
                <w:sz w:val="24"/>
                <w:szCs w:val="24"/>
              </w:rPr>
              <w:t>25/25</w:t>
            </w:r>
          </w:p>
        </w:tc>
        <w:tc>
          <w:tcPr>
            <w:tcW w:w="1556" w:type="pct"/>
            <w:tcBorders>
              <w:top w:val="single" w:sz="4" w:space="0" w:color="auto"/>
            </w:tcBorders>
            <w:vAlign w:val="center"/>
          </w:tcPr>
          <w:p w14:paraId="6BFAEBF8" w14:textId="77777777" w:rsidR="00D713E6" w:rsidRPr="00055F56" w:rsidRDefault="00000000" w:rsidP="00055F56">
            <w:pPr>
              <w:spacing w:line="480" w:lineRule="auto"/>
              <w:jc w:val="center"/>
              <w:rPr>
                <w:rFonts w:cs="Times New Roman"/>
                <w:color w:val="000000" w:themeColor="text1"/>
                <w:sz w:val="24"/>
                <w:szCs w:val="24"/>
              </w:rPr>
            </w:pPr>
            <w:r w:rsidRPr="00055F56">
              <w:rPr>
                <w:rFonts w:cs="Times New Roman"/>
                <w:color w:val="000000" w:themeColor="text1"/>
                <w:sz w:val="24"/>
                <w:szCs w:val="24"/>
              </w:rPr>
              <w:t>19/33</w:t>
            </w:r>
          </w:p>
        </w:tc>
      </w:tr>
      <w:tr w:rsidR="00D713E6" w:rsidRPr="00055F56" w14:paraId="4D601CE9" w14:textId="77777777" w:rsidTr="00055F56">
        <w:tc>
          <w:tcPr>
            <w:tcW w:w="1889" w:type="pct"/>
            <w:vAlign w:val="center"/>
          </w:tcPr>
          <w:p w14:paraId="49DE4810" w14:textId="77777777" w:rsidR="00D713E6" w:rsidRPr="00055F56" w:rsidRDefault="00000000" w:rsidP="00055F56">
            <w:pPr>
              <w:spacing w:line="480" w:lineRule="auto"/>
              <w:jc w:val="center"/>
              <w:rPr>
                <w:rFonts w:cs="Times New Roman"/>
                <w:color w:val="000000" w:themeColor="text1"/>
                <w:sz w:val="24"/>
                <w:szCs w:val="24"/>
              </w:rPr>
            </w:pPr>
            <w:r w:rsidRPr="00055F56">
              <w:rPr>
                <w:rFonts w:cs="Times New Roman"/>
                <w:color w:val="000000" w:themeColor="text1"/>
                <w:sz w:val="24"/>
                <w:szCs w:val="24"/>
              </w:rPr>
              <w:t>Docking time, median (IQR), min</w:t>
            </w:r>
          </w:p>
        </w:tc>
        <w:tc>
          <w:tcPr>
            <w:tcW w:w="1556" w:type="pct"/>
            <w:vAlign w:val="center"/>
          </w:tcPr>
          <w:p w14:paraId="6F7F7D01" w14:textId="2FE2680E" w:rsidR="00D713E6" w:rsidRPr="00055F56" w:rsidRDefault="00000000" w:rsidP="00055F56">
            <w:pPr>
              <w:spacing w:line="480" w:lineRule="auto"/>
              <w:jc w:val="center"/>
              <w:rPr>
                <w:rFonts w:cs="Times New Roman"/>
                <w:color w:val="000000" w:themeColor="text1"/>
                <w:sz w:val="24"/>
                <w:szCs w:val="24"/>
              </w:rPr>
            </w:pPr>
            <w:r w:rsidRPr="00055F56">
              <w:rPr>
                <w:rFonts w:cs="Times New Roman"/>
                <w:color w:val="000000" w:themeColor="text1"/>
                <w:sz w:val="24"/>
                <w:szCs w:val="24"/>
              </w:rPr>
              <w:t>8 (6</w:t>
            </w:r>
            <w:r w:rsidR="006A1461">
              <w:rPr>
                <w:rFonts w:cs="Times New Roman"/>
                <w:color w:val="000000" w:themeColor="text1"/>
                <w:sz w:val="24"/>
                <w:szCs w:val="24"/>
              </w:rPr>
              <w:t>-</w:t>
            </w:r>
            <w:r w:rsidRPr="00055F56">
              <w:rPr>
                <w:rFonts w:cs="Times New Roman"/>
                <w:color w:val="000000" w:themeColor="text1"/>
                <w:sz w:val="24"/>
                <w:szCs w:val="24"/>
              </w:rPr>
              <w:t>10)</w:t>
            </w:r>
          </w:p>
        </w:tc>
        <w:tc>
          <w:tcPr>
            <w:tcW w:w="1556" w:type="pct"/>
            <w:vAlign w:val="center"/>
          </w:tcPr>
          <w:p w14:paraId="08EB7E7C" w14:textId="7E275280" w:rsidR="00D713E6" w:rsidRPr="00055F56" w:rsidRDefault="00000000" w:rsidP="00055F56">
            <w:pPr>
              <w:spacing w:line="480" w:lineRule="auto"/>
              <w:jc w:val="center"/>
              <w:rPr>
                <w:rFonts w:cs="Times New Roman"/>
                <w:color w:val="000000" w:themeColor="text1"/>
                <w:sz w:val="24"/>
                <w:szCs w:val="24"/>
              </w:rPr>
            </w:pPr>
            <w:r w:rsidRPr="00055F56">
              <w:rPr>
                <w:rFonts w:cs="Times New Roman"/>
                <w:color w:val="000000" w:themeColor="text1"/>
                <w:sz w:val="24"/>
                <w:szCs w:val="24"/>
              </w:rPr>
              <w:t>6 (5</w:t>
            </w:r>
            <w:r w:rsidR="006A1461">
              <w:rPr>
                <w:rFonts w:cs="Times New Roman"/>
                <w:color w:val="000000" w:themeColor="text1"/>
                <w:sz w:val="24"/>
                <w:szCs w:val="24"/>
              </w:rPr>
              <w:t>-</w:t>
            </w:r>
            <w:r w:rsidRPr="00055F56">
              <w:rPr>
                <w:rFonts w:cs="Times New Roman"/>
                <w:color w:val="000000" w:themeColor="text1"/>
                <w:sz w:val="24"/>
                <w:szCs w:val="24"/>
              </w:rPr>
              <w:t>8)</w:t>
            </w:r>
          </w:p>
        </w:tc>
      </w:tr>
      <w:tr w:rsidR="00D713E6" w:rsidRPr="00055F56" w14:paraId="0DFC7AD1" w14:textId="77777777" w:rsidTr="00055F56">
        <w:tc>
          <w:tcPr>
            <w:tcW w:w="1889" w:type="pct"/>
            <w:tcBorders>
              <w:bottom w:val="single" w:sz="4" w:space="0" w:color="auto"/>
            </w:tcBorders>
            <w:vAlign w:val="center"/>
          </w:tcPr>
          <w:p w14:paraId="7B41E385" w14:textId="77777777" w:rsidR="00D713E6" w:rsidRPr="00055F56" w:rsidRDefault="00000000" w:rsidP="00055F56">
            <w:pPr>
              <w:spacing w:line="480" w:lineRule="auto"/>
              <w:jc w:val="center"/>
              <w:rPr>
                <w:rFonts w:cs="Times New Roman"/>
                <w:color w:val="000000" w:themeColor="text1"/>
                <w:sz w:val="24"/>
                <w:szCs w:val="24"/>
              </w:rPr>
            </w:pPr>
            <w:r w:rsidRPr="00055F56">
              <w:rPr>
                <w:rFonts w:cs="Times New Roman"/>
                <w:color w:val="000000" w:themeColor="text1"/>
                <w:sz w:val="24"/>
                <w:szCs w:val="24"/>
              </w:rPr>
              <w:t>Console time, median (IQR), min</w:t>
            </w:r>
          </w:p>
        </w:tc>
        <w:tc>
          <w:tcPr>
            <w:tcW w:w="1556" w:type="pct"/>
            <w:tcBorders>
              <w:bottom w:val="single" w:sz="4" w:space="0" w:color="auto"/>
            </w:tcBorders>
            <w:vAlign w:val="center"/>
          </w:tcPr>
          <w:p w14:paraId="29C24D18" w14:textId="7E890965" w:rsidR="00D713E6" w:rsidRPr="00055F56" w:rsidRDefault="00000000" w:rsidP="00055F56">
            <w:pPr>
              <w:spacing w:line="480" w:lineRule="auto"/>
              <w:jc w:val="center"/>
              <w:rPr>
                <w:rFonts w:cs="Times New Roman"/>
                <w:color w:val="000000" w:themeColor="text1"/>
                <w:sz w:val="24"/>
                <w:szCs w:val="24"/>
              </w:rPr>
            </w:pPr>
            <w:r w:rsidRPr="00055F56">
              <w:rPr>
                <w:rFonts w:cs="Times New Roman"/>
                <w:color w:val="000000" w:themeColor="text1"/>
                <w:sz w:val="24"/>
                <w:szCs w:val="24"/>
              </w:rPr>
              <w:t>180 (165</w:t>
            </w:r>
            <w:r w:rsidR="006A1461">
              <w:rPr>
                <w:rFonts w:cs="Times New Roman"/>
                <w:color w:val="000000" w:themeColor="text1"/>
                <w:sz w:val="24"/>
                <w:szCs w:val="24"/>
              </w:rPr>
              <w:t>-</w:t>
            </w:r>
            <w:r w:rsidRPr="00055F56">
              <w:rPr>
                <w:rFonts w:cs="Times New Roman"/>
                <w:color w:val="000000" w:themeColor="text1"/>
                <w:sz w:val="24"/>
                <w:szCs w:val="24"/>
              </w:rPr>
              <w:t>198)</w:t>
            </w:r>
          </w:p>
        </w:tc>
        <w:tc>
          <w:tcPr>
            <w:tcW w:w="1556" w:type="pct"/>
            <w:tcBorders>
              <w:bottom w:val="single" w:sz="4" w:space="0" w:color="auto"/>
            </w:tcBorders>
            <w:vAlign w:val="center"/>
          </w:tcPr>
          <w:p w14:paraId="1E145B3A" w14:textId="5F235D2E" w:rsidR="00D713E6" w:rsidRPr="00055F56" w:rsidRDefault="00000000" w:rsidP="00055F56">
            <w:pPr>
              <w:spacing w:line="480" w:lineRule="auto"/>
              <w:jc w:val="center"/>
              <w:rPr>
                <w:rFonts w:cs="Times New Roman"/>
                <w:color w:val="000000" w:themeColor="text1"/>
                <w:sz w:val="24"/>
                <w:szCs w:val="24"/>
              </w:rPr>
            </w:pPr>
            <w:r w:rsidRPr="00055F56">
              <w:rPr>
                <w:rFonts w:cs="Times New Roman"/>
                <w:color w:val="000000" w:themeColor="text1"/>
                <w:sz w:val="24"/>
                <w:szCs w:val="24"/>
              </w:rPr>
              <w:t>136 (125</w:t>
            </w:r>
            <w:r w:rsidR="006A1461">
              <w:rPr>
                <w:rFonts w:cs="Times New Roman"/>
                <w:color w:val="000000" w:themeColor="text1"/>
                <w:sz w:val="24"/>
                <w:szCs w:val="24"/>
              </w:rPr>
              <w:t>-</w:t>
            </w:r>
            <w:r w:rsidRPr="00055F56">
              <w:rPr>
                <w:rFonts w:cs="Times New Roman"/>
                <w:color w:val="000000" w:themeColor="text1"/>
                <w:sz w:val="24"/>
                <w:szCs w:val="24"/>
              </w:rPr>
              <w:t>150)</w:t>
            </w:r>
          </w:p>
        </w:tc>
      </w:tr>
    </w:tbl>
    <w:p w14:paraId="2A0066FD" w14:textId="77777777" w:rsidR="00D713E6" w:rsidRPr="00055F56" w:rsidRDefault="00000000" w:rsidP="00055F56">
      <w:pPr>
        <w:spacing w:after="400" w:line="480" w:lineRule="auto"/>
        <w:jc w:val="both"/>
        <w:rPr>
          <w:rFonts w:cs="Times New Roman"/>
          <w:color w:val="000000" w:themeColor="text1"/>
          <w:sz w:val="24"/>
          <w:szCs w:val="24"/>
        </w:rPr>
      </w:pPr>
      <w:r w:rsidRPr="00055F56">
        <w:rPr>
          <w:rFonts w:cs="Times New Roman"/>
          <w:i/>
          <w:color w:val="000000" w:themeColor="text1"/>
          <w:sz w:val="24"/>
          <w:szCs w:val="24"/>
        </w:rPr>
        <w:t>IQR, interquartile range. These periods represent a descriptive early-versus-later implementation comparison and are not the breakpoint-defined phases used for the primary learning-curve summaries. Analyses were restricted to cases with both docking and console times available; missing values were not imputed. Undocking time was not systematically recorded.</w:t>
      </w:r>
    </w:p>
    <w:p w14:paraId="1696D932" w14:textId="77777777" w:rsidR="00055F56" w:rsidRPr="00055F56" w:rsidRDefault="00055F56">
      <w:pPr>
        <w:rPr>
          <w:rFonts w:cs="Times New Roman"/>
          <w:b/>
          <w:color w:val="000000" w:themeColor="text1"/>
          <w:sz w:val="24"/>
          <w:szCs w:val="24"/>
        </w:rPr>
      </w:pPr>
      <w:r w:rsidRPr="00055F56">
        <w:rPr>
          <w:rFonts w:cs="Times New Roman"/>
          <w:b/>
          <w:color w:val="000000" w:themeColor="text1"/>
          <w:sz w:val="24"/>
          <w:szCs w:val="24"/>
        </w:rPr>
        <w:br w:type="page"/>
      </w:r>
    </w:p>
    <w:p w14:paraId="6C7BC130" w14:textId="3AB04013" w:rsidR="00D713E6" w:rsidRPr="00055F56" w:rsidRDefault="00000000" w:rsidP="00055F56">
      <w:pPr>
        <w:keepNext/>
        <w:spacing w:after="120" w:line="480" w:lineRule="auto"/>
        <w:jc w:val="both"/>
        <w:rPr>
          <w:rFonts w:cs="Times New Roman"/>
          <w:color w:val="000000" w:themeColor="text1"/>
          <w:sz w:val="24"/>
          <w:szCs w:val="24"/>
        </w:rPr>
      </w:pPr>
      <w:r w:rsidRPr="00055F56">
        <w:rPr>
          <w:rFonts w:cs="Times New Roman"/>
          <w:b/>
          <w:color w:val="000000" w:themeColor="text1"/>
          <w:sz w:val="24"/>
          <w:szCs w:val="24"/>
        </w:rPr>
        <w:lastRenderedPageBreak/>
        <w:t xml:space="preserve">Table S3. </w:t>
      </w:r>
      <w:r w:rsidRPr="00B94EFE">
        <w:rPr>
          <w:rFonts w:cs="Times New Roman"/>
          <w:bCs/>
          <w:color w:val="000000" w:themeColor="text1"/>
          <w:sz w:val="24"/>
          <w:szCs w:val="24"/>
        </w:rPr>
        <w:t>Post hoc BMI-adjusted sensitivity analysis of operative time</w:t>
      </w:r>
    </w:p>
    <w:tbl>
      <w:tblPr>
        <w:tblStyle w:val="TableGrid"/>
        <w:tblW w:w="5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915"/>
        <w:gridCol w:w="2506"/>
        <w:gridCol w:w="1402"/>
        <w:gridCol w:w="2368"/>
        <w:gridCol w:w="888"/>
      </w:tblGrid>
      <w:tr w:rsidR="00D713E6" w:rsidRPr="006A1461" w14:paraId="1CCD793B" w14:textId="77777777" w:rsidTr="00055F56">
        <w:trPr>
          <w:cantSplit/>
          <w:tblHeader/>
          <w:jc w:val="center"/>
        </w:trPr>
        <w:tc>
          <w:tcPr>
            <w:tcW w:w="1055" w:type="pct"/>
            <w:tcBorders>
              <w:bottom w:val="single" w:sz="4" w:space="0" w:color="auto"/>
            </w:tcBorders>
            <w:tcMar>
              <w:top w:w="20" w:type="dxa"/>
              <w:left w:w="25" w:type="dxa"/>
              <w:bottom w:w="20" w:type="dxa"/>
              <w:right w:w="25" w:type="dxa"/>
            </w:tcMar>
            <w:vAlign w:val="center"/>
          </w:tcPr>
          <w:p w14:paraId="62AF4100" w14:textId="77777777" w:rsidR="00D713E6" w:rsidRPr="006A1461" w:rsidRDefault="00000000" w:rsidP="00055F56">
            <w:pPr>
              <w:jc w:val="center"/>
              <w:rPr>
                <w:rFonts w:cs="Times New Roman"/>
                <w:color w:val="000000" w:themeColor="text1"/>
                <w:sz w:val="24"/>
                <w:szCs w:val="40"/>
              </w:rPr>
            </w:pPr>
            <w:r w:rsidRPr="006A1461">
              <w:rPr>
                <w:rFonts w:cs="Times New Roman"/>
                <w:b/>
                <w:color w:val="000000" w:themeColor="text1"/>
                <w:sz w:val="24"/>
                <w:szCs w:val="40"/>
              </w:rPr>
              <w:t>Outcome</w:t>
            </w:r>
          </w:p>
        </w:tc>
        <w:tc>
          <w:tcPr>
            <w:tcW w:w="1380" w:type="pct"/>
            <w:tcBorders>
              <w:bottom w:val="single" w:sz="4" w:space="0" w:color="auto"/>
            </w:tcBorders>
            <w:tcMar>
              <w:top w:w="20" w:type="dxa"/>
              <w:left w:w="25" w:type="dxa"/>
              <w:bottom w:w="20" w:type="dxa"/>
              <w:right w:w="25" w:type="dxa"/>
            </w:tcMar>
            <w:vAlign w:val="center"/>
          </w:tcPr>
          <w:p w14:paraId="785D92DC" w14:textId="77777777" w:rsidR="00D713E6" w:rsidRPr="006A1461" w:rsidRDefault="00000000" w:rsidP="00055F56">
            <w:pPr>
              <w:jc w:val="center"/>
              <w:rPr>
                <w:rFonts w:cs="Times New Roman"/>
                <w:color w:val="000000" w:themeColor="text1"/>
                <w:sz w:val="24"/>
                <w:szCs w:val="40"/>
              </w:rPr>
            </w:pPr>
            <w:r w:rsidRPr="006A1461">
              <w:rPr>
                <w:rFonts w:cs="Times New Roman"/>
                <w:b/>
                <w:color w:val="000000" w:themeColor="text1"/>
                <w:sz w:val="24"/>
                <w:szCs w:val="40"/>
              </w:rPr>
              <w:t>Unadjusted estimate (95% CI)</w:t>
            </w:r>
          </w:p>
        </w:tc>
        <w:tc>
          <w:tcPr>
            <w:tcW w:w="772" w:type="pct"/>
            <w:tcBorders>
              <w:bottom w:val="single" w:sz="4" w:space="0" w:color="auto"/>
            </w:tcBorders>
            <w:tcMar>
              <w:top w:w="20" w:type="dxa"/>
              <w:left w:w="25" w:type="dxa"/>
              <w:bottom w:w="20" w:type="dxa"/>
              <w:right w:w="25" w:type="dxa"/>
            </w:tcMar>
            <w:vAlign w:val="center"/>
          </w:tcPr>
          <w:p w14:paraId="38D7F769" w14:textId="77777777" w:rsidR="00D713E6" w:rsidRPr="006A1461" w:rsidRDefault="00000000" w:rsidP="00055F56">
            <w:pPr>
              <w:jc w:val="center"/>
              <w:rPr>
                <w:rFonts w:cs="Times New Roman"/>
                <w:color w:val="000000" w:themeColor="text1"/>
                <w:sz w:val="24"/>
                <w:szCs w:val="40"/>
              </w:rPr>
            </w:pPr>
            <w:r w:rsidRPr="006A1461">
              <w:rPr>
                <w:rFonts w:cs="Times New Roman"/>
                <w:b/>
                <w:color w:val="000000" w:themeColor="text1"/>
                <w:sz w:val="24"/>
                <w:szCs w:val="40"/>
              </w:rPr>
              <w:t>P</w:t>
            </w:r>
          </w:p>
        </w:tc>
        <w:tc>
          <w:tcPr>
            <w:tcW w:w="1304" w:type="pct"/>
            <w:tcBorders>
              <w:bottom w:val="single" w:sz="4" w:space="0" w:color="auto"/>
            </w:tcBorders>
            <w:tcMar>
              <w:top w:w="20" w:type="dxa"/>
              <w:left w:w="25" w:type="dxa"/>
              <w:bottom w:w="20" w:type="dxa"/>
              <w:right w:w="25" w:type="dxa"/>
            </w:tcMar>
            <w:vAlign w:val="center"/>
          </w:tcPr>
          <w:p w14:paraId="503B49CA" w14:textId="77777777" w:rsidR="00D713E6" w:rsidRPr="006A1461" w:rsidRDefault="00000000" w:rsidP="00055F56">
            <w:pPr>
              <w:jc w:val="center"/>
              <w:rPr>
                <w:rFonts w:cs="Times New Roman"/>
                <w:color w:val="000000" w:themeColor="text1"/>
                <w:sz w:val="24"/>
                <w:szCs w:val="40"/>
              </w:rPr>
            </w:pPr>
            <w:r w:rsidRPr="006A1461">
              <w:rPr>
                <w:rFonts w:cs="Times New Roman"/>
                <w:b/>
                <w:color w:val="000000" w:themeColor="text1"/>
                <w:sz w:val="24"/>
                <w:szCs w:val="40"/>
              </w:rPr>
              <w:t>BMI-adjusted estimate (95% CI)</w:t>
            </w:r>
          </w:p>
        </w:tc>
        <w:tc>
          <w:tcPr>
            <w:tcW w:w="489" w:type="pct"/>
            <w:tcBorders>
              <w:bottom w:val="single" w:sz="4" w:space="0" w:color="auto"/>
            </w:tcBorders>
            <w:tcMar>
              <w:top w:w="20" w:type="dxa"/>
              <w:left w:w="25" w:type="dxa"/>
              <w:bottom w:w="20" w:type="dxa"/>
              <w:right w:w="25" w:type="dxa"/>
            </w:tcMar>
            <w:vAlign w:val="center"/>
          </w:tcPr>
          <w:p w14:paraId="0D8AB1A3" w14:textId="77777777" w:rsidR="00D713E6" w:rsidRPr="006A1461" w:rsidRDefault="00000000" w:rsidP="00055F56">
            <w:pPr>
              <w:jc w:val="center"/>
              <w:rPr>
                <w:rFonts w:cs="Times New Roman"/>
                <w:color w:val="000000" w:themeColor="text1"/>
                <w:sz w:val="24"/>
                <w:szCs w:val="40"/>
              </w:rPr>
            </w:pPr>
            <w:r w:rsidRPr="006A1461">
              <w:rPr>
                <w:rFonts w:cs="Times New Roman"/>
                <w:b/>
                <w:color w:val="000000" w:themeColor="text1"/>
                <w:sz w:val="24"/>
                <w:szCs w:val="40"/>
              </w:rPr>
              <w:t>P</w:t>
            </w:r>
          </w:p>
        </w:tc>
      </w:tr>
      <w:tr w:rsidR="00D713E6" w:rsidRPr="006A1461" w14:paraId="78732650" w14:textId="77777777" w:rsidTr="00055F56">
        <w:trPr>
          <w:jc w:val="center"/>
        </w:trPr>
        <w:tc>
          <w:tcPr>
            <w:tcW w:w="1055" w:type="pct"/>
            <w:tcBorders>
              <w:top w:val="single" w:sz="4" w:space="0" w:color="auto"/>
              <w:bottom w:val="single" w:sz="4" w:space="0" w:color="auto"/>
            </w:tcBorders>
            <w:tcMar>
              <w:top w:w="20" w:type="dxa"/>
              <w:left w:w="25" w:type="dxa"/>
              <w:bottom w:w="20" w:type="dxa"/>
              <w:right w:w="25" w:type="dxa"/>
            </w:tcMar>
            <w:vAlign w:val="center"/>
          </w:tcPr>
          <w:p w14:paraId="11B09D0F" w14:textId="77777777" w:rsidR="00D713E6" w:rsidRPr="006A1461" w:rsidRDefault="00000000" w:rsidP="00055F56">
            <w:pPr>
              <w:jc w:val="center"/>
              <w:rPr>
                <w:rFonts w:cs="Times New Roman"/>
                <w:color w:val="000000" w:themeColor="text1"/>
                <w:sz w:val="24"/>
                <w:szCs w:val="40"/>
              </w:rPr>
            </w:pPr>
            <w:r w:rsidRPr="006A1461">
              <w:rPr>
                <w:rFonts w:cs="Times New Roman"/>
                <w:color w:val="000000" w:themeColor="text1"/>
                <w:sz w:val="24"/>
                <w:szCs w:val="40"/>
              </w:rPr>
              <w:t>Operative-time difference, min</w:t>
            </w:r>
          </w:p>
        </w:tc>
        <w:tc>
          <w:tcPr>
            <w:tcW w:w="1380" w:type="pct"/>
            <w:tcBorders>
              <w:top w:val="single" w:sz="4" w:space="0" w:color="auto"/>
              <w:bottom w:val="single" w:sz="4" w:space="0" w:color="auto"/>
            </w:tcBorders>
            <w:tcMar>
              <w:top w:w="20" w:type="dxa"/>
              <w:left w:w="25" w:type="dxa"/>
              <w:bottom w:w="20" w:type="dxa"/>
              <w:right w:w="25" w:type="dxa"/>
            </w:tcMar>
            <w:vAlign w:val="center"/>
          </w:tcPr>
          <w:p w14:paraId="3F860D02" w14:textId="11AF953C" w:rsidR="00D713E6" w:rsidRPr="006A1461" w:rsidRDefault="00000000" w:rsidP="00055F56">
            <w:pPr>
              <w:jc w:val="center"/>
              <w:rPr>
                <w:rFonts w:cs="Times New Roman"/>
                <w:color w:val="000000" w:themeColor="text1"/>
                <w:sz w:val="24"/>
                <w:szCs w:val="40"/>
              </w:rPr>
            </w:pPr>
            <w:r w:rsidRPr="006A1461">
              <w:rPr>
                <w:rFonts w:cs="Times New Roman"/>
                <w:color w:val="000000" w:themeColor="text1"/>
                <w:sz w:val="24"/>
                <w:szCs w:val="40"/>
              </w:rPr>
              <w:t>56 (50</w:t>
            </w:r>
            <w:r w:rsidR="006A1461" w:rsidRPr="006A1461">
              <w:rPr>
                <w:rFonts w:cs="Times New Roman"/>
                <w:color w:val="000000" w:themeColor="text1"/>
                <w:sz w:val="24"/>
                <w:szCs w:val="40"/>
              </w:rPr>
              <w:t>-</w:t>
            </w:r>
            <w:r w:rsidRPr="006A1461">
              <w:rPr>
                <w:rFonts w:cs="Times New Roman"/>
                <w:color w:val="000000" w:themeColor="text1"/>
                <w:sz w:val="24"/>
                <w:szCs w:val="40"/>
              </w:rPr>
              <w:t>62)</w:t>
            </w:r>
          </w:p>
        </w:tc>
        <w:tc>
          <w:tcPr>
            <w:tcW w:w="772" w:type="pct"/>
            <w:tcBorders>
              <w:top w:val="single" w:sz="4" w:space="0" w:color="auto"/>
              <w:bottom w:val="single" w:sz="4" w:space="0" w:color="auto"/>
            </w:tcBorders>
            <w:tcMar>
              <w:top w:w="20" w:type="dxa"/>
              <w:left w:w="25" w:type="dxa"/>
              <w:bottom w:w="20" w:type="dxa"/>
              <w:right w:w="25" w:type="dxa"/>
            </w:tcMar>
            <w:vAlign w:val="center"/>
          </w:tcPr>
          <w:p w14:paraId="14ADE749" w14:textId="77777777" w:rsidR="00D713E6" w:rsidRPr="006A1461" w:rsidRDefault="00000000" w:rsidP="00055F56">
            <w:pPr>
              <w:jc w:val="center"/>
              <w:rPr>
                <w:rFonts w:cs="Times New Roman"/>
                <w:color w:val="000000" w:themeColor="text1"/>
                <w:sz w:val="24"/>
                <w:szCs w:val="40"/>
              </w:rPr>
            </w:pPr>
            <w:r w:rsidRPr="006A1461">
              <w:rPr>
                <w:rFonts w:cs="Times New Roman"/>
                <w:color w:val="000000" w:themeColor="text1"/>
                <w:sz w:val="24"/>
                <w:szCs w:val="40"/>
              </w:rPr>
              <w:t>&lt;0.001</w:t>
            </w:r>
          </w:p>
        </w:tc>
        <w:tc>
          <w:tcPr>
            <w:tcW w:w="1304" w:type="pct"/>
            <w:tcBorders>
              <w:top w:val="single" w:sz="4" w:space="0" w:color="auto"/>
              <w:bottom w:val="single" w:sz="4" w:space="0" w:color="auto"/>
            </w:tcBorders>
            <w:tcMar>
              <w:top w:w="20" w:type="dxa"/>
              <w:left w:w="25" w:type="dxa"/>
              <w:bottom w:w="20" w:type="dxa"/>
              <w:right w:w="25" w:type="dxa"/>
            </w:tcMar>
            <w:vAlign w:val="center"/>
          </w:tcPr>
          <w:p w14:paraId="6E8EA206" w14:textId="57E806F0" w:rsidR="00D713E6" w:rsidRPr="006A1461" w:rsidRDefault="00000000" w:rsidP="00055F56">
            <w:pPr>
              <w:jc w:val="center"/>
              <w:rPr>
                <w:rFonts w:cs="Times New Roman"/>
                <w:color w:val="000000" w:themeColor="text1"/>
                <w:sz w:val="24"/>
                <w:szCs w:val="40"/>
              </w:rPr>
            </w:pPr>
            <w:r w:rsidRPr="006A1461">
              <w:rPr>
                <w:rFonts w:cs="Times New Roman"/>
                <w:color w:val="000000" w:themeColor="text1"/>
                <w:sz w:val="24"/>
                <w:szCs w:val="40"/>
              </w:rPr>
              <w:t>55 (49</w:t>
            </w:r>
            <w:r w:rsidR="006A1461" w:rsidRPr="006A1461">
              <w:rPr>
                <w:rFonts w:cs="Times New Roman"/>
                <w:color w:val="000000" w:themeColor="text1"/>
                <w:sz w:val="24"/>
                <w:szCs w:val="40"/>
              </w:rPr>
              <w:t>-</w:t>
            </w:r>
            <w:r w:rsidRPr="006A1461">
              <w:rPr>
                <w:rFonts w:cs="Times New Roman"/>
                <w:color w:val="000000" w:themeColor="text1"/>
                <w:sz w:val="24"/>
                <w:szCs w:val="40"/>
              </w:rPr>
              <w:t>61)</w:t>
            </w:r>
          </w:p>
        </w:tc>
        <w:tc>
          <w:tcPr>
            <w:tcW w:w="489" w:type="pct"/>
            <w:tcBorders>
              <w:top w:val="single" w:sz="4" w:space="0" w:color="auto"/>
              <w:bottom w:val="single" w:sz="4" w:space="0" w:color="auto"/>
            </w:tcBorders>
            <w:tcMar>
              <w:top w:w="20" w:type="dxa"/>
              <w:left w:w="25" w:type="dxa"/>
              <w:bottom w:w="20" w:type="dxa"/>
              <w:right w:w="25" w:type="dxa"/>
            </w:tcMar>
            <w:vAlign w:val="center"/>
          </w:tcPr>
          <w:p w14:paraId="70EABD75" w14:textId="77777777" w:rsidR="00D713E6" w:rsidRPr="006A1461" w:rsidRDefault="00000000" w:rsidP="00055F56">
            <w:pPr>
              <w:jc w:val="center"/>
              <w:rPr>
                <w:rFonts w:cs="Times New Roman"/>
                <w:color w:val="000000" w:themeColor="text1"/>
                <w:sz w:val="24"/>
                <w:szCs w:val="40"/>
              </w:rPr>
            </w:pPr>
            <w:r w:rsidRPr="006A1461">
              <w:rPr>
                <w:rFonts w:cs="Times New Roman"/>
                <w:color w:val="000000" w:themeColor="text1"/>
                <w:sz w:val="24"/>
                <w:szCs w:val="40"/>
              </w:rPr>
              <w:t>&lt;0.001</w:t>
            </w:r>
          </w:p>
        </w:tc>
      </w:tr>
    </w:tbl>
    <w:p w14:paraId="7491D228" w14:textId="09308146" w:rsidR="00D713E6" w:rsidRDefault="00000000" w:rsidP="00055F56">
      <w:pPr>
        <w:spacing w:after="160" w:line="480" w:lineRule="auto"/>
        <w:jc w:val="both"/>
        <w:rPr>
          <w:rFonts w:cs="Times New Roman"/>
          <w:i/>
          <w:color w:val="000000" w:themeColor="text1"/>
          <w:sz w:val="24"/>
          <w:szCs w:val="24"/>
        </w:rPr>
      </w:pPr>
      <w:r w:rsidRPr="00055F56">
        <w:rPr>
          <w:rFonts w:cs="Times New Roman"/>
          <w:i/>
          <w:color w:val="000000" w:themeColor="text1"/>
          <w:sz w:val="24"/>
          <w:szCs w:val="24"/>
        </w:rPr>
        <w:t>CI, confidence interval. Estimates are robotic minus laparoscopic. Linear mixed-effects models included a random intercept for matched pair and a fixed effect for surgical approach; the adjusted model additionally included baseline body mass index. The primary operative-time analysis in Table 2 used the non-parametric Hodges</w:t>
      </w:r>
      <w:r w:rsidR="006A1461">
        <w:rPr>
          <w:rFonts w:cs="Times New Roman"/>
          <w:i/>
          <w:color w:val="000000" w:themeColor="text1"/>
          <w:sz w:val="24"/>
          <w:szCs w:val="24"/>
        </w:rPr>
        <w:t>-</w:t>
      </w:r>
      <w:r w:rsidRPr="00055F56">
        <w:rPr>
          <w:rFonts w:cs="Times New Roman"/>
          <w:i/>
          <w:color w:val="000000" w:themeColor="text1"/>
          <w:sz w:val="24"/>
          <w:szCs w:val="24"/>
        </w:rPr>
        <w:t>Lehmann estimator and therefore gives a slightly different estimate of 54 minutes. The 12-month weight-loss comparison is reported in Table 4 of the main text.</w:t>
      </w:r>
    </w:p>
    <w:p w14:paraId="03E75D0B" w14:textId="79A70977" w:rsidR="00B94EFE" w:rsidRDefault="00B94EFE">
      <w:pPr>
        <w:rPr>
          <w:rFonts w:cs="Times New Roman"/>
          <w:iCs/>
          <w:color w:val="000000" w:themeColor="text1"/>
          <w:sz w:val="24"/>
          <w:szCs w:val="24"/>
        </w:rPr>
      </w:pPr>
      <w:r>
        <w:rPr>
          <w:rFonts w:cs="Times New Roman"/>
          <w:iCs/>
          <w:color w:val="000000" w:themeColor="text1"/>
          <w:sz w:val="24"/>
          <w:szCs w:val="24"/>
        </w:rPr>
        <w:br w:type="page"/>
      </w:r>
    </w:p>
    <w:p w14:paraId="18231411" w14:textId="7F851BB9" w:rsidR="00B94EFE" w:rsidRDefault="00B94EFE" w:rsidP="00055F56">
      <w:pPr>
        <w:spacing w:after="160" w:line="480" w:lineRule="auto"/>
        <w:jc w:val="both"/>
        <w:rPr>
          <w:rFonts w:cs="Times New Roman"/>
          <w:iCs/>
          <w:color w:val="000000" w:themeColor="text1"/>
          <w:sz w:val="24"/>
          <w:szCs w:val="24"/>
        </w:rPr>
      </w:pPr>
      <w:r w:rsidRPr="00B94EFE">
        <w:rPr>
          <w:rFonts w:cs="Times New Roman"/>
          <w:b/>
          <w:bCs/>
          <w:iCs/>
          <w:color w:val="000000" w:themeColor="text1"/>
          <w:sz w:val="24"/>
          <w:szCs w:val="24"/>
        </w:rPr>
        <w:lastRenderedPageBreak/>
        <w:t>Table S4.</w:t>
      </w:r>
      <w:r>
        <w:rPr>
          <w:rFonts w:cs="Times New Roman"/>
          <w:iCs/>
          <w:color w:val="000000" w:themeColor="text1"/>
          <w:sz w:val="24"/>
          <w:szCs w:val="24"/>
        </w:rPr>
        <w:t xml:space="preserve"> </w:t>
      </w:r>
      <w:r w:rsidRPr="00B94EFE">
        <w:rPr>
          <w:rFonts w:cs="Times New Roman"/>
          <w:iCs/>
          <w:color w:val="000000" w:themeColor="text1"/>
          <w:sz w:val="24"/>
          <w:szCs w:val="24"/>
        </w:rPr>
        <w:t>Post hoc sex-based analysis of matched outcomes</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4400"/>
        <w:gridCol w:w="2300"/>
        <w:gridCol w:w="2419"/>
      </w:tblGrid>
      <w:tr w:rsidR="00B94EFE" w:rsidRPr="00B94EFE" w14:paraId="015C512E" w14:textId="77777777" w:rsidTr="00B94EFE">
        <w:trPr>
          <w:tblHeader/>
          <w:tblCellSpacing w:w="15" w:type="dxa"/>
        </w:trPr>
        <w:tc>
          <w:tcPr>
            <w:tcW w:w="2400" w:type="pct"/>
            <w:tcBorders>
              <w:bottom w:val="single" w:sz="4" w:space="0" w:color="auto"/>
            </w:tcBorders>
            <w:vAlign w:val="center"/>
            <w:hideMark/>
          </w:tcPr>
          <w:p w14:paraId="09C13D9C" w14:textId="77777777" w:rsidR="00B94EFE" w:rsidRPr="00B94EFE" w:rsidRDefault="00B94EFE" w:rsidP="00B94EFE">
            <w:pPr>
              <w:spacing w:after="0" w:line="240" w:lineRule="auto"/>
              <w:jc w:val="center"/>
              <w:rPr>
                <w:rFonts w:eastAsia="Times New Roman" w:cs="Times New Roman"/>
                <w:b/>
                <w:bCs/>
                <w:sz w:val="24"/>
                <w:szCs w:val="24"/>
                <w:lang w:val="en-MY" w:eastAsia="zh-CN"/>
              </w:rPr>
            </w:pPr>
            <w:r w:rsidRPr="00B94EFE">
              <w:rPr>
                <w:rFonts w:eastAsia="Times New Roman" w:cs="Times New Roman"/>
                <w:b/>
                <w:bCs/>
                <w:sz w:val="24"/>
                <w:szCs w:val="24"/>
                <w:lang w:val="en-MY" w:eastAsia="zh-CN"/>
              </w:rPr>
              <w:t>Outcome</w:t>
            </w:r>
          </w:p>
        </w:tc>
        <w:tc>
          <w:tcPr>
            <w:tcW w:w="1250" w:type="pct"/>
            <w:tcBorders>
              <w:bottom w:val="single" w:sz="4" w:space="0" w:color="auto"/>
            </w:tcBorders>
            <w:vAlign w:val="center"/>
            <w:hideMark/>
          </w:tcPr>
          <w:p w14:paraId="556538A7" w14:textId="77777777" w:rsidR="00B94EFE" w:rsidRPr="00B94EFE" w:rsidRDefault="00B94EFE" w:rsidP="00B94EFE">
            <w:pPr>
              <w:spacing w:after="0" w:line="240" w:lineRule="auto"/>
              <w:jc w:val="center"/>
              <w:rPr>
                <w:rFonts w:eastAsia="Times New Roman" w:cs="Times New Roman"/>
                <w:b/>
                <w:bCs/>
                <w:sz w:val="24"/>
                <w:szCs w:val="24"/>
                <w:lang w:val="en-MY" w:eastAsia="zh-CN"/>
              </w:rPr>
            </w:pPr>
            <w:r w:rsidRPr="00B94EFE">
              <w:rPr>
                <w:rFonts w:eastAsia="Times New Roman" w:cs="Times New Roman"/>
                <w:b/>
                <w:bCs/>
                <w:sz w:val="24"/>
                <w:szCs w:val="24"/>
                <w:lang w:val="en-MY" w:eastAsia="zh-CN"/>
              </w:rPr>
              <w:t>Male pairs (n=14)</w:t>
            </w:r>
          </w:p>
        </w:tc>
        <w:tc>
          <w:tcPr>
            <w:tcW w:w="1350" w:type="pct"/>
            <w:tcBorders>
              <w:bottom w:val="single" w:sz="4" w:space="0" w:color="auto"/>
            </w:tcBorders>
            <w:vAlign w:val="center"/>
            <w:hideMark/>
          </w:tcPr>
          <w:p w14:paraId="273B343D" w14:textId="77777777" w:rsidR="00B94EFE" w:rsidRPr="00B94EFE" w:rsidRDefault="00B94EFE" w:rsidP="00B94EFE">
            <w:pPr>
              <w:spacing w:after="0" w:line="240" w:lineRule="auto"/>
              <w:jc w:val="center"/>
              <w:rPr>
                <w:rFonts w:eastAsia="Times New Roman" w:cs="Times New Roman"/>
                <w:b/>
                <w:bCs/>
                <w:sz w:val="24"/>
                <w:szCs w:val="24"/>
                <w:lang w:val="en-MY" w:eastAsia="zh-CN"/>
              </w:rPr>
            </w:pPr>
            <w:r w:rsidRPr="00B94EFE">
              <w:rPr>
                <w:rFonts w:eastAsia="Times New Roman" w:cs="Times New Roman"/>
                <w:b/>
                <w:bCs/>
                <w:sz w:val="24"/>
                <w:szCs w:val="24"/>
                <w:lang w:val="en-MY" w:eastAsia="zh-CN"/>
              </w:rPr>
              <w:t>Female pairs (n=36)</w:t>
            </w:r>
          </w:p>
        </w:tc>
      </w:tr>
      <w:tr w:rsidR="00B94EFE" w:rsidRPr="00B94EFE" w14:paraId="1CD3CDBB" w14:textId="77777777" w:rsidTr="00B94EFE">
        <w:trPr>
          <w:tblCellSpacing w:w="15" w:type="dxa"/>
        </w:trPr>
        <w:tc>
          <w:tcPr>
            <w:tcW w:w="2400" w:type="pct"/>
            <w:vAlign w:val="center"/>
            <w:hideMark/>
          </w:tcPr>
          <w:p w14:paraId="4DA30A95" w14:textId="77777777" w:rsidR="00B94EFE" w:rsidRPr="00B94EFE" w:rsidRDefault="00B94EFE" w:rsidP="00B94EFE">
            <w:pPr>
              <w:spacing w:after="0" w:line="240" w:lineRule="auto"/>
              <w:rPr>
                <w:rFonts w:eastAsia="Times New Roman" w:cs="Times New Roman"/>
                <w:sz w:val="24"/>
                <w:szCs w:val="24"/>
                <w:lang w:val="en-MY" w:eastAsia="zh-CN"/>
              </w:rPr>
            </w:pPr>
            <w:r w:rsidRPr="00B94EFE">
              <w:rPr>
                <w:rFonts w:eastAsia="Times New Roman" w:cs="Times New Roman"/>
                <w:b/>
                <w:bCs/>
                <w:sz w:val="24"/>
                <w:szCs w:val="24"/>
                <w:lang w:val="en-MY" w:eastAsia="zh-CN"/>
              </w:rPr>
              <w:t>Operative time, median (IQR), min</w:t>
            </w:r>
          </w:p>
        </w:tc>
        <w:tc>
          <w:tcPr>
            <w:tcW w:w="1250" w:type="pct"/>
            <w:vAlign w:val="center"/>
            <w:hideMark/>
          </w:tcPr>
          <w:p w14:paraId="02D9CACE" w14:textId="77777777" w:rsidR="00B94EFE" w:rsidRPr="00B94EFE" w:rsidRDefault="00B94EFE" w:rsidP="00B94EFE">
            <w:pPr>
              <w:spacing w:after="0" w:line="240" w:lineRule="auto"/>
              <w:jc w:val="center"/>
              <w:rPr>
                <w:rFonts w:eastAsia="Times New Roman" w:cs="Times New Roman"/>
                <w:sz w:val="24"/>
                <w:szCs w:val="24"/>
                <w:lang w:val="en-MY" w:eastAsia="zh-CN"/>
              </w:rPr>
            </w:pPr>
          </w:p>
        </w:tc>
        <w:tc>
          <w:tcPr>
            <w:tcW w:w="1350" w:type="pct"/>
            <w:vAlign w:val="center"/>
            <w:hideMark/>
          </w:tcPr>
          <w:p w14:paraId="7845E326" w14:textId="77777777" w:rsidR="00B94EFE" w:rsidRPr="00B94EFE" w:rsidRDefault="00B94EFE" w:rsidP="00B94EFE">
            <w:pPr>
              <w:spacing w:after="0" w:line="240" w:lineRule="auto"/>
              <w:jc w:val="center"/>
              <w:rPr>
                <w:rFonts w:eastAsia="Times New Roman" w:cs="Times New Roman"/>
                <w:sz w:val="20"/>
                <w:szCs w:val="20"/>
                <w:lang w:val="en-MY" w:eastAsia="zh-CN"/>
              </w:rPr>
            </w:pPr>
          </w:p>
        </w:tc>
      </w:tr>
      <w:tr w:rsidR="00B94EFE" w:rsidRPr="00B94EFE" w14:paraId="73AE74DA" w14:textId="77777777" w:rsidTr="00B94EFE">
        <w:trPr>
          <w:tblCellSpacing w:w="15" w:type="dxa"/>
        </w:trPr>
        <w:tc>
          <w:tcPr>
            <w:tcW w:w="2400" w:type="pct"/>
            <w:vAlign w:val="center"/>
            <w:hideMark/>
          </w:tcPr>
          <w:p w14:paraId="04883B08" w14:textId="77777777" w:rsidR="00B94EFE" w:rsidRPr="00B94EFE" w:rsidRDefault="00B94EFE" w:rsidP="00B94EFE">
            <w:pPr>
              <w:spacing w:after="0" w:line="240" w:lineRule="auto"/>
              <w:rPr>
                <w:rFonts w:eastAsia="Times New Roman" w:cs="Times New Roman"/>
                <w:sz w:val="24"/>
                <w:szCs w:val="24"/>
                <w:lang w:val="en-MY" w:eastAsia="zh-CN"/>
              </w:rPr>
            </w:pPr>
            <w:r w:rsidRPr="00B94EFE">
              <w:rPr>
                <w:rFonts w:eastAsia="Times New Roman" w:cs="Times New Roman"/>
                <w:sz w:val="24"/>
                <w:szCs w:val="24"/>
                <w:lang w:val="en-MY" w:eastAsia="zh-CN"/>
              </w:rPr>
              <w:t>Robotic</w:t>
            </w:r>
          </w:p>
        </w:tc>
        <w:tc>
          <w:tcPr>
            <w:tcW w:w="1250" w:type="pct"/>
            <w:vAlign w:val="center"/>
            <w:hideMark/>
          </w:tcPr>
          <w:p w14:paraId="794D48F1" w14:textId="77777777" w:rsidR="00B94EFE" w:rsidRPr="00B94EFE" w:rsidRDefault="00B94EFE" w:rsidP="00B94EFE">
            <w:pPr>
              <w:spacing w:after="0" w:line="240" w:lineRule="auto"/>
              <w:jc w:val="center"/>
              <w:rPr>
                <w:rFonts w:eastAsia="Times New Roman" w:cs="Times New Roman"/>
                <w:sz w:val="24"/>
                <w:szCs w:val="24"/>
                <w:lang w:val="en-MY" w:eastAsia="zh-CN"/>
              </w:rPr>
            </w:pPr>
            <w:r w:rsidRPr="00B94EFE">
              <w:rPr>
                <w:rFonts w:eastAsia="Times New Roman" w:cs="Times New Roman"/>
                <w:sz w:val="24"/>
                <w:szCs w:val="24"/>
                <w:lang w:val="en-MY" w:eastAsia="zh-CN"/>
              </w:rPr>
              <w:t>178 (158–214)</w:t>
            </w:r>
          </w:p>
        </w:tc>
        <w:tc>
          <w:tcPr>
            <w:tcW w:w="1350" w:type="pct"/>
            <w:vAlign w:val="center"/>
            <w:hideMark/>
          </w:tcPr>
          <w:p w14:paraId="24F437BE" w14:textId="77777777" w:rsidR="00B94EFE" w:rsidRPr="00B94EFE" w:rsidRDefault="00B94EFE" w:rsidP="00B94EFE">
            <w:pPr>
              <w:spacing w:after="0" w:line="240" w:lineRule="auto"/>
              <w:jc w:val="center"/>
              <w:rPr>
                <w:rFonts w:eastAsia="Times New Roman" w:cs="Times New Roman"/>
                <w:sz w:val="24"/>
                <w:szCs w:val="24"/>
                <w:lang w:val="en-MY" w:eastAsia="zh-CN"/>
              </w:rPr>
            </w:pPr>
            <w:r w:rsidRPr="00B94EFE">
              <w:rPr>
                <w:rFonts w:eastAsia="Times New Roman" w:cs="Times New Roman"/>
                <w:sz w:val="24"/>
                <w:szCs w:val="24"/>
                <w:lang w:val="en-MY" w:eastAsia="zh-CN"/>
              </w:rPr>
              <w:t>173 (152–204)</w:t>
            </w:r>
          </w:p>
        </w:tc>
      </w:tr>
      <w:tr w:rsidR="00B94EFE" w:rsidRPr="00B94EFE" w14:paraId="3BD974E5" w14:textId="77777777" w:rsidTr="00B94EFE">
        <w:trPr>
          <w:tblCellSpacing w:w="15" w:type="dxa"/>
        </w:trPr>
        <w:tc>
          <w:tcPr>
            <w:tcW w:w="2400" w:type="pct"/>
            <w:vAlign w:val="center"/>
            <w:hideMark/>
          </w:tcPr>
          <w:p w14:paraId="06C5CA75" w14:textId="77777777" w:rsidR="00B94EFE" w:rsidRPr="00B94EFE" w:rsidRDefault="00B94EFE" w:rsidP="00B94EFE">
            <w:pPr>
              <w:spacing w:after="0" w:line="240" w:lineRule="auto"/>
              <w:rPr>
                <w:rFonts w:eastAsia="Times New Roman" w:cs="Times New Roman"/>
                <w:sz w:val="24"/>
                <w:szCs w:val="24"/>
                <w:lang w:val="en-MY" w:eastAsia="zh-CN"/>
              </w:rPr>
            </w:pPr>
            <w:r w:rsidRPr="00B94EFE">
              <w:rPr>
                <w:rFonts w:eastAsia="Times New Roman" w:cs="Times New Roman"/>
                <w:sz w:val="24"/>
                <w:szCs w:val="24"/>
                <w:lang w:val="en-MY" w:eastAsia="zh-CN"/>
              </w:rPr>
              <w:t>Laparoscopic</w:t>
            </w:r>
          </w:p>
        </w:tc>
        <w:tc>
          <w:tcPr>
            <w:tcW w:w="1250" w:type="pct"/>
            <w:vAlign w:val="center"/>
            <w:hideMark/>
          </w:tcPr>
          <w:p w14:paraId="6CF49656" w14:textId="77777777" w:rsidR="00B94EFE" w:rsidRPr="00B94EFE" w:rsidRDefault="00B94EFE" w:rsidP="00B94EFE">
            <w:pPr>
              <w:spacing w:after="0" w:line="240" w:lineRule="auto"/>
              <w:jc w:val="center"/>
              <w:rPr>
                <w:rFonts w:eastAsia="Times New Roman" w:cs="Times New Roman"/>
                <w:sz w:val="24"/>
                <w:szCs w:val="24"/>
                <w:lang w:val="en-MY" w:eastAsia="zh-CN"/>
              </w:rPr>
            </w:pPr>
            <w:r w:rsidRPr="00B94EFE">
              <w:rPr>
                <w:rFonts w:eastAsia="Times New Roman" w:cs="Times New Roman"/>
                <w:sz w:val="24"/>
                <w:szCs w:val="24"/>
                <w:lang w:val="en-MY" w:eastAsia="zh-CN"/>
              </w:rPr>
              <w:t>130 (118–148)</w:t>
            </w:r>
          </w:p>
        </w:tc>
        <w:tc>
          <w:tcPr>
            <w:tcW w:w="1350" w:type="pct"/>
            <w:vAlign w:val="center"/>
            <w:hideMark/>
          </w:tcPr>
          <w:p w14:paraId="7E38450B" w14:textId="77777777" w:rsidR="00B94EFE" w:rsidRPr="00B94EFE" w:rsidRDefault="00B94EFE" w:rsidP="00B94EFE">
            <w:pPr>
              <w:spacing w:after="0" w:line="240" w:lineRule="auto"/>
              <w:jc w:val="center"/>
              <w:rPr>
                <w:rFonts w:eastAsia="Times New Roman" w:cs="Times New Roman"/>
                <w:sz w:val="24"/>
                <w:szCs w:val="24"/>
                <w:lang w:val="en-MY" w:eastAsia="zh-CN"/>
              </w:rPr>
            </w:pPr>
            <w:r w:rsidRPr="00B94EFE">
              <w:rPr>
                <w:rFonts w:eastAsia="Times New Roman" w:cs="Times New Roman"/>
                <w:sz w:val="24"/>
                <w:szCs w:val="24"/>
                <w:lang w:val="en-MY" w:eastAsia="zh-CN"/>
              </w:rPr>
              <w:t>118 (104–140)</w:t>
            </w:r>
          </w:p>
        </w:tc>
      </w:tr>
      <w:tr w:rsidR="00B94EFE" w:rsidRPr="00B94EFE" w14:paraId="3DD39ACF" w14:textId="77777777" w:rsidTr="00B94EFE">
        <w:trPr>
          <w:tblCellSpacing w:w="15" w:type="dxa"/>
        </w:trPr>
        <w:tc>
          <w:tcPr>
            <w:tcW w:w="2400" w:type="pct"/>
            <w:vAlign w:val="center"/>
            <w:hideMark/>
          </w:tcPr>
          <w:p w14:paraId="206655DA" w14:textId="77777777" w:rsidR="00B94EFE" w:rsidRPr="00B94EFE" w:rsidRDefault="00B94EFE" w:rsidP="00B94EFE">
            <w:pPr>
              <w:spacing w:after="0" w:line="240" w:lineRule="auto"/>
              <w:rPr>
                <w:rFonts w:eastAsia="Times New Roman" w:cs="Times New Roman"/>
                <w:sz w:val="24"/>
                <w:szCs w:val="24"/>
                <w:lang w:val="en-MY" w:eastAsia="zh-CN"/>
              </w:rPr>
            </w:pPr>
            <w:r w:rsidRPr="00B94EFE">
              <w:rPr>
                <w:rFonts w:eastAsia="Times New Roman" w:cs="Times New Roman"/>
                <w:sz w:val="24"/>
                <w:szCs w:val="24"/>
                <w:lang w:val="en-MY" w:eastAsia="zh-CN"/>
              </w:rPr>
              <w:t>Paired difference (R–L), HL estimate (95% exact CI)</w:t>
            </w:r>
          </w:p>
        </w:tc>
        <w:tc>
          <w:tcPr>
            <w:tcW w:w="1250" w:type="pct"/>
            <w:vAlign w:val="center"/>
            <w:hideMark/>
          </w:tcPr>
          <w:p w14:paraId="10F84BD0" w14:textId="77777777" w:rsidR="00B94EFE" w:rsidRPr="00B94EFE" w:rsidRDefault="00B94EFE" w:rsidP="00B94EFE">
            <w:pPr>
              <w:spacing w:after="0" w:line="240" w:lineRule="auto"/>
              <w:jc w:val="center"/>
              <w:rPr>
                <w:rFonts w:eastAsia="Times New Roman" w:cs="Times New Roman"/>
                <w:sz w:val="24"/>
                <w:szCs w:val="24"/>
                <w:lang w:val="en-MY" w:eastAsia="zh-CN"/>
              </w:rPr>
            </w:pPr>
            <w:r w:rsidRPr="00B94EFE">
              <w:rPr>
                <w:rFonts w:eastAsia="Times New Roman" w:cs="Times New Roman"/>
                <w:sz w:val="24"/>
                <w:szCs w:val="24"/>
                <w:lang w:val="en-MY" w:eastAsia="zh-CN"/>
              </w:rPr>
              <w:t>48 (32 to 70)</w:t>
            </w:r>
          </w:p>
        </w:tc>
        <w:tc>
          <w:tcPr>
            <w:tcW w:w="1350" w:type="pct"/>
            <w:vAlign w:val="center"/>
            <w:hideMark/>
          </w:tcPr>
          <w:p w14:paraId="20812635" w14:textId="77777777" w:rsidR="00B94EFE" w:rsidRPr="00B94EFE" w:rsidRDefault="00B94EFE" w:rsidP="00B94EFE">
            <w:pPr>
              <w:spacing w:after="0" w:line="240" w:lineRule="auto"/>
              <w:jc w:val="center"/>
              <w:rPr>
                <w:rFonts w:eastAsia="Times New Roman" w:cs="Times New Roman"/>
                <w:sz w:val="24"/>
                <w:szCs w:val="24"/>
                <w:lang w:val="en-MY" w:eastAsia="zh-CN"/>
              </w:rPr>
            </w:pPr>
            <w:r w:rsidRPr="00B94EFE">
              <w:rPr>
                <w:rFonts w:eastAsia="Times New Roman" w:cs="Times New Roman"/>
                <w:sz w:val="24"/>
                <w:szCs w:val="24"/>
                <w:lang w:val="en-MY" w:eastAsia="zh-CN"/>
              </w:rPr>
              <w:t>56 (48 to 67)</w:t>
            </w:r>
          </w:p>
        </w:tc>
      </w:tr>
      <w:tr w:rsidR="00B94EFE" w:rsidRPr="00B94EFE" w14:paraId="71795AD7" w14:textId="77777777" w:rsidTr="00B94EFE">
        <w:trPr>
          <w:tblCellSpacing w:w="15" w:type="dxa"/>
        </w:trPr>
        <w:tc>
          <w:tcPr>
            <w:tcW w:w="2400" w:type="pct"/>
            <w:vAlign w:val="center"/>
            <w:hideMark/>
          </w:tcPr>
          <w:p w14:paraId="101E1452" w14:textId="77777777" w:rsidR="00B94EFE" w:rsidRDefault="00B94EFE" w:rsidP="00B94EFE">
            <w:pPr>
              <w:spacing w:after="0" w:line="240" w:lineRule="auto"/>
              <w:rPr>
                <w:rFonts w:eastAsia="Times New Roman" w:cs="Times New Roman"/>
                <w:b/>
                <w:bCs/>
                <w:sz w:val="24"/>
                <w:szCs w:val="24"/>
                <w:lang w:val="en-MY" w:eastAsia="zh-CN"/>
              </w:rPr>
            </w:pPr>
          </w:p>
          <w:p w14:paraId="79E6C7E5" w14:textId="2820DF2A" w:rsidR="00B94EFE" w:rsidRPr="00B94EFE" w:rsidRDefault="00B94EFE" w:rsidP="00B94EFE">
            <w:pPr>
              <w:spacing w:after="0" w:line="240" w:lineRule="auto"/>
              <w:rPr>
                <w:rFonts w:eastAsia="Times New Roman" w:cs="Times New Roman"/>
                <w:sz w:val="24"/>
                <w:szCs w:val="24"/>
                <w:lang w:val="en-MY" w:eastAsia="zh-CN"/>
              </w:rPr>
            </w:pPr>
            <w:r w:rsidRPr="00B94EFE">
              <w:rPr>
                <w:rFonts w:eastAsia="Times New Roman" w:cs="Times New Roman"/>
                <w:b/>
                <w:bCs/>
                <w:sz w:val="24"/>
                <w:szCs w:val="24"/>
                <w:lang w:val="en-MY" w:eastAsia="zh-CN"/>
              </w:rPr>
              <w:t>12-month %TWL, mean ± SD</w:t>
            </w:r>
          </w:p>
        </w:tc>
        <w:tc>
          <w:tcPr>
            <w:tcW w:w="1250" w:type="pct"/>
            <w:vAlign w:val="center"/>
            <w:hideMark/>
          </w:tcPr>
          <w:p w14:paraId="258F8E16" w14:textId="77777777" w:rsidR="00B94EFE" w:rsidRPr="00B94EFE" w:rsidRDefault="00B94EFE" w:rsidP="00B94EFE">
            <w:pPr>
              <w:spacing w:after="0" w:line="240" w:lineRule="auto"/>
              <w:jc w:val="center"/>
              <w:rPr>
                <w:rFonts w:eastAsia="Times New Roman" w:cs="Times New Roman"/>
                <w:sz w:val="24"/>
                <w:szCs w:val="24"/>
                <w:lang w:val="en-MY" w:eastAsia="zh-CN"/>
              </w:rPr>
            </w:pPr>
          </w:p>
        </w:tc>
        <w:tc>
          <w:tcPr>
            <w:tcW w:w="1350" w:type="pct"/>
            <w:vAlign w:val="center"/>
            <w:hideMark/>
          </w:tcPr>
          <w:p w14:paraId="0F4A9911" w14:textId="77777777" w:rsidR="00B94EFE" w:rsidRPr="00B94EFE" w:rsidRDefault="00B94EFE" w:rsidP="00B94EFE">
            <w:pPr>
              <w:spacing w:after="0" w:line="240" w:lineRule="auto"/>
              <w:jc w:val="center"/>
              <w:rPr>
                <w:rFonts w:eastAsia="Times New Roman" w:cs="Times New Roman"/>
                <w:sz w:val="20"/>
                <w:szCs w:val="20"/>
                <w:lang w:val="en-MY" w:eastAsia="zh-CN"/>
              </w:rPr>
            </w:pPr>
          </w:p>
        </w:tc>
      </w:tr>
      <w:tr w:rsidR="00B94EFE" w:rsidRPr="00B94EFE" w14:paraId="261EE4A3" w14:textId="77777777" w:rsidTr="00B94EFE">
        <w:trPr>
          <w:tblCellSpacing w:w="15" w:type="dxa"/>
        </w:trPr>
        <w:tc>
          <w:tcPr>
            <w:tcW w:w="2400" w:type="pct"/>
            <w:vAlign w:val="center"/>
            <w:hideMark/>
          </w:tcPr>
          <w:p w14:paraId="579EF0AD" w14:textId="77777777" w:rsidR="00B94EFE" w:rsidRPr="00B94EFE" w:rsidRDefault="00B94EFE" w:rsidP="00B94EFE">
            <w:pPr>
              <w:spacing w:after="0" w:line="240" w:lineRule="auto"/>
              <w:rPr>
                <w:rFonts w:eastAsia="Times New Roman" w:cs="Times New Roman"/>
                <w:sz w:val="24"/>
                <w:szCs w:val="24"/>
                <w:lang w:val="en-MY" w:eastAsia="zh-CN"/>
              </w:rPr>
            </w:pPr>
            <w:r w:rsidRPr="00B94EFE">
              <w:rPr>
                <w:rFonts w:eastAsia="Times New Roman" w:cs="Times New Roman"/>
                <w:sz w:val="24"/>
                <w:szCs w:val="24"/>
                <w:lang w:val="en-MY" w:eastAsia="zh-CN"/>
              </w:rPr>
              <w:t>Robotic</w:t>
            </w:r>
          </w:p>
        </w:tc>
        <w:tc>
          <w:tcPr>
            <w:tcW w:w="1250" w:type="pct"/>
            <w:vAlign w:val="center"/>
            <w:hideMark/>
          </w:tcPr>
          <w:p w14:paraId="0783FF62" w14:textId="77777777" w:rsidR="00B94EFE" w:rsidRPr="00B94EFE" w:rsidRDefault="00B94EFE" w:rsidP="00B94EFE">
            <w:pPr>
              <w:spacing w:after="0" w:line="240" w:lineRule="auto"/>
              <w:jc w:val="center"/>
              <w:rPr>
                <w:rFonts w:eastAsia="Times New Roman" w:cs="Times New Roman"/>
                <w:sz w:val="24"/>
                <w:szCs w:val="24"/>
                <w:lang w:val="en-MY" w:eastAsia="zh-CN"/>
              </w:rPr>
            </w:pPr>
            <w:r w:rsidRPr="00B94EFE">
              <w:rPr>
                <w:rFonts w:eastAsia="Times New Roman" w:cs="Times New Roman"/>
                <w:sz w:val="24"/>
                <w:szCs w:val="24"/>
                <w:lang w:val="en-MY" w:eastAsia="zh-CN"/>
              </w:rPr>
              <w:t>31.2 ± 7.8</w:t>
            </w:r>
          </w:p>
        </w:tc>
        <w:tc>
          <w:tcPr>
            <w:tcW w:w="1350" w:type="pct"/>
            <w:vAlign w:val="center"/>
            <w:hideMark/>
          </w:tcPr>
          <w:p w14:paraId="6DE9009B" w14:textId="77777777" w:rsidR="00B94EFE" w:rsidRPr="00B94EFE" w:rsidRDefault="00B94EFE" w:rsidP="00B94EFE">
            <w:pPr>
              <w:spacing w:after="0" w:line="240" w:lineRule="auto"/>
              <w:jc w:val="center"/>
              <w:rPr>
                <w:rFonts w:eastAsia="Times New Roman" w:cs="Times New Roman"/>
                <w:sz w:val="24"/>
                <w:szCs w:val="24"/>
                <w:lang w:val="en-MY" w:eastAsia="zh-CN"/>
              </w:rPr>
            </w:pPr>
            <w:r w:rsidRPr="00B94EFE">
              <w:rPr>
                <w:rFonts w:eastAsia="Times New Roman" w:cs="Times New Roman"/>
                <w:sz w:val="24"/>
                <w:szCs w:val="24"/>
                <w:lang w:val="en-MY" w:eastAsia="zh-CN"/>
              </w:rPr>
              <w:t>32.0 ± 7.6</w:t>
            </w:r>
          </w:p>
        </w:tc>
      </w:tr>
      <w:tr w:rsidR="00B94EFE" w:rsidRPr="00B94EFE" w14:paraId="65DBCC90" w14:textId="77777777" w:rsidTr="00B94EFE">
        <w:trPr>
          <w:tblCellSpacing w:w="15" w:type="dxa"/>
        </w:trPr>
        <w:tc>
          <w:tcPr>
            <w:tcW w:w="2400" w:type="pct"/>
            <w:vAlign w:val="center"/>
            <w:hideMark/>
          </w:tcPr>
          <w:p w14:paraId="0A35FB10" w14:textId="77777777" w:rsidR="00B94EFE" w:rsidRPr="00B94EFE" w:rsidRDefault="00B94EFE" w:rsidP="00B94EFE">
            <w:pPr>
              <w:spacing w:after="0" w:line="240" w:lineRule="auto"/>
              <w:rPr>
                <w:rFonts w:eastAsia="Times New Roman" w:cs="Times New Roman"/>
                <w:sz w:val="24"/>
                <w:szCs w:val="24"/>
                <w:lang w:val="en-MY" w:eastAsia="zh-CN"/>
              </w:rPr>
            </w:pPr>
            <w:r w:rsidRPr="00B94EFE">
              <w:rPr>
                <w:rFonts w:eastAsia="Times New Roman" w:cs="Times New Roman"/>
                <w:sz w:val="24"/>
                <w:szCs w:val="24"/>
                <w:lang w:val="en-MY" w:eastAsia="zh-CN"/>
              </w:rPr>
              <w:t>Laparoscopic</w:t>
            </w:r>
          </w:p>
        </w:tc>
        <w:tc>
          <w:tcPr>
            <w:tcW w:w="1250" w:type="pct"/>
            <w:vAlign w:val="center"/>
            <w:hideMark/>
          </w:tcPr>
          <w:p w14:paraId="53ED50FB" w14:textId="77777777" w:rsidR="00B94EFE" w:rsidRPr="00B94EFE" w:rsidRDefault="00B94EFE" w:rsidP="00B94EFE">
            <w:pPr>
              <w:spacing w:after="0" w:line="240" w:lineRule="auto"/>
              <w:jc w:val="center"/>
              <w:rPr>
                <w:rFonts w:eastAsia="Times New Roman" w:cs="Times New Roman"/>
                <w:sz w:val="24"/>
                <w:szCs w:val="24"/>
                <w:lang w:val="en-MY" w:eastAsia="zh-CN"/>
              </w:rPr>
            </w:pPr>
            <w:r w:rsidRPr="00B94EFE">
              <w:rPr>
                <w:rFonts w:eastAsia="Times New Roman" w:cs="Times New Roman"/>
                <w:sz w:val="24"/>
                <w:szCs w:val="24"/>
                <w:lang w:val="en-MY" w:eastAsia="zh-CN"/>
              </w:rPr>
              <w:t>31.1 ± 8.0</w:t>
            </w:r>
          </w:p>
        </w:tc>
        <w:tc>
          <w:tcPr>
            <w:tcW w:w="1350" w:type="pct"/>
            <w:vAlign w:val="center"/>
            <w:hideMark/>
          </w:tcPr>
          <w:p w14:paraId="5248818D" w14:textId="77777777" w:rsidR="00B94EFE" w:rsidRPr="00B94EFE" w:rsidRDefault="00B94EFE" w:rsidP="00B94EFE">
            <w:pPr>
              <w:spacing w:after="0" w:line="240" w:lineRule="auto"/>
              <w:jc w:val="center"/>
              <w:rPr>
                <w:rFonts w:eastAsia="Times New Roman" w:cs="Times New Roman"/>
                <w:sz w:val="24"/>
                <w:szCs w:val="24"/>
                <w:lang w:val="en-MY" w:eastAsia="zh-CN"/>
              </w:rPr>
            </w:pPr>
            <w:r w:rsidRPr="00B94EFE">
              <w:rPr>
                <w:rFonts w:eastAsia="Times New Roman" w:cs="Times New Roman"/>
                <w:sz w:val="24"/>
                <w:szCs w:val="24"/>
                <w:lang w:val="en-MY" w:eastAsia="zh-CN"/>
              </w:rPr>
              <w:t>31.6 ± 7.5</w:t>
            </w:r>
          </w:p>
        </w:tc>
      </w:tr>
      <w:tr w:rsidR="00B94EFE" w:rsidRPr="00B94EFE" w14:paraId="0D15CB84" w14:textId="77777777" w:rsidTr="00B94EFE">
        <w:trPr>
          <w:tblCellSpacing w:w="15" w:type="dxa"/>
        </w:trPr>
        <w:tc>
          <w:tcPr>
            <w:tcW w:w="2400" w:type="pct"/>
            <w:vAlign w:val="center"/>
            <w:hideMark/>
          </w:tcPr>
          <w:p w14:paraId="3C43AFEA" w14:textId="77777777" w:rsidR="00B94EFE" w:rsidRPr="00B94EFE" w:rsidRDefault="00B94EFE" w:rsidP="00B94EFE">
            <w:pPr>
              <w:spacing w:after="0" w:line="240" w:lineRule="auto"/>
              <w:rPr>
                <w:rFonts w:eastAsia="Times New Roman" w:cs="Times New Roman"/>
                <w:sz w:val="24"/>
                <w:szCs w:val="24"/>
                <w:lang w:val="en-MY" w:eastAsia="zh-CN"/>
              </w:rPr>
            </w:pPr>
            <w:r w:rsidRPr="00B94EFE">
              <w:rPr>
                <w:rFonts w:eastAsia="Times New Roman" w:cs="Times New Roman"/>
                <w:sz w:val="24"/>
                <w:szCs w:val="24"/>
                <w:lang w:val="en-MY" w:eastAsia="zh-CN"/>
              </w:rPr>
              <w:t>Paired difference (R–L), mean (95% CI)</w:t>
            </w:r>
          </w:p>
        </w:tc>
        <w:tc>
          <w:tcPr>
            <w:tcW w:w="1250" w:type="pct"/>
            <w:vAlign w:val="center"/>
            <w:hideMark/>
          </w:tcPr>
          <w:p w14:paraId="0BC08AAA" w14:textId="77777777" w:rsidR="00B94EFE" w:rsidRPr="00B94EFE" w:rsidRDefault="00B94EFE" w:rsidP="00B94EFE">
            <w:pPr>
              <w:spacing w:after="0" w:line="240" w:lineRule="auto"/>
              <w:jc w:val="center"/>
              <w:rPr>
                <w:rFonts w:eastAsia="Times New Roman" w:cs="Times New Roman"/>
                <w:sz w:val="24"/>
                <w:szCs w:val="24"/>
                <w:lang w:val="en-MY" w:eastAsia="zh-CN"/>
              </w:rPr>
            </w:pPr>
            <w:r w:rsidRPr="00B94EFE">
              <w:rPr>
                <w:rFonts w:eastAsia="Times New Roman" w:cs="Times New Roman"/>
                <w:sz w:val="24"/>
                <w:szCs w:val="24"/>
                <w:lang w:val="en-MY" w:eastAsia="zh-CN"/>
              </w:rPr>
              <w:t>0.1 (−3.6 to 3.8)</w:t>
            </w:r>
          </w:p>
        </w:tc>
        <w:tc>
          <w:tcPr>
            <w:tcW w:w="1350" w:type="pct"/>
            <w:vAlign w:val="center"/>
            <w:hideMark/>
          </w:tcPr>
          <w:p w14:paraId="74944963" w14:textId="77777777" w:rsidR="00B94EFE" w:rsidRPr="00B94EFE" w:rsidRDefault="00B94EFE" w:rsidP="00B94EFE">
            <w:pPr>
              <w:spacing w:after="0" w:line="240" w:lineRule="auto"/>
              <w:jc w:val="center"/>
              <w:rPr>
                <w:rFonts w:eastAsia="Times New Roman" w:cs="Times New Roman"/>
                <w:sz w:val="24"/>
                <w:szCs w:val="24"/>
                <w:lang w:val="en-MY" w:eastAsia="zh-CN"/>
              </w:rPr>
            </w:pPr>
            <w:r w:rsidRPr="00B94EFE">
              <w:rPr>
                <w:rFonts w:eastAsia="Times New Roman" w:cs="Times New Roman"/>
                <w:sz w:val="24"/>
                <w:szCs w:val="24"/>
                <w:lang w:val="en-MY" w:eastAsia="zh-CN"/>
              </w:rPr>
              <w:t>0.4 (−2.3 to 3.1)</w:t>
            </w:r>
          </w:p>
        </w:tc>
      </w:tr>
      <w:tr w:rsidR="00B94EFE" w:rsidRPr="00B94EFE" w14:paraId="106858B3" w14:textId="77777777" w:rsidTr="00B94EFE">
        <w:trPr>
          <w:tblCellSpacing w:w="15" w:type="dxa"/>
        </w:trPr>
        <w:tc>
          <w:tcPr>
            <w:tcW w:w="2400" w:type="pct"/>
            <w:vAlign w:val="center"/>
            <w:hideMark/>
          </w:tcPr>
          <w:p w14:paraId="61069947" w14:textId="77777777" w:rsidR="00B94EFE" w:rsidRDefault="00B94EFE" w:rsidP="00B94EFE">
            <w:pPr>
              <w:spacing w:after="0" w:line="240" w:lineRule="auto"/>
              <w:rPr>
                <w:rFonts w:eastAsia="Times New Roman" w:cs="Times New Roman"/>
                <w:b/>
                <w:bCs/>
                <w:sz w:val="24"/>
                <w:szCs w:val="24"/>
                <w:lang w:val="en-MY" w:eastAsia="zh-CN"/>
              </w:rPr>
            </w:pPr>
          </w:p>
          <w:p w14:paraId="182D3809" w14:textId="049EF416" w:rsidR="00B94EFE" w:rsidRPr="00B94EFE" w:rsidRDefault="00B94EFE" w:rsidP="00B94EFE">
            <w:pPr>
              <w:spacing w:after="0" w:line="240" w:lineRule="auto"/>
              <w:rPr>
                <w:rFonts w:eastAsia="Times New Roman" w:cs="Times New Roman"/>
                <w:sz w:val="24"/>
                <w:szCs w:val="24"/>
                <w:lang w:val="en-MY" w:eastAsia="zh-CN"/>
              </w:rPr>
            </w:pPr>
            <w:r w:rsidRPr="00B94EFE">
              <w:rPr>
                <w:rFonts w:eastAsia="Times New Roman" w:cs="Times New Roman"/>
                <w:b/>
                <w:bCs/>
                <w:sz w:val="24"/>
                <w:szCs w:val="24"/>
                <w:lang w:val="en-MY" w:eastAsia="zh-CN"/>
              </w:rPr>
              <w:t>Major complications, n (%)</w:t>
            </w:r>
          </w:p>
        </w:tc>
        <w:tc>
          <w:tcPr>
            <w:tcW w:w="1250" w:type="pct"/>
            <w:vAlign w:val="center"/>
            <w:hideMark/>
          </w:tcPr>
          <w:p w14:paraId="19CB63C6" w14:textId="77777777" w:rsidR="00B94EFE" w:rsidRPr="00B94EFE" w:rsidRDefault="00B94EFE" w:rsidP="00B94EFE">
            <w:pPr>
              <w:spacing w:after="0" w:line="240" w:lineRule="auto"/>
              <w:jc w:val="center"/>
              <w:rPr>
                <w:rFonts w:eastAsia="Times New Roman" w:cs="Times New Roman"/>
                <w:sz w:val="24"/>
                <w:szCs w:val="24"/>
                <w:lang w:val="en-MY" w:eastAsia="zh-CN"/>
              </w:rPr>
            </w:pPr>
          </w:p>
        </w:tc>
        <w:tc>
          <w:tcPr>
            <w:tcW w:w="1350" w:type="pct"/>
            <w:vAlign w:val="center"/>
            <w:hideMark/>
          </w:tcPr>
          <w:p w14:paraId="2ABF66BE" w14:textId="77777777" w:rsidR="00B94EFE" w:rsidRPr="00B94EFE" w:rsidRDefault="00B94EFE" w:rsidP="00B94EFE">
            <w:pPr>
              <w:spacing w:after="0" w:line="240" w:lineRule="auto"/>
              <w:jc w:val="center"/>
              <w:rPr>
                <w:rFonts w:eastAsia="Times New Roman" w:cs="Times New Roman"/>
                <w:sz w:val="20"/>
                <w:szCs w:val="20"/>
                <w:lang w:val="en-MY" w:eastAsia="zh-CN"/>
              </w:rPr>
            </w:pPr>
          </w:p>
        </w:tc>
      </w:tr>
      <w:tr w:rsidR="00B94EFE" w:rsidRPr="00B94EFE" w14:paraId="2EA59D2D" w14:textId="77777777" w:rsidTr="00B94EFE">
        <w:trPr>
          <w:tblCellSpacing w:w="15" w:type="dxa"/>
        </w:trPr>
        <w:tc>
          <w:tcPr>
            <w:tcW w:w="2400" w:type="pct"/>
            <w:vAlign w:val="center"/>
            <w:hideMark/>
          </w:tcPr>
          <w:p w14:paraId="0E1F77D6" w14:textId="77777777" w:rsidR="00B94EFE" w:rsidRPr="00B94EFE" w:rsidRDefault="00B94EFE" w:rsidP="00B94EFE">
            <w:pPr>
              <w:spacing w:after="0" w:line="240" w:lineRule="auto"/>
              <w:rPr>
                <w:rFonts w:eastAsia="Times New Roman" w:cs="Times New Roman"/>
                <w:sz w:val="24"/>
                <w:szCs w:val="24"/>
                <w:lang w:val="en-MY" w:eastAsia="zh-CN"/>
              </w:rPr>
            </w:pPr>
            <w:r w:rsidRPr="00B94EFE">
              <w:rPr>
                <w:rFonts w:eastAsia="Times New Roman" w:cs="Times New Roman"/>
                <w:sz w:val="24"/>
                <w:szCs w:val="24"/>
                <w:lang w:val="en-MY" w:eastAsia="zh-CN"/>
              </w:rPr>
              <w:t>Robotic</w:t>
            </w:r>
          </w:p>
        </w:tc>
        <w:tc>
          <w:tcPr>
            <w:tcW w:w="1250" w:type="pct"/>
            <w:vAlign w:val="center"/>
            <w:hideMark/>
          </w:tcPr>
          <w:p w14:paraId="6845180B" w14:textId="77777777" w:rsidR="00B94EFE" w:rsidRPr="00B94EFE" w:rsidRDefault="00B94EFE" w:rsidP="00B94EFE">
            <w:pPr>
              <w:spacing w:after="0" w:line="240" w:lineRule="auto"/>
              <w:jc w:val="center"/>
              <w:rPr>
                <w:rFonts w:eastAsia="Times New Roman" w:cs="Times New Roman"/>
                <w:sz w:val="24"/>
                <w:szCs w:val="24"/>
                <w:lang w:val="en-MY" w:eastAsia="zh-CN"/>
              </w:rPr>
            </w:pPr>
            <w:r w:rsidRPr="00B94EFE">
              <w:rPr>
                <w:rFonts w:eastAsia="Times New Roman" w:cs="Times New Roman"/>
                <w:sz w:val="24"/>
                <w:szCs w:val="24"/>
                <w:lang w:val="en-MY" w:eastAsia="zh-CN"/>
              </w:rPr>
              <w:t>0 (0%)</w:t>
            </w:r>
          </w:p>
        </w:tc>
        <w:tc>
          <w:tcPr>
            <w:tcW w:w="1350" w:type="pct"/>
            <w:vAlign w:val="center"/>
            <w:hideMark/>
          </w:tcPr>
          <w:p w14:paraId="3DB84CE4" w14:textId="77777777" w:rsidR="00B94EFE" w:rsidRPr="00B94EFE" w:rsidRDefault="00B94EFE" w:rsidP="00B94EFE">
            <w:pPr>
              <w:spacing w:after="0" w:line="240" w:lineRule="auto"/>
              <w:jc w:val="center"/>
              <w:rPr>
                <w:rFonts w:eastAsia="Times New Roman" w:cs="Times New Roman"/>
                <w:sz w:val="24"/>
                <w:szCs w:val="24"/>
                <w:lang w:val="en-MY" w:eastAsia="zh-CN"/>
              </w:rPr>
            </w:pPr>
            <w:r w:rsidRPr="00B94EFE">
              <w:rPr>
                <w:rFonts w:eastAsia="Times New Roman" w:cs="Times New Roman"/>
                <w:sz w:val="24"/>
                <w:szCs w:val="24"/>
                <w:lang w:val="en-MY" w:eastAsia="zh-CN"/>
              </w:rPr>
              <w:t>1 (2.8%)</w:t>
            </w:r>
          </w:p>
        </w:tc>
      </w:tr>
      <w:tr w:rsidR="00B94EFE" w:rsidRPr="00B94EFE" w14:paraId="587C9B5A" w14:textId="77777777" w:rsidTr="00B94EFE">
        <w:trPr>
          <w:tblCellSpacing w:w="15" w:type="dxa"/>
        </w:trPr>
        <w:tc>
          <w:tcPr>
            <w:tcW w:w="2400" w:type="pct"/>
            <w:vAlign w:val="center"/>
            <w:hideMark/>
          </w:tcPr>
          <w:p w14:paraId="228B8BC2" w14:textId="77777777" w:rsidR="00B94EFE" w:rsidRPr="00B94EFE" w:rsidRDefault="00B94EFE" w:rsidP="00B94EFE">
            <w:pPr>
              <w:spacing w:after="0" w:line="240" w:lineRule="auto"/>
              <w:rPr>
                <w:rFonts w:eastAsia="Times New Roman" w:cs="Times New Roman"/>
                <w:sz w:val="24"/>
                <w:szCs w:val="24"/>
                <w:lang w:val="en-MY" w:eastAsia="zh-CN"/>
              </w:rPr>
            </w:pPr>
            <w:r w:rsidRPr="00B94EFE">
              <w:rPr>
                <w:rFonts w:eastAsia="Times New Roman" w:cs="Times New Roman"/>
                <w:sz w:val="24"/>
                <w:szCs w:val="24"/>
                <w:lang w:val="en-MY" w:eastAsia="zh-CN"/>
              </w:rPr>
              <w:t>Laparoscopic</w:t>
            </w:r>
          </w:p>
        </w:tc>
        <w:tc>
          <w:tcPr>
            <w:tcW w:w="1250" w:type="pct"/>
            <w:vAlign w:val="center"/>
            <w:hideMark/>
          </w:tcPr>
          <w:p w14:paraId="5E7D6518" w14:textId="77777777" w:rsidR="00B94EFE" w:rsidRPr="00B94EFE" w:rsidRDefault="00B94EFE" w:rsidP="00B94EFE">
            <w:pPr>
              <w:spacing w:after="0" w:line="240" w:lineRule="auto"/>
              <w:jc w:val="center"/>
              <w:rPr>
                <w:rFonts w:eastAsia="Times New Roman" w:cs="Times New Roman"/>
                <w:sz w:val="24"/>
                <w:szCs w:val="24"/>
                <w:lang w:val="en-MY" w:eastAsia="zh-CN"/>
              </w:rPr>
            </w:pPr>
            <w:r w:rsidRPr="00B94EFE">
              <w:rPr>
                <w:rFonts w:eastAsia="Times New Roman" w:cs="Times New Roman"/>
                <w:sz w:val="24"/>
                <w:szCs w:val="24"/>
                <w:lang w:val="en-MY" w:eastAsia="zh-CN"/>
              </w:rPr>
              <w:t>1 (7.1%)</w:t>
            </w:r>
          </w:p>
        </w:tc>
        <w:tc>
          <w:tcPr>
            <w:tcW w:w="1350" w:type="pct"/>
            <w:vAlign w:val="center"/>
            <w:hideMark/>
          </w:tcPr>
          <w:p w14:paraId="0B9C3ED6" w14:textId="77777777" w:rsidR="00B94EFE" w:rsidRPr="00B94EFE" w:rsidRDefault="00B94EFE" w:rsidP="00B94EFE">
            <w:pPr>
              <w:spacing w:after="0" w:line="240" w:lineRule="auto"/>
              <w:jc w:val="center"/>
              <w:rPr>
                <w:rFonts w:eastAsia="Times New Roman" w:cs="Times New Roman"/>
                <w:sz w:val="24"/>
                <w:szCs w:val="24"/>
                <w:lang w:val="en-MY" w:eastAsia="zh-CN"/>
              </w:rPr>
            </w:pPr>
            <w:r w:rsidRPr="00B94EFE">
              <w:rPr>
                <w:rFonts w:eastAsia="Times New Roman" w:cs="Times New Roman"/>
                <w:sz w:val="24"/>
                <w:szCs w:val="24"/>
                <w:lang w:val="en-MY" w:eastAsia="zh-CN"/>
              </w:rPr>
              <w:t>1 (2.8%)</w:t>
            </w:r>
          </w:p>
        </w:tc>
      </w:tr>
      <w:tr w:rsidR="00B94EFE" w:rsidRPr="00B94EFE" w14:paraId="65821925" w14:textId="77777777" w:rsidTr="00B94EFE">
        <w:trPr>
          <w:tblCellSpacing w:w="15" w:type="dxa"/>
        </w:trPr>
        <w:tc>
          <w:tcPr>
            <w:tcW w:w="2400" w:type="pct"/>
            <w:tcBorders>
              <w:bottom w:val="single" w:sz="4" w:space="0" w:color="auto"/>
            </w:tcBorders>
            <w:vAlign w:val="center"/>
            <w:hideMark/>
          </w:tcPr>
          <w:p w14:paraId="3F60AF33" w14:textId="77777777" w:rsidR="00B94EFE" w:rsidRPr="00B94EFE" w:rsidRDefault="00B94EFE" w:rsidP="00B94EFE">
            <w:pPr>
              <w:spacing w:after="0" w:line="240" w:lineRule="auto"/>
              <w:rPr>
                <w:rFonts w:eastAsia="Times New Roman" w:cs="Times New Roman"/>
                <w:sz w:val="24"/>
                <w:szCs w:val="24"/>
                <w:lang w:val="en-MY" w:eastAsia="zh-CN"/>
              </w:rPr>
            </w:pPr>
            <w:r w:rsidRPr="00B94EFE">
              <w:rPr>
                <w:rFonts w:eastAsia="Times New Roman" w:cs="Times New Roman"/>
                <w:sz w:val="24"/>
                <w:szCs w:val="24"/>
                <w:lang w:val="en-MY" w:eastAsia="zh-CN"/>
              </w:rPr>
              <w:t>Paired risk difference, percentage points</w:t>
            </w:r>
          </w:p>
        </w:tc>
        <w:tc>
          <w:tcPr>
            <w:tcW w:w="1250" w:type="pct"/>
            <w:tcBorders>
              <w:bottom w:val="single" w:sz="4" w:space="0" w:color="auto"/>
            </w:tcBorders>
            <w:vAlign w:val="center"/>
            <w:hideMark/>
          </w:tcPr>
          <w:p w14:paraId="7B2E19C1" w14:textId="77777777" w:rsidR="00B94EFE" w:rsidRPr="00B94EFE" w:rsidRDefault="00B94EFE" w:rsidP="00B94EFE">
            <w:pPr>
              <w:spacing w:after="0" w:line="240" w:lineRule="auto"/>
              <w:jc w:val="center"/>
              <w:rPr>
                <w:rFonts w:eastAsia="Times New Roman" w:cs="Times New Roman"/>
                <w:sz w:val="24"/>
                <w:szCs w:val="24"/>
                <w:lang w:val="en-MY" w:eastAsia="zh-CN"/>
              </w:rPr>
            </w:pPr>
            <w:r w:rsidRPr="00B94EFE">
              <w:rPr>
                <w:rFonts w:eastAsia="Times New Roman" w:cs="Times New Roman"/>
                <w:sz w:val="24"/>
                <w:szCs w:val="24"/>
                <w:lang w:val="en-MY" w:eastAsia="zh-CN"/>
              </w:rPr>
              <w:t>−7.1</w:t>
            </w:r>
          </w:p>
        </w:tc>
        <w:tc>
          <w:tcPr>
            <w:tcW w:w="1350" w:type="pct"/>
            <w:tcBorders>
              <w:bottom w:val="single" w:sz="4" w:space="0" w:color="auto"/>
            </w:tcBorders>
            <w:vAlign w:val="center"/>
            <w:hideMark/>
          </w:tcPr>
          <w:p w14:paraId="329F0656" w14:textId="77777777" w:rsidR="00B94EFE" w:rsidRPr="00B94EFE" w:rsidRDefault="00B94EFE" w:rsidP="00B94EFE">
            <w:pPr>
              <w:spacing w:after="0" w:line="240" w:lineRule="auto"/>
              <w:jc w:val="center"/>
              <w:rPr>
                <w:rFonts w:eastAsia="Times New Roman" w:cs="Times New Roman"/>
                <w:sz w:val="24"/>
                <w:szCs w:val="24"/>
                <w:lang w:val="en-MY" w:eastAsia="zh-CN"/>
              </w:rPr>
            </w:pPr>
            <w:r w:rsidRPr="00B94EFE">
              <w:rPr>
                <w:rFonts w:eastAsia="Times New Roman" w:cs="Times New Roman"/>
                <w:sz w:val="24"/>
                <w:szCs w:val="24"/>
                <w:lang w:val="en-MY" w:eastAsia="zh-CN"/>
              </w:rPr>
              <w:t>0</w:t>
            </w:r>
          </w:p>
        </w:tc>
      </w:tr>
    </w:tbl>
    <w:p>
      <w:pPr>
        <w:spacing w:after="160" w:line="480" w:lineRule="auto"/>
        <w:jc w:val="both"/>
        <w:rPr>
          <w:rFonts w:cs="Times New Roman"/>
          <w:i/>
          <w:iCs/>
          <w:color w:val="000000" w:themeColor="text1"/>
          <w:sz w:val="24"/>
          <w:szCs w:val="24"/>
        </w:rPr>
      </w:pPr>
      <w:r>
        <w:rPr>
          <w:rFonts w:cs="Times New Roman"/>
          <w:i/>
          <w:iCs/>
          <w:color w:val="000000" w:themeColor="text1"/>
          <w:sz w:val="24"/>
          <w:szCs w:val="24"/>
        </w:rPr>
        <w:t xml:space="preserve">IQR, interquartile range; HL, Hodges–Lehmann location-shift estimate; SD, standard deviation; %TWL, percentage total weight loss. All 50 matched pairs were sex-concordant; values are shown separately for the 14 male and 36 female pairs. Paired differences are robotic minus laparoscopic. Operative-time differences are Hodges–Lehmann estimates with exact confidence intervals from Walsh averages, as in Table 2; %TWL differences are paired mean differences with t-distribution confidence intervals, as in Table 4. Confidence intervals are not shown for the complication rows because events were too few. No subgroup or interaction testing was performed: the study was neither designed nor powered to detect effect modification by sex, and these analyses are post hoc and exploratory.</w:t>
      </w:r>
    </w:p>
    <w:p w14:paraId="603B1AF3" w14:textId="77777777" w:rsidR="00055F56" w:rsidRPr="00B94EFE" w:rsidRDefault="00055F56">
      <w:pPr>
        <w:rPr>
          <w:rFonts w:eastAsiaTheme="majorEastAsia" w:cs="Times New Roman"/>
          <w:b/>
          <w:bCs/>
          <w:i/>
          <w:iCs/>
          <w:color w:val="000000" w:themeColor="text1"/>
          <w:sz w:val="24"/>
          <w:szCs w:val="24"/>
        </w:rPr>
      </w:pPr>
      <w:r w:rsidRPr="00B94EFE">
        <w:rPr>
          <w:rFonts w:cs="Times New Roman"/>
          <w:i/>
          <w:iCs/>
          <w:color w:val="000000" w:themeColor="text1"/>
          <w:sz w:val="24"/>
          <w:szCs w:val="24"/>
        </w:rPr>
        <w:br w:type="page"/>
      </w:r>
    </w:p>
    <w:p w14:paraId="1938358E" w14:textId="4384FF18" w:rsidR="00D713E6" w:rsidRPr="00055F56" w:rsidRDefault="00000000" w:rsidP="00055F56">
      <w:pPr>
        <w:pStyle w:val="Heading1"/>
        <w:spacing w:line="480" w:lineRule="auto"/>
        <w:jc w:val="center"/>
        <w:rPr>
          <w:rFonts w:ascii="Times New Roman" w:hAnsi="Times New Roman" w:cs="Times New Roman"/>
          <w:color w:val="000000" w:themeColor="text1"/>
          <w:sz w:val="24"/>
          <w:szCs w:val="24"/>
        </w:rPr>
      </w:pPr>
      <w:r w:rsidRPr="00055F56">
        <w:rPr>
          <w:rFonts w:ascii="Times New Roman" w:hAnsi="Times New Roman" w:cs="Times New Roman"/>
          <w:color w:val="000000" w:themeColor="text1"/>
          <w:sz w:val="24"/>
          <w:szCs w:val="24"/>
        </w:rPr>
        <w:lastRenderedPageBreak/>
        <w:t>Supplementary References</w:t>
      </w:r>
    </w:p>
    <w:p w14:paraId="1C6B4727" w14:textId="2BAEF0B1" w:rsidR="00D713E6" w:rsidRPr="00055F56" w:rsidRDefault="00000000" w:rsidP="00055F56">
      <w:pPr>
        <w:spacing w:line="480" w:lineRule="auto"/>
        <w:jc w:val="both"/>
        <w:rPr>
          <w:rFonts w:cs="Times New Roman"/>
          <w:color w:val="000000" w:themeColor="text1"/>
          <w:sz w:val="24"/>
          <w:szCs w:val="24"/>
        </w:rPr>
      </w:pPr>
      <w:r w:rsidRPr="00055F56">
        <w:rPr>
          <w:rFonts w:cs="Times New Roman"/>
          <w:color w:val="000000" w:themeColor="text1"/>
          <w:sz w:val="24"/>
          <w:szCs w:val="24"/>
        </w:rPr>
        <w:t xml:space="preserve">S1. Huang CK, Katakwar A. Sleeve plus procedures: need of time. Surg Today. </w:t>
      </w:r>
      <w:proofErr w:type="gramStart"/>
      <w:r w:rsidRPr="00055F56">
        <w:rPr>
          <w:rFonts w:cs="Times New Roman"/>
          <w:color w:val="000000" w:themeColor="text1"/>
          <w:sz w:val="24"/>
          <w:szCs w:val="24"/>
        </w:rPr>
        <w:t>2020;50:419</w:t>
      </w:r>
      <w:proofErr w:type="gramEnd"/>
      <w:r w:rsidR="006A1461">
        <w:rPr>
          <w:rFonts w:cs="Times New Roman"/>
          <w:color w:val="000000" w:themeColor="text1"/>
          <w:sz w:val="24"/>
          <w:szCs w:val="24"/>
        </w:rPr>
        <w:t>-</w:t>
      </w:r>
      <w:r w:rsidRPr="00055F56">
        <w:rPr>
          <w:rFonts w:cs="Times New Roman"/>
          <w:color w:val="000000" w:themeColor="text1"/>
          <w:sz w:val="24"/>
          <w:szCs w:val="24"/>
        </w:rPr>
        <w:t>22.</w:t>
      </w:r>
    </w:p>
    <w:p w14:paraId="5A957058" w14:textId="53501094" w:rsidR="00D713E6" w:rsidRPr="00055F56" w:rsidRDefault="00000000" w:rsidP="00055F56">
      <w:pPr>
        <w:spacing w:line="480" w:lineRule="auto"/>
        <w:jc w:val="both"/>
        <w:rPr>
          <w:rFonts w:cs="Times New Roman"/>
          <w:color w:val="000000" w:themeColor="text1"/>
          <w:sz w:val="24"/>
          <w:szCs w:val="24"/>
        </w:rPr>
      </w:pPr>
      <w:r w:rsidRPr="00055F56">
        <w:rPr>
          <w:rFonts w:cs="Times New Roman"/>
          <w:color w:val="000000" w:themeColor="text1"/>
          <w:sz w:val="24"/>
          <w:szCs w:val="24"/>
        </w:rPr>
        <w:t xml:space="preserve">S2. Huang CK, Goel R, Tai CM, et al. Novel metabolic surgery for type II diabetes mellitus: loop duodenojejunal bypass with sleeve gastrectomy. Surg Laparosc Endosc Percutan Tech. </w:t>
      </w:r>
      <w:proofErr w:type="gramStart"/>
      <w:r w:rsidRPr="00055F56">
        <w:rPr>
          <w:rFonts w:cs="Times New Roman"/>
          <w:color w:val="000000" w:themeColor="text1"/>
          <w:sz w:val="24"/>
          <w:szCs w:val="24"/>
        </w:rPr>
        <w:t>2013;23:481</w:t>
      </w:r>
      <w:proofErr w:type="gramEnd"/>
      <w:r w:rsidR="006A1461">
        <w:rPr>
          <w:rFonts w:cs="Times New Roman"/>
          <w:color w:val="000000" w:themeColor="text1"/>
          <w:sz w:val="24"/>
          <w:szCs w:val="24"/>
        </w:rPr>
        <w:t>-</w:t>
      </w:r>
      <w:r w:rsidRPr="00055F56">
        <w:rPr>
          <w:rFonts w:cs="Times New Roman"/>
          <w:color w:val="000000" w:themeColor="text1"/>
          <w:sz w:val="24"/>
          <w:szCs w:val="24"/>
        </w:rPr>
        <w:t>5.</w:t>
      </w:r>
    </w:p>
    <w:p w14:paraId="3203BD41" w14:textId="77777777" w:rsidR="00D713E6" w:rsidRPr="00055F56" w:rsidRDefault="00000000" w:rsidP="00055F56">
      <w:pPr>
        <w:spacing w:line="480" w:lineRule="auto"/>
        <w:jc w:val="both"/>
        <w:rPr>
          <w:rFonts w:cs="Times New Roman"/>
          <w:color w:val="000000" w:themeColor="text1"/>
          <w:sz w:val="24"/>
          <w:szCs w:val="24"/>
        </w:rPr>
      </w:pPr>
      <w:r w:rsidRPr="00055F56">
        <w:rPr>
          <w:rFonts w:cs="Times New Roman"/>
          <w:color w:val="000000" w:themeColor="text1"/>
          <w:sz w:val="24"/>
          <w:szCs w:val="24"/>
        </w:rPr>
        <w:t xml:space="preserve">S3. Sewefy AM, Atyia AM, Mohammed MM, et al. Single anastomosis sleeve jejunal (SAS-J) bypass as a treatment for morbid obesity: technique and review of 1986 cases and 6 years follow-up. Int J Surg. </w:t>
      </w:r>
      <w:proofErr w:type="gramStart"/>
      <w:r w:rsidRPr="00055F56">
        <w:rPr>
          <w:rFonts w:cs="Times New Roman"/>
          <w:color w:val="000000" w:themeColor="text1"/>
          <w:sz w:val="24"/>
          <w:szCs w:val="24"/>
        </w:rPr>
        <w:t>2022;102:106662</w:t>
      </w:r>
      <w:proofErr w:type="gramEnd"/>
      <w:r w:rsidRPr="00055F56">
        <w:rPr>
          <w:rFonts w:cs="Times New Roman"/>
          <w:color w:val="000000" w:themeColor="text1"/>
          <w:sz w:val="24"/>
          <w:szCs w:val="24"/>
        </w:rPr>
        <w:t>.</w:t>
      </w:r>
    </w:p>
    <w:p w14:paraId="548045EC" w14:textId="20745CE5" w:rsidR="00D713E6" w:rsidRPr="00055F56" w:rsidRDefault="00000000" w:rsidP="00055F56">
      <w:pPr>
        <w:spacing w:line="480" w:lineRule="auto"/>
        <w:jc w:val="both"/>
        <w:rPr>
          <w:rFonts w:cs="Times New Roman"/>
          <w:color w:val="000000" w:themeColor="text1"/>
          <w:sz w:val="24"/>
          <w:szCs w:val="24"/>
        </w:rPr>
      </w:pPr>
      <w:r w:rsidRPr="00055F56">
        <w:rPr>
          <w:rFonts w:cs="Times New Roman"/>
          <w:color w:val="000000" w:themeColor="text1"/>
          <w:sz w:val="24"/>
          <w:szCs w:val="24"/>
        </w:rPr>
        <w:t xml:space="preserve">S4. Alamo Alamo M, Sepúlveda Torres C, Zapata Perez L. Vertical isolated gastroplasty with gastro-enteral bypass: preliminary results. Obes Surg. </w:t>
      </w:r>
      <w:proofErr w:type="gramStart"/>
      <w:r w:rsidRPr="00055F56">
        <w:rPr>
          <w:rFonts w:cs="Times New Roman"/>
          <w:color w:val="000000" w:themeColor="text1"/>
          <w:sz w:val="24"/>
          <w:szCs w:val="24"/>
        </w:rPr>
        <w:t>2006;16:353</w:t>
      </w:r>
      <w:proofErr w:type="gramEnd"/>
      <w:r w:rsidR="006A1461">
        <w:rPr>
          <w:rFonts w:cs="Times New Roman"/>
          <w:color w:val="000000" w:themeColor="text1"/>
          <w:sz w:val="24"/>
          <w:szCs w:val="24"/>
        </w:rPr>
        <w:t>-</w:t>
      </w:r>
      <w:r w:rsidRPr="00055F56">
        <w:rPr>
          <w:rFonts w:cs="Times New Roman"/>
          <w:color w:val="000000" w:themeColor="text1"/>
          <w:sz w:val="24"/>
          <w:szCs w:val="24"/>
        </w:rPr>
        <w:t>8.</w:t>
      </w:r>
    </w:p>
    <w:p w14:paraId="58074A5F" w14:textId="77777777" w:rsidR="00D713E6" w:rsidRPr="00055F56" w:rsidRDefault="00000000" w:rsidP="00055F56">
      <w:pPr>
        <w:spacing w:line="480" w:lineRule="auto"/>
        <w:jc w:val="both"/>
        <w:rPr>
          <w:rFonts w:cs="Times New Roman"/>
          <w:color w:val="000000" w:themeColor="text1"/>
          <w:sz w:val="24"/>
          <w:szCs w:val="24"/>
        </w:rPr>
      </w:pPr>
      <w:r w:rsidRPr="00055F56">
        <w:rPr>
          <w:rFonts w:cs="Times New Roman"/>
          <w:color w:val="000000" w:themeColor="text1"/>
          <w:sz w:val="24"/>
          <w:szCs w:val="24"/>
        </w:rPr>
        <w:t xml:space="preserve">S5. Huang CK, Mahendra R, Hsin MC, Chang PC. Novel metabolic surgery: first Asia series and short-term results of laparoscopic proximal jejunal bypass with sleeve gastrectomy. Ann Laparosc Endosc Surg. </w:t>
      </w:r>
      <w:proofErr w:type="gramStart"/>
      <w:r w:rsidRPr="00055F56">
        <w:rPr>
          <w:rFonts w:cs="Times New Roman"/>
          <w:color w:val="000000" w:themeColor="text1"/>
          <w:sz w:val="24"/>
          <w:szCs w:val="24"/>
        </w:rPr>
        <w:t>2016;1:37</w:t>
      </w:r>
      <w:proofErr w:type="gramEnd"/>
      <w:r w:rsidRPr="00055F56">
        <w:rPr>
          <w:rFonts w:cs="Times New Roman"/>
          <w:color w:val="000000" w:themeColor="text1"/>
          <w:sz w:val="24"/>
          <w:szCs w:val="24"/>
        </w:rPr>
        <w:t>.</w:t>
      </w:r>
    </w:p>
    <w:p w14:paraId="2ABCFDF9" w14:textId="77777777" w:rsidR="00D713E6" w:rsidRPr="00055F56" w:rsidRDefault="00000000" w:rsidP="00055F56">
      <w:pPr>
        <w:spacing w:line="480" w:lineRule="auto"/>
        <w:jc w:val="both"/>
        <w:rPr>
          <w:rFonts w:cs="Times New Roman"/>
          <w:color w:val="000000" w:themeColor="text1"/>
          <w:sz w:val="24"/>
          <w:szCs w:val="24"/>
        </w:rPr>
      </w:pPr>
      <w:r w:rsidRPr="00055F56">
        <w:rPr>
          <w:rFonts w:cs="Times New Roman"/>
          <w:color w:val="000000" w:themeColor="text1"/>
          <w:sz w:val="24"/>
          <w:szCs w:val="24"/>
        </w:rPr>
        <w:t>S6. Lim-Loo MBC, Huang CK, Chan V, Chua K. Sleeve-plus procedures in Asia: duodenojejunal bypass and proximal jejunal bypass. In: Saiz-Sapena N, Oviedo JM, editors. Bariatric Surgery—From the Non-Surgical Approach to the Post-Surgery Individual Care. London: IntechOpen; 2021.</w:t>
      </w:r>
    </w:p>
    <w:sectPr w:rsidR="00D713E6" w:rsidRPr="00055F56" w:rsidSect="00055F56">
      <w:pgSz w:w="11909" w:h="16834"/>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0E7E0858" w14:textId="77777777" w:rsidR="00E63FA4" w:rsidRDefault="00E63FA4" w:rsidP="00055F56">
      <w:pPr>
        <w:spacing w:after="0" w:line="240" w:lineRule="auto"/>
      </w:pPr>
      <w:r>
        <w:separator/>
      </w:r>
    </w:p>
  </w:endnote>
  <w:endnote w:type="continuationSeparator" w:id="0">
    <w:p w14:paraId="332462C8" w14:textId="77777777" w:rsidR="00E63FA4" w:rsidRDefault="00E63FA4" w:rsidP="00055F5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623463177"/>
      <w:docPartObj>
        <w:docPartGallery w:val="Page Numbers (Bottom of Page)"/>
        <w:docPartUnique/>
      </w:docPartObj>
    </w:sdtPr>
    <w:sdtContent>
      <w:p w14:paraId="3C298617" w14:textId="373AFF95" w:rsidR="00055F56" w:rsidRDefault="00055F56" w:rsidP="0011094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rPr>
          <w:fldChar w:fldCharType="end"/>
        </w:r>
      </w:p>
    </w:sdtContent>
  </w:sdt>
  <w:p w14:paraId="7691384B" w14:textId="77777777" w:rsidR="00055F56" w:rsidRDefault="00055F5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527309196"/>
      <w:docPartObj>
        <w:docPartGallery w:val="Page Numbers (Bottom of Page)"/>
        <w:docPartUnique/>
      </w:docPartObj>
    </w:sdtPr>
    <w:sdtContent>
      <w:p w14:paraId="276A739B" w14:textId="328E039B" w:rsidR="00055F56" w:rsidRDefault="00055F56" w:rsidP="0011094B">
        <w:pPr>
          <w:pStyle w:val="Footer"/>
          <w:framePr w:wrap="none" w:vAnchor="text" w:hAnchor="margin" w:xAlign="center"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1</w:t>
        </w:r>
        <w:r>
          <w:rPr>
            <w:rStyle w:val="PageNumber"/>
          </w:rPr>
          <w:fldChar w:fldCharType="end"/>
        </w:r>
      </w:p>
    </w:sdtContent>
  </w:sdt>
  <w:p w14:paraId="0E7130D1" w14:textId="77777777" w:rsidR="00055F56" w:rsidRDefault="00055F5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388D6405" w14:textId="77777777" w:rsidR="00E63FA4" w:rsidRDefault="00E63FA4" w:rsidP="00055F56">
      <w:pPr>
        <w:spacing w:after="0" w:line="240" w:lineRule="auto"/>
      </w:pPr>
      <w:r>
        <w:separator/>
      </w:r>
    </w:p>
  </w:footnote>
  <w:footnote w:type="continuationSeparator" w:id="0">
    <w:p w14:paraId="577390EC" w14:textId="77777777" w:rsidR="00E63FA4" w:rsidRDefault="00E63FA4" w:rsidP="00055F5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984821328">
    <w:abstractNumId w:val="8"/>
  </w:num>
  <w:num w:numId="2" w16cid:durableId="9719185">
    <w:abstractNumId w:val="6"/>
  </w:num>
  <w:num w:numId="3" w16cid:durableId="1307397890">
    <w:abstractNumId w:val="5"/>
  </w:num>
  <w:num w:numId="4" w16cid:durableId="1498040078">
    <w:abstractNumId w:val="4"/>
  </w:num>
  <w:num w:numId="5" w16cid:durableId="1164322314">
    <w:abstractNumId w:val="7"/>
  </w:num>
  <w:num w:numId="6" w16cid:durableId="1722627593">
    <w:abstractNumId w:val="3"/>
  </w:num>
  <w:num w:numId="7" w16cid:durableId="850684196">
    <w:abstractNumId w:val="2"/>
  </w:num>
  <w:num w:numId="8" w16cid:durableId="1197086439">
    <w:abstractNumId w:val="1"/>
  </w:num>
  <w:num w:numId="9" w16cid:durableId="2022587101">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8"/>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55F56"/>
    <w:rsid w:val="0006063C"/>
    <w:rsid w:val="000E6421"/>
    <w:rsid w:val="0015074B"/>
    <w:rsid w:val="0029639D"/>
    <w:rsid w:val="00326F90"/>
    <w:rsid w:val="005C47EE"/>
    <w:rsid w:val="006A1461"/>
    <w:rsid w:val="007900DF"/>
    <w:rsid w:val="00AA1D8D"/>
    <w:rsid w:val="00AD6DDC"/>
    <w:rsid w:val="00B47730"/>
    <w:rsid w:val="00B94EFE"/>
    <w:rsid w:val="00C03555"/>
    <w:rsid w:val="00CB0664"/>
    <w:rsid w:val="00D713E6"/>
    <w:rsid w:val="00E63FA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5E65EDA"/>
  <w14:defaultImageDpi w14:val="300"/>
  <w15:docId w15:val="{7F452FDA-A15C-1141-91EB-A90C7E89B3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rPr>
      <w:rFonts w:ascii="Times New Roman" w:hAnsi="Times New Roman"/>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PageNumber">
    <w:name w:val="page number"/>
    <w:basedOn w:val="DefaultParagraphFont"/>
    <w:uiPriority w:val="99"/>
    <w:semiHidden/>
    <w:unhideWhenUsed/>
    <w:rsid w:val="00055F5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TotalTime>
  <Pages>10</Pages>
  <Words>1417</Words>
  <Characters>8805</Characters>
  <Application>Microsoft Office Word</Application>
  <DocSecurity>0</DocSecurity>
  <Lines>151</Lines>
  <Paragraphs>50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10172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Blinded Supplementary Material</dc:title>
  <dc:subject/>
  <dc:creator/>
  <cp:keywords/>
  <dc:description/>
  <cp:lastModifiedBy>alvina sim</cp:lastModifiedBy>
  <cp:revision>5</cp:revision>
  <dcterms:created xsi:type="dcterms:W3CDTF">2013-12-23T23:15:00Z</dcterms:created>
  <dcterms:modified xsi:type="dcterms:W3CDTF">2026-09-09T15:01:00Z</dcterms:modified>
  <cp:category/>
</cp:coreProperties>
</file>