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4CF16">
      <w:pPr>
        <w:keepNext/>
        <w:spacing w:before="0" w:after="100"/>
      </w:pPr>
      <w:bookmarkStart w:id="0" w:name="_GoBack"/>
      <w:r>
        <w:rPr>
          <w:rFonts w:ascii="Times New Roman" w:hAnsi="Times New Roman"/>
          <w:b/>
          <w:sz w:val="21"/>
        </w:rPr>
        <w:t>Supplementary Table S1. Sensitivity analyses of associations between key clinical markers and physical frailty</w:t>
      </w:r>
      <w:bookmarkEnd w:id="0"/>
    </w:p>
    <w:tbl>
      <w:tblPr>
        <w:tblStyle w:val="32"/>
        <w:tblW w:w="0" w:type="auto"/>
        <w:tblInd w:w="0" w:type="dxa"/>
        <w:tblLayout w:type="fixed"/>
        <w:tblCellMar>
          <w:top w:w="0" w:type="dxa"/>
          <w:left w:w="108" w:type="dxa"/>
          <w:bottom w:w="0" w:type="dxa"/>
          <w:right w:w="108" w:type="dxa"/>
        </w:tblCellMar>
      </w:tblPr>
      <w:tblGrid>
        <w:gridCol w:w="2211"/>
        <w:gridCol w:w="2211"/>
        <w:gridCol w:w="2211"/>
        <w:gridCol w:w="2211"/>
        <w:gridCol w:w="2211"/>
        <w:gridCol w:w="2211"/>
        <w:gridCol w:w="2211"/>
      </w:tblGrid>
      <w:tr w14:paraId="75A48407">
        <w:tblPrEx>
          <w:tblCellMar>
            <w:top w:w="0" w:type="dxa"/>
            <w:left w:w="108" w:type="dxa"/>
            <w:bottom w:w="0" w:type="dxa"/>
            <w:right w:w="108" w:type="dxa"/>
          </w:tblCellMar>
        </w:tblPrEx>
        <w:trPr>
          <w:tblHeader/>
        </w:trPr>
        <w:tc>
          <w:tcPr>
            <w:tcW w:w="2608" w:type="dxa"/>
            <w:tcBorders>
              <w:top w:val="single" w:color="000000" w:sz="12" w:space="0"/>
              <w:left w:val="nil"/>
              <w:bottom w:val="single" w:color="000000" w:sz="8" w:space="0"/>
              <w:right w:val="nil"/>
              <w:insideH w:val="nil"/>
              <w:insideV w:val="nil"/>
            </w:tcBorders>
            <w:vAlign w:val="center"/>
          </w:tcPr>
          <w:p w14:paraId="67DD5C38">
            <w:pPr>
              <w:spacing w:before="0" w:after="0" w:line="240" w:lineRule="auto"/>
              <w:jc w:val="left"/>
            </w:pPr>
            <w:r>
              <w:rPr>
                <w:rFonts w:ascii="Times New Roman" w:hAnsi="Times New Roman"/>
                <w:b/>
                <w:i w:val="0"/>
                <w:sz w:val="15"/>
              </w:rPr>
              <w:t>Marker</w:t>
            </w:r>
          </w:p>
        </w:tc>
        <w:tc>
          <w:tcPr>
            <w:tcW w:w="2948" w:type="dxa"/>
            <w:tcBorders>
              <w:top w:val="single" w:color="000000" w:sz="12" w:space="0"/>
              <w:left w:val="nil"/>
              <w:bottom w:val="single" w:color="000000" w:sz="8" w:space="0"/>
              <w:right w:val="nil"/>
              <w:insideH w:val="nil"/>
              <w:insideV w:val="nil"/>
            </w:tcBorders>
            <w:vAlign w:val="center"/>
          </w:tcPr>
          <w:p w14:paraId="000D70C8">
            <w:pPr>
              <w:spacing w:before="0" w:after="0" w:line="240" w:lineRule="auto"/>
              <w:jc w:val="center"/>
            </w:pPr>
            <w:r>
              <w:rPr>
                <w:rFonts w:ascii="Times New Roman" w:hAnsi="Times New Roman"/>
                <w:b/>
                <w:i w:val="0"/>
                <w:sz w:val="15"/>
              </w:rPr>
              <w:t>Main fully adjusted model, OR (95% CI)</w:t>
            </w:r>
          </w:p>
        </w:tc>
        <w:tc>
          <w:tcPr>
            <w:tcW w:w="1020" w:type="dxa"/>
            <w:tcBorders>
              <w:top w:val="single" w:color="000000" w:sz="12" w:space="0"/>
              <w:left w:val="nil"/>
              <w:bottom w:val="single" w:color="000000" w:sz="8" w:space="0"/>
              <w:right w:val="nil"/>
              <w:insideH w:val="nil"/>
              <w:insideV w:val="nil"/>
            </w:tcBorders>
            <w:vAlign w:val="center"/>
          </w:tcPr>
          <w:p w14:paraId="407EC830">
            <w:pPr>
              <w:spacing w:before="0" w:after="0" w:line="240" w:lineRule="auto"/>
              <w:jc w:val="center"/>
            </w:pPr>
            <w:r>
              <w:rPr>
                <w:rFonts w:ascii="Times New Roman" w:hAnsi="Times New Roman"/>
                <w:b/>
                <w:i w:val="0"/>
                <w:sz w:val="15"/>
              </w:rPr>
              <w:t>P value</w:t>
            </w:r>
          </w:p>
        </w:tc>
        <w:tc>
          <w:tcPr>
            <w:tcW w:w="2948" w:type="dxa"/>
            <w:tcBorders>
              <w:top w:val="single" w:color="000000" w:sz="12" w:space="0"/>
              <w:left w:val="nil"/>
              <w:bottom w:val="single" w:color="000000" w:sz="8" w:space="0"/>
              <w:right w:val="nil"/>
              <w:insideH w:val="nil"/>
              <w:insideV w:val="nil"/>
            </w:tcBorders>
            <w:vAlign w:val="center"/>
          </w:tcPr>
          <w:p w14:paraId="6FC6C706">
            <w:pPr>
              <w:spacing w:before="0" w:after="0" w:line="240" w:lineRule="auto"/>
              <w:jc w:val="center"/>
            </w:pPr>
            <w:r>
              <w:rPr>
                <w:rFonts w:ascii="Times New Roman" w:hAnsi="Times New Roman"/>
                <w:b/>
                <w:i w:val="0"/>
                <w:sz w:val="15"/>
              </w:rPr>
              <w:t>Parsimonious model, OR (95% CI)</w:t>
            </w:r>
          </w:p>
        </w:tc>
        <w:tc>
          <w:tcPr>
            <w:tcW w:w="1020" w:type="dxa"/>
            <w:tcBorders>
              <w:top w:val="single" w:color="000000" w:sz="12" w:space="0"/>
              <w:left w:val="nil"/>
              <w:bottom w:val="single" w:color="000000" w:sz="8" w:space="0"/>
              <w:right w:val="nil"/>
              <w:insideH w:val="nil"/>
              <w:insideV w:val="nil"/>
            </w:tcBorders>
            <w:vAlign w:val="center"/>
          </w:tcPr>
          <w:p w14:paraId="17AB085A">
            <w:pPr>
              <w:spacing w:before="0" w:after="0" w:line="240" w:lineRule="auto"/>
              <w:jc w:val="center"/>
            </w:pPr>
            <w:r>
              <w:rPr>
                <w:rFonts w:ascii="Times New Roman" w:hAnsi="Times New Roman"/>
                <w:b/>
                <w:i w:val="0"/>
                <w:sz w:val="15"/>
              </w:rPr>
              <w:t>P value</w:t>
            </w:r>
          </w:p>
        </w:tc>
        <w:tc>
          <w:tcPr>
            <w:tcW w:w="2948" w:type="dxa"/>
            <w:tcBorders>
              <w:top w:val="single" w:color="000000" w:sz="12" w:space="0"/>
              <w:left w:val="nil"/>
              <w:bottom w:val="single" w:color="000000" w:sz="8" w:space="0"/>
              <w:right w:val="nil"/>
              <w:insideH w:val="nil"/>
              <w:insideV w:val="nil"/>
            </w:tcBorders>
            <w:vAlign w:val="center"/>
          </w:tcPr>
          <w:p w14:paraId="7C10DDEC">
            <w:pPr>
              <w:spacing w:before="0" w:after="0" w:line="240" w:lineRule="auto"/>
              <w:jc w:val="center"/>
            </w:pPr>
            <w:r>
              <w:rPr>
                <w:rFonts w:ascii="Times New Roman" w:hAnsi="Times New Roman"/>
                <w:b/>
                <w:i w:val="0"/>
                <w:sz w:val="15"/>
              </w:rPr>
              <w:t>Firth penalized model, OR (95% CI)</w:t>
            </w:r>
          </w:p>
        </w:tc>
        <w:tc>
          <w:tcPr>
            <w:tcW w:w="1020" w:type="dxa"/>
            <w:tcBorders>
              <w:top w:val="single" w:color="000000" w:sz="12" w:space="0"/>
              <w:left w:val="nil"/>
              <w:bottom w:val="single" w:color="000000" w:sz="8" w:space="0"/>
              <w:right w:val="nil"/>
              <w:insideH w:val="nil"/>
              <w:insideV w:val="nil"/>
            </w:tcBorders>
            <w:vAlign w:val="center"/>
          </w:tcPr>
          <w:p w14:paraId="657618DE">
            <w:pPr>
              <w:spacing w:before="0" w:after="0" w:line="240" w:lineRule="auto"/>
              <w:jc w:val="center"/>
            </w:pPr>
            <w:r>
              <w:rPr>
                <w:rFonts w:ascii="Times New Roman" w:hAnsi="Times New Roman"/>
                <w:b/>
                <w:i w:val="0"/>
                <w:sz w:val="15"/>
              </w:rPr>
              <w:t>P value</w:t>
            </w:r>
          </w:p>
        </w:tc>
      </w:tr>
      <w:tr w14:paraId="46563F36">
        <w:tblPrEx>
          <w:tblCellMar>
            <w:top w:w="0" w:type="dxa"/>
            <w:left w:w="108" w:type="dxa"/>
            <w:bottom w:w="0" w:type="dxa"/>
            <w:right w:w="108" w:type="dxa"/>
          </w:tblCellMar>
        </w:tblPrEx>
        <w:trPr>
          <w:cantSplit/>
        </w:trPr>
        <w:tc>
          <w:tcPr>
            <w:tcW w:w="2608" w:type="dxa"/>
            <w:tcBorders>
              <w:top w:val="nil"/>
              <w:left w:val="nil"/>
              <w:bottom w:val="nil"/>
              <w:right w:val="nil"/>
              <w:insideH w:val="nil"/>
              <w:insideV w:val="nil"/>
            </w:tcBorders>
            <w:vAlign w:val="center"/>
          </w:tcPr>
          <w:p w14:paraId="0AF68A1E">
            <w:pPr>
              <w:spacing w:before="0" w:after="0" w:line="240" w:lineRule="auto"/>
              <w:jc w:val="left"/>
            </w:pPr>
            <w:r>
              <w:rPr>
                <w:rFonts w:ascii="Times New Roman" w:hAnsi="Times New Roman"/>
                <w:b w:val="0"/>
                <w:i w:val="0"/>
                <w:sz w:val="15"/>
              </w:rPr>
              <w:t>SUA, per 1-SD increase</w:t>
            </w:r>
          </w:p>
        </w:tc>
        <w:tc>
          <w:tcPr>
            <w:tcW w:w="2948" w:type="dxa"/>
            <w:tcBorders>
              <w:top w:val="nil"/>
              <w:left w:val="nil"/>
              <w:bottom w:val="nil"/>
              <w:right w:val="nil"/>
              <w:insideH w:val="nil"/>
              <w:insideV w:val="nil"/>
            </w:tcBorders>
            <w:vAlign w:val="center"/>
          </w:tcPr>
          <w:p w14:paraId="459B4647">
            <w:pPr>
              <w:spacing w:before="0" w:after="0" w:line="240" w:lineRule="auto"/>
              <w:jc w:val="center"/>
            </w:pPr>
            <w:r>
              <w:rPr>
                <w:rFonts w:ascii="Times New Roman" w:hAnsi="Times New Roman"/>
                <w:b w:val="0"/>
                <w:i w:val="0"/>
                <w:sz w:val="15"/>
              </w:rPr>
              <w:t>1.90 (1.45 to 2.50)</w:t>
            </w:r>
          </w:p>
        </w:tc>
        <w:tc>
          <w:tcPr>
            <w:tcW w:w="1020" w:type="dxa"/>
            <w:tcBorders>
              <w:top w:val="nil"/>
              <w:left w:val="nil"/>
              <w:bottom w:val="nil"/>
              <w:right w:val="nil"/>
              <w:insideH w:val="nil"/>
              <w:insideV w:val="nil"/>
            </w:tcBorders>
            <w:vAlign w:val="center"/>
          </w:tcPr>
          <w:p w14:paraId="15D34F02">
            <w:pPr>
              <w:spacing w:before="0" w:after="0" w:line="240" w:lineRule="auto"/>
              <w:jc w:val="center"/>
            </w:pPr>
            <w:r>
              <w:rPr>
                <w:rFonts w:ascii="Times New Roman" w:hAnsi="Times New Roman"/>
                <w:b w:val="0"/>
                <w:i w:val="0"/>
                <w:sz w:val="15"/>
              </w:rPr>
              <w:t>&lt;0.001</w:t>
            </w:r>
          </w:p>
        </w:tc>
        <w:tc>
          <w:tcPr>
            <w:tcW w:w="2948" w:type="dxa"/>
            <w:tcBorders>
              <w:top w:val="nil"/>
              <w:left w:val="nil"/>
              <w:bottom w:val="nil"/>
              <w:right w:val="nil"/>
              <w:insideH w:val="nil"/>
              <w:insideV w:val="nil"/>
            </w:tcBorders>
            <w:vAlign w:val="center"/>
          </w:tcPr>
          <w:p w14:paraId="02116EE2">
            <w:pPr>
              <w:spacing w:before="0" w:after="0" w:line="240" w:lineRule="auto"/>
              <w:jc w:val="center"/>
            </w:pPr>
            <w:r>
              <w:rPr>
                <w:rFonts w:ascii="Times New Roman" w:hAnsi="Times New Roman"/>
                <w:b w:val="0"/>
                <w:i w:val="0"/>
                <w:sz w:val="15"/>
              </w:rPr>
              <w:t>1.92 (1.48 to 2.49)</w:t>
            </w:r>
          </w:p>
        </w:tc>
        <w:tc>
          <w:tcPr>
            <w:tcW w:w="1020" w:type="dxa"/>
            <w:tcBorders>
              <w:top w:val="nil"/>
              <w:left w:val="nil"/>
              <w:bottom w:val="nil"/>
              <w:right w:val="nil"/>
              <w:insideH w:val="nil"/>
              <w:insideV w:val="nil"/>
            </w:tcBorders>
            <w:vAlign w:val="center"/>
          </w:tcPr>
          <w:p w14:paraId="0B21D22D">
            <w:pPr>
              <w:spacing w:before="0" w:after="0" w:line="240" w:lineRule="auto"/>
              <w:jc w:val="center"/>
            </w:pPr>
            <w:r>
              <w:rPr>
                <w:rFonts w:ascii="Times New Roman" w:hAnsi="Times New Roman"/>
                <w:b w:val="0"/>
                <w:i w:val="0"/>
                <w:sz w:val="15"/>
              </w:rPr>
              <w:t>&lt;0.001</w:t>
            </w:r>
          </w:p>
        </w:tc>
        <w:tc>
          <w:tcPr>
            <w:tcW w:w="2948" w:type="dxa"/>
            <w:tcBorders>
              <w:top w:val="nil"/>
              <w:left w:val="nil"/>
              <w:bottom w:val="nil"/>
              <w:right w:val="nil"/>
              <w:insideH w:val="nil"/>
              <w:insideV w:val="nil"/>
            </w:tcBorders>
            <w:vAlign w:val="center"/>
          </w:tcPr>
          <w:p w14:paraId="6845C900">
            <w:pPr>
              <w:spacing w:before="0" w:after="0" w:line="240" w:lineRule="auto"/>
              <w:jc w:val="center"/>
            </w:pPr>
            <w:r>
              <w:rPr>
                <w:rFonts w:ascii="Times New Roman" w:hAnsi="Times New Roman"/>
                <w:b w:val="0"/>
                <w:i w:val="0"/>
                <w:sz w:val="15"/>
              </w:rPr>
              <w:t>1.83 (1.42 to 2.40)</w:t>
            </w:r>
          </w:p>
        </w:tc>
        <w:tc>
          <w:tcPr>
            <w:tcW w:w="1020" w:type="dxa"/>
            <w:tcBorders>
              <w:top w:val="nil"/>
              <w:left w:val="nil"/>
              <w:bottom w:val="nil"/>
              <w:right w:val="nil"/>
              <w:insideH w:val="nil"/>
              <w:insideV w:val="nil"/>
            </w:tcBorders>
            <w:vAlign w:val="center"/>
          </w:tcPr>
          <w:p w14:paraId="4294771B">
            <w:pPr>
              <w:spacing w:before="0" w:after="0" w:line="240" w:lineRule="auto"/>
              <w:jc w:val="center"/>
            </w:pPr>
            <w:r>
              <w:rPr>
                <w:rFonts w:ascii="Times New Roman" w:hAnsi="Times New Roman"/>
                <w:b w:val="0"/>
                <w:i w:val="0"/>
                <w:sz w:val="15"/>
              </w:rPr>
              <w:t>&lt;0.001</w:t>
            </w:r>
          </w:p>
        </w:tc>
      </w:tr>
      <w:tr w14:paraId="40ED3E38">
        <w:tblPrEx>
          <w:tblCellMar>
            <w:top w:w="0" w:type="dxa"/>
            <w:left w:w="108" w:type="dxa"/>
            <w:bottom w:w="0" w:type="dxa"/>
            <w:right w:w="108" w:type="dxa"/>
          </w:tblCellMar>
        </w:tblPrEx>
        <w:trPr>
          <w:cantSplit/>
        </w:trPr>
        <w:tc>
          <w:tcPr>
            <w:tcW w:w="2608" w:type="dxa"/>
            <w:tcBorders>
              <w:top w:val="nil"/>
              <w:left w:val="nil"/>
              <w:bottom w:val="nil"/>
              <w:right w:val="nil"/>
              <w:insideH w:val="nil"/>
              <w:insideV w:val="nil"/>
            </w:tcBorders>
            <w:vAlign w:val="center"/>
          </w:tcPr>
          <w:p w14:paraId="5F9A44C1">
            <w:pPr>
              <w:spacing w:before="0" w:after="0" w:line="240" w:lineRule="auto"/>
              <w:jc w:val="left"/>
            </w:pPr>
            <w:r>
              <w:rPr>
                <w:rFonts w:ascii="Times New Roman" w:hAnsi="Times New Roman"/>
                <w:b w:val="0"/>
                <w:i w:val="0"/>
                <w:sz w:val="15"/>
              </w:rPr>
              <w:t>eGFR, per 1-SD increase</w:t>
            </w:r>
          </w:p>
        </w:tc>
        <w:tc>
          <w:tcPr>
            <w:tcW w:w="2948" w:type="dxa"/>
            <w:tcBorders>
              <w:top w:val="nil"/>
              <w:left w:val="nil"/>
              <w:bottom w:val="nil"/>
              <w:right w:val="nil"/>
              <w:insideH w:val="nil"/>
              <w:insideV w:val="nil"/>
            </w:tcBorders>
            <w:vAlign w:val="center"/>
          </w:tcPr>
          <w:p w14:paraId="3D898BAF">
            <w:pPr>
              <w:spacing w:before="0" w:after="0" w:line="240" w:lineRule="auto"/>
              <w:jc w:val="center"/>
            </w:pPr>
            <w:r>
              <w:rPr>
                <w:rFonts w:ascii="Times New Roman" w:hAnsi="Times New Roman"/>
                <w:b w:val="0"/>
                <w:i w:val="0"/>
                <w:sz w:val="15"/>
              </w:rPr>
              <w:t>0.64 (0.49 to 0.83)</w:t>
            </w:r>
          </w:p>
        </w:tc>
        <w:tc>
          <w:tcPr>
            <w:tcW w:w="1020" w:type="dxa"/>
            <w:tcBorders>
              <w:top w:val="nil"/>
              <w:left w:val="nil"/>
              <w:bottom w:val="nil"/>
              <w:right w:val="nil"/>
              <w:insideH w:val="nil"/>
              <w:insideV w:val="nil"/>
            </w:tcBorders>
            <w:vAlign w:val="center"/>
          </w:tcPr>
          <w:p w14:paraId="5E02AAEE">
            <w:pPr>
              <w:spacing w:before="0" w:after="0" w:line="240" w:lineRule="auto"/>
              <w:jc w:val="center"/>
            </w:pPr>
            <w:r>
              <w:rPr>
                <w:rFonts w:ascii="Times New Roman" w:hAnsi="Times New Roman"/>
                <w:b w:val="0"/>
                <w:i w:val="0"/>
                <w:sz w:val="15"/>
              </w:rPr>
              <w:t>&lt;0.001</w:t>
            </w:r>
          </w:p>
        </w:tc>
        <w:tc>
          <w:tcPr>
            <w:tcW w:w="2948" w:type="dxa"/>
            <w:tcBorders>
              <w:top w:val="nil"/>
              <w:left w:val="nil"/>
              <w:bottom w:val="nil"/>
              <w:right w:val="nil"/>
              <w:insideH w:val="nil"/>
              <w:insideV w:val="nil"/>
            </w:tcBorders>
            <w:vAlign w:val="center"/>
          </w:tcPr>
          <w:p w14:paraId="41C466BB">
            <w:pPr>
              <w:spacing w:before="0" w:after="0" w:line="240" w:lineRule="auto"/>
              <w:jc w:val="center"/>
            </w:pPr>
            <w:r>
              <w:rPr>
                <w:rFonts w:ascii="Times New Roman" w:hAnsi="Times New Roman"/>
                <w:b w:val="0"/>
                <w:i w:val="0"/>
                <w:sz w:val="15"/>
              </w:rPr>
              <w:t>0.64 (0.49 to 0.83)</w:t>
            </w:r>
          </w:p>
        </w:tc>
        <w:tc>
          <w:tcPr>
            <w:tcW w:w="1020" w:type="dxa"/>
            <w:tcBorders>
              <w:top w:val="nil"/>
              <w:left w:val="nil"/>
              <w:bottom w:val="nil"/>
              <w:right w:val="nil"/>
              <w:insideH w:val="nil"/>
              <w:insideV w:val="nil"/>
            </w:tcBorders>
            <w:vAlign w:val="center"/>
          </w:tcPr>
          <w:p w14:paraId="7D38164D">
            <w:pPr>
              <w:spacing w:before="0" w:after="0" w:line="240" w:lineRule="auto"/>
              <w:jc w:val="center"/>
            </w:pPr>
            <w:r>
              <w:rPr>
                <w:rFonts w:ascii="Times New Roman" w:hAnsi="Times New Roman"/>
                <w:b w:val="0"/>
                <w:i w:val="0"/>
                <w:sz w:val="15"/>
              </w:rPr>
              <w:t>&lt;0.001</w:t>
            </w:r>
          </w:p>
        </w:tc>
        <w:tc>
          <w:tcPr>
            <w:tcW w:w="2948" w:type="dxa"/>
            <w:tcBorders>
              <w:top w:val="nil"/>
              <w:left w:val="nil"/>
              <w:bottom w:val="nil"/>
              <w:right w:val="nil"/>
              <w:insideH w:val="nil"/>
              <w:insideV w:val="nil"/>
            </w:tcBorders>
            <w:vAlign w:val="center"/>
          </w:tcPr>
          <w:p w14:paraId="3709A5EA">
            <w:pPr>
              <w:spacing w:before="0" w:after="0" w:line="240" w:lineRule="auto"/>
              <w:jc w:val="center"/>
            </w:pPr>
            <w:r>
              <w:rPr>
                <w:rFonts w:ascii="Times New Roman" w:hAnsi="Times New Roman"/>
                <w:b w:val="0"/>
                <w:i w:val="0"/>
                <w:sz w:val="15"/>
              </w:rPr>
              <w:t>0.65 (0.50 to 0.84)</w:t>
            </w:r>
          </w:p>
        </w:tc>
        <w:tc>
          <w:tcPr>
            <w:tcW w:w="1020" w:type="dxa"/>
            <w:tcBorders>
              <w:top w:val="nil"/>
              <w:left w:val="nil"/>
              <w:bottom w:val="nil"/>
              <w:right w:val="nil"/>
              <w:insideH w:val="nil"/>
              <w:insideV w:val="nil"/>
            </w:tcBorders>
            <w:vAlign w:val="center"/>
          </w:tcPr>
          <w:p w14:paraId="6C0AA23B">
            <w:pPr>
              <w:spacing w:before="0" w:after="0" w:line="240" w:lineRule="auto"/>
              <w:jc w:val="center"/>
            </w:pPr>
            <w:r>
              <w:rPr>
                <w:rFonts w:ascii="Times New Roman" w:hAnsi="Times New Roman"/>
                <w:b w:val="0"/>
                <w:i w:val="0"/>
                <w:sz w:val="15"/>
              </w:rPr>
              <w:t>&lt;0.001</w:t>
            </w:r>
          </w:p>
        </w:tc>
      </w:tr>
      <w:tr w14:paraId="2D216564">
        <w:tblPrEx>
          <w:tblCellMar>
            <w:top w:w="0" w:type="dxa"/>
            <w:left w:w="108" w:type="dxa"/>
            <w:bottom w:w="0" w:type="dxa"/>
            <w:right w:w="108" w:type="dxa"/>
          </w:tblCellMar>
        </w:tblPrEx>
        <w:trPr>
          <w:cantSplit/>
        </w:trPr>
        <w:tc>
          <w:tcPr>
            <w:tcW w:w="2608" w:type="dxa"/>
            <w:tcBorders>
              <w:top w:val="nil"/>
              <w:left w:val="nil"/>
              <w:bottom w:val="nil"/>
              <w:right w:val="nil"/>
              <w:insideH w:val="nil"/>
              <w:insideV w:val="nil"/>
            </w:tcBorders>
            <w:vAlign w:val="center"/>
          </w:tcPr>
          <w:p w14:paraId="4CF39DD9">
            <w:pPr>
              <w:spacing w:before="0" w:after="0" w:line="240" w:lineRule="auto"/>
              <w:jc w:val="left"/>
            </w:pPr>
            <w:r>
              <w:rPr>
                <w:rFonts w:ascii="Times New Roman" w:hAnsi="Times New Roman"/>
                <w:b w:val="0"/>
                <w:i w:val="0"/>
                <w:sz w:val="15"/>
              </w:rPr>
              <w:t>ODI, per 1-SD increase</w:t>
            </w:r>
          </w:p>
        </w:tc>
        <w:tc>
          <w:tcPr>
            <w:tcW w:w="2948" w:type="dxa"/>
            <w:tcBorders>
              <w:top w:val="nil"/>
              <w:left w:val="nil"/>
              <w:bottom w:val="nil"/>
              <w:right w:val="nil"/>
              <w:insideH w:val="nil"/>
              <w:insideV w:val="nil"/>
            </w:tcBorders>
            <w:vAlign w:val="center"/>
          </w:tcPr>
          <w:p w14:paraId="74E83000">
            <w:pPr>
              <w:spacing w:before="0" w:after="0" w:line="240" w:lineRule="auto"/>
              <w:jc w:val="center"/>
            </w:pPr>
            <w:r>
              <w:rPr>
                <w:rFonts w:ascii="Times New Roman" w:hAnsi="Times New Roman"/>
                <w:b w:val="0"/>
                <w:i w:val="0"/>
                <w:sz w:val="15"/>
              </w:rPr>
              <w:t>2.06 (1.54 to 2.74)</w:t>
            </w:r>
          </w:p>
        </w:tc>
        <w:tc>
          <w:tcPr>
            <w:tcW w:w="1020" w:type="dxa"/>
            <w:tcBorders>
              <w:top w:val="nil"/>
              <w:left w:val="nil"/>
              <w:bottom w:val="nil"/>
              <w:right w:val="nil"/>
              <w:insideH w:val="nil"/>
              <w:insideV w:val="nil"/>
            </w:tcBorders>
            <w:vAlign w:val="center"/>
          </w:tcPr>
          <w:p w14:paraId="1A6615A6">
            <w:pPr>
              <w:spacing w:before="0" w:after="0" w:line="240" w:lineRule="auto"/>
              <w:jc w:val="center"/>
            </w:pPr>
            <w:r>
              <w:rPr>
                <w:rFonts w:ascii="Times New Roman" w:hAnsi="Times New Roman"/>
                <w:b w:val="0"/>
                <w:i w:val="0"/>
                <w:sz w:val="15"/>
              </w:rPr>
              <w:t>&lt;0.001</w:t>
            </w:r>
          </w:p>
        </w:tc>
        <w:tc>
          <w:tcPr>
            <w:tcW w:w="2948" w:type="dxa"/>
            <w:tcBorders>
              <w:top w:val="nil"/>
              <w:left w:val="nil"/>
              <w:bottom w:val="nil"/>
              <w:right w:val="nil"/>
              <w:insideH w:val="nil"/>
              <w:insideV w:val="nil"/>
            </w:tcBorders>
            <w:vAlign w:val="center"/>
          </w:tcPr>
          <w:p w14:paraId="100B4B13">
            <w:pPr>
              <w:spacing w:before="0" w:after="0" w:line="240" w:lineRule="auto"/>
              <w:jc w:val="center"/>
            </w:pPr>
            <w:r>
              <w:rPr>
                <w:rFonts w:ascii="Times New Roman" w:hAnsi="Times New Roman"/>
                <w:b w:val="0"/>
                <w:i w:val="0"/>
                <w:sz w:val="15"/>
              </w:rPr>
              <w:t>1.97 (1.50 to 2.57)</w:t>
            </w:r>
          </w:p>
        </w:tc>
        <w:tc>
          <w:tcPr>
            <w:tcW w:w="1020" w:type="dxa"/>
            <w:tcBorders>
              <w:top w:val="nil"/>
              <w:left w:val="nil"/>
              <w:bottom w:val="nil"/>
              <w:right w:val="nil"/>
              <w:insideH w:val="nil"/>
              <w:insideV w:val="nil"/>
            </w:tcBorders>
            <w:vAlign w:val="center"/>
          </w:tcPr>
          <w:p w14:paraId="4451C721">
            <w:pPr>
              <w:spacing w:before="0" w:after="0" w:line="240" w:lineRule="auto"/>
              <w:jc w:val="center"/>
            </w:pPr>
            <w:r>
              <w:rPr>
                <w:rFonts w:ascii="Times New Roman" w:hAnsi="Times New Roman"/>
                <w:b w:val="0"/>
                <w:i w:val="0"/>
                <w:sz w:val="15"/>
              </w:rPr>
              <w:t>&lt;0.001</w:t>
            </w:r>
          </w:p>
        </w:tc>
        <w:tc>
          <w:tcPr>
            <w:tcW w:w="2948" w:type="dxa"/>
            <w:tcBorders>
              <w:top w:val="nil"/>
              <w:left w:val="nil"/>
              <w:bottom w:val="nil"/>
              <w:right w:val="nil"/>
              <w:insideH w:val="nil"/>
              <w:insideV w:val="nil"/>
            </w:tcBorders>
            <w:vAlign w:val="center"/>
          </w:tcPr>
          <w:p w14:paraId="5146DBBB">
            <w:pPr>
              <w:spacing w:before="0" w:after="0" w:line="240" w:lineRule="auto"/>
              <w:jc w:val="center"/>
            </w:pPr>
            <w:r>
              <w:rPr>
                <w:rFonts w:ascii="Times New Roman" w:hAnsi="Times New Roman"/>
                <w:b w:val="0"/>
                <w:i w:val="0"/>
                <w:sz w:val="15"/>
              </w:rPr>
              <w:t>1.98 (1.51 to 2.63)</w:t>
            </w:r>
          </w:p>
        </w:tc>
        <w:tc>
          <w:tcPr>
            <w:tcW w:w="1020" w:type="dxa"/>
            <w:tcBorders>
              <w:top w:val="nil"/>
              <w:left w:val="nil"/>
              <w:bottom w:val="nil"/>
              <w:right w:val="nil"/>
              <w:insideH w:val="nil"/>
              <w:insideV w:val="nil"/>
            </w:tcBorders>
            <w:vAlign w:val="center"/>
          </w:tcPr>
          <w:p w14:paraId="6C343D00">
            <w:pPr>
              <w:spacing w:before="0" w:after="0" w:line="240" w:lineRule="auto"/>
              <w:jc w:val="center"/>
            </w:pPr>
            <w:r>
              <w:rPr>
                <w:rFonts w:ascii="Times New Roman" w:hAnsi="Times New Roman"/>
                <w:b w:val="0"/>
                <w:i w:val="0"/>
                <w:sz w:val="15"/>
              </w:rPr>
              <w:t>&lt;0.001</w:t>
            </w:r>
          </w:p>
        </w:tc>
      </w:tr>
      <w:tr w14:paraId="79320440">
        <w:tblPrEx>
          <w:tblCellMar>
            <w:top w:w="0" w:type="dxa"/>
            <w:left w:w="108" w:type="dxa"/>
            <w:bottom w:w="0" w:type="dxa"/>
            <w:right w:w="108" w:type="dxa"/>
          </w:tblCellMar>
        </w:tblPrEx>
        <w:trPr>
          <w:cantSplit/>
        </w:trPr>
        <w:tc>
          <w:tcPr>
            <w:tcW w:w="2608" w:type="dxa"/>
            <w:tcBorders>
              <w:top w:val="nil"/>
              <w:left w:val="nil"/>
              <w:bottom w:val="single" w:color="000000" w:sz="12" w:space="0"/>
              <w:right w:val="nil"/>
              <w:insideH w:val="nil"/>
              <w:insideV w:val="nil"/>
            </w:tcBorders>
            <w:vAlign w:val="center"/>
          </w:tcPr>
          <w:p w14:paraId="716167EE">
            <w:pPr>
              <w:spacing w:before="0" w:after="0" w:line="240" w:lineRule="auto"/>
              <w:jc w:val="left"/>
            </w:pPr>
            <w:r>
              <w:rPr>
                <w:rFonts w:ascii="Times New Roman" w:hAnsi="Times New Roman"/>
                <w:b w:val="0"/>
                <w:i w:val="0"/>
                <w:sz w:val="15"/>
              </w:rPr>
              <w:t>Minimum SpO₂, per 1-SD increase</w:t>
            </w:r>
          </w:p>
        </w:tc>
        <w:tc>
          <w:tcPr>
            <w:tcW w:w="2948" w:type="dxa"/>
            <w:tcBorders>
              <w:top w:val="nil"/>
              <w:left w:val="nil"/>
              <w:bottom w:val="single" w:color="000000" w:sz="12" w:space="0"/>
              <w:right w:val="nil"/>
              <w:insideH w:val="nil"/>
              <w:insideV w:val="nil"/>
            </w:tcBorders>
            <w:vAlign w:val="center"/>
          </w:tcPr>
          <w:p w14:paraId="6A6418B6">
            <w:pPr>
              <w:spacing w:before="0" w:after="0" w:line="240" w:lineRule="auto"/>
              <w:jc w:val="center"/>
            </w:pPr>
            <w:r>
              <w:rPr>
                <w:rFonts w:ascii="Times New Roman" w:hAnsi="Times New Roman"/>
                <w:b w:val="0"/>
                <w:i w:val="0"/>
                <w:sz w:val="15"/>
              </w:rPr>
              <w:t>0.58 (0.44 to 0.76)</w:t>
            </w:r>
          </w:p>
        </w:tc>
        <w:tc>
          <w:tcPr>
            <w:tcW w:w="1020" w:type="dxa"/>
            <w:tcBorders>
              <w:top w:val="nil"/>
              <w:left w:val="nil"/>
              <w:bottom w:val="single" w:color="000000" w:sz="12" w:space="0"/>
              <w:right w:val="nil"/>
              <w:insideH w:val="nil"/>
              <w:insideV w:val="nil"/>
            </w:tcBorders>
            <w:vAlign w:val="center"/>
          </w:tcPr>
          <w:p w14:paraId="34D51F01">
            <w:pPr>
              <w:spacing w:before="0" w:after="0" w:line="240" w:lineRule="auto"/>
              <w:jc w:val="center"/>
            </w:pPr>
            <w:r>
              <w:rPr>
                <w:rFonts w:ascii="Times New Roman" w:hAnsi="Times New Roman"/>
                <w:b w:val="0"/>
                <w:i w:val="0"/>
                <w:sz w:val="15"/>
              </w:rPr>
              <w:t>&lt;0.001</w:t>
            </w:r>
          </w:p>
        </w:tc>
        <w:tc>
          <w:tcPr>
            <w:tcW w:w="2948" w:type="dxa"/>
            <w:tcBorders>
              <w:top w:val="nil"/>
              <w:left w:val="nil"/>
              <w:bottom w:val="single" w:color="000000" w:sz="12" w:space="0"/>
              <w:right w:val="nil"/>
              <w:insideH w:val="nil"/>
              <w:insideV w:val="nil"/>
            </w:tcBorders>
            <w:vAlign w:val="center"/>
          </w:tcPr>
          <w:p w14:paraId="4887D0C0">
            <w:pPr>
              <w:spacing w:before="0" w:after="0" w:line="240" w:lineRule="auto"/>
              <w:jc w:val="center"/>
            </w:pPr>
            <w:r>
              <w:rPr>
                <w:rFonts w:ascii="Times New Roman" w:hAnsi="Times New Roman"/>
                <w:b w:val="0"/>
                <w:i w:val="0"/>
                <w:sz w:val="15"/>
              </w:rPr>
              <w:t>0.58 (0.45 to 0.76)</w:t>
            </w:r>
          </w:p>
        </w:tc>
        <w:tc>
          <w:tcPr>
            <w:tcW w:w="1020" w:type="dxa"/>
            <w:tcBorders>
              <w:top w:val="nil"/>
              <w:left w:val="nil"/>
              <w:bottom w:val="single" w:color="000000" w:sz="12" w:space="0"/>
              <w:right w:val="nil"/>
              <w:insideH w:val="nil"/>
              <w:insideV w:val="nil"/>
            </w:tcBorders>
            <w:vAlign w:val="center"/>
          </w:tcPr>
          <w:p w14:paraId="329E6F24">
            <w:pPr>
              <w:spacing w:before="0" w:after="0" w:line="240" w:lineRule="auto"/>
              <w:jc w:val="center"/>
            </w:pPr>
            <w:r>
              <w:rPr>
                <w:rFonts w:ascii="Times New Roman" w:hAnsi="Times New Roman"/>
                <w:b w:val="0"/>
                <w:i w:val="0"/>
                <w:sz w:val="15"/>
              </w:rPr>
              <w:t>&lt;0.001</w:t>
            </w:r>
          </w:p>
        </w:tc>
        <w:tc>
          <w:tcPr>
            <w:tcW w:w="2948" w:type="dxa"/>
            <w:tcBorders>
              <w:top w:val="nil"/>
              <w:left w:val="nil"/>
              <w:bottom w:val="single" w:color="000000" w:sz="12" w:space="0"/>
              <w:right w:val="nil"/>
              <w:insideH w:val="nil"/>
              <w:insideV w:val="nil"/>
            </w:tcBorders>
            <w:vAlign w:val="center"/>
          </w:tcPr>
          <w:p w14:paraId="5A096B05">
            <w:pPr>
              <w:spacing w:before="0" w:after="0" w:line="240" w:lineRule="auto"/>
              <w:jc w:val="center"/>
            </w:pPr>
            <w:r>
              <w:rPr>
                <w:rFonts w:ascii="Times New Roman" w:hAnsi="Times New Roman"/>
                <w:b w:val="0"/>
                <w:i w:val="0"/>
                <w:sz w:val="15"/>
              </w:rPr>
              <w:t>0.60 (0.46 to 0.77)</w:t>
            </w:r>
          </w:p>
        </w:tc>
        <w:tc>
          <w:tcPr>
            <w:tcW w:w="1020" w:type="dxa"/>
            <w:tcBorders>
              <w:top w:val="nil"/>
              <w:left w:val="nil"/>
              <w:bottom w:val="single" w:color="000000" w:sz="12" w:space="0"/>
              <w:right w:val="nil"/>
              <w:insideH w:val="nil"/>
              <w:insideV w:val="nil"/>
            </w:tcBorders>
            <w:vAlign w:val="center"/>
          </w:tcPr>
          <w:p w14:paraId="4BDBE9DB">
            <w:pPr>
              <w:spacing w:before="0" w:after="0" w:line="240" w:lineRule="auto"/>
              <w:jc w:val="center"/>
            </w:pPr>
            <w:r>
              <w:rPr>
                <w:rFonts w:ascii="Times New Roman" w:hAnsi="Times New Roman"/>
                <w:b w:val="0"/>
                <w:i w:val="0"/>
                <w:sz w:val="15"/>
              </w:rPr>
              <w:t>&lt;0.001</w:t>
            </w:r>
          </w:p>
        </w:tc>
      </w:tr>
    </w:tbl>
    <w:p w14:paraId="09A2FE76">
      <w:pPr>
        <w:spacing w:before="80" w:after="0" w:line="240" w:lineRule="auto"/>
      </w:pPr>
      <w:r>
        <w:rPr>
          <w:rFonts w:ascii="Times New Roman" w:hAnsi="Times New Roman"/>
          <w:sz w:val="15"/>
        </w:rPr>
        <w:t>Notes: The outcome was physical frailty, defined as Fried phenotype score ≥3. Each clinical marker was evaluated in a separate logistic regression model and standardized per 1-SD increase: SUA, 70.9 μmol/L; eGFR, 10.7 mL/min/1.73 m²; ODI, 9.7 events/h; minimum SpO₂, 2.8 percentage points. The main fully adjusted model included age, sex, education, BMI, current smoking, current drinking, hypertension, diabetes, dyslipidemia, coronary heart disease, atrial fibrillation, previous stroke, admission NIHSS score, prestroke mRS score, urate-lowering medication, diuretic use, sedative-hypnotic use, and PHQ-9 score. The parsimonious model adjusted for age, sex, education, BMI, diabetes, previous stroke, admission NIHSS score, prestroke mRS score, and PHQ-9 score. The Firth model retained the full covariate set and used Firth penalized-likelihood logistic regression; confidence intervals and P values were obtained from the penalized profile likelihood. Abbreviations: BMI, body mass index; CI, confidence interval; eGFR, estimated glomerular filtration rate; FP, Fried phenotype; NIHSS, National Institutes of Health Stroke Scale; ODI, oxygen desaturation index; OR, odds ratio; PHQ-9, 9-item Patient Health Questionnaire; SpO₂, peripheral oxygen saturation; SUA, serum uric acid.</w:t>
      </w:r>
    </w:p>
    <w:sectPr>
      <w:pgSz w:w="16838" w:h="11906" w:orient="landscape"/>
      <w:pgMar w:top="652" w:right="680" w:bottom="652" w:left="680" w:header="227" w:footer="22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5A0171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17"/>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288</Words>
  <Characters>1671</Characters>
  <Lines>0</Lines>
  <Paragraphs>0</Paragraphs>
  <TotalTime>0</TotalTime>
  <ScaleCrop>false</ScaleCrop>
  <LinksUpToDate>false</LinksUpToDate>
  <CharactersWithSpaces>1922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chucheng</cp:lastModifiedBy>
  <dcterms:modified xsi:type="dcterms:W3CDTF">2026-08-17T02:23:49Z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D1C831FACBBB49E7A85386BF92F4964C_13</vt:lpwstr>
  </property>
</Properties>
</file>