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000000"/>
        </w:rPr>
      </w:pPr>
      <w:r w:rsidDel="00000000" w:rsidR="00000000" w:rsidRPr="00000000">
        <w:rPr>
          <w:color w:val="000000"/>
          <w:rtl w:val="0"/>
        </w:rPr>
        <w:t xml:space="preserve">Supplementary Appendix</w:t>
      </w:r>
    </w:p>
    <w:p w:rsidR="00000000" w:rsidDel="00000000" w:rsidP="00000000" w:rsidRDefault="00000000" w:rsidRPr="00000000" w14:paraId="00000002">
      <w:pPr>
        <w:pStyle w:val="Heading2"/>
        <w:rPr>
          <w:color w:val="000000"/>
        </w:rPr>
      </w:pPr>
      <w:r w:rsidDel="00000000" w:rsidR="00000000" w:rsidRPr="00000000">
        <w:rPr>
          <w:color w:val="000000"/>
          <w:rtl w:val="0"/>
        </w:rPr>
        <w:t xml:space="preserve">Scoping Review Protocol, Search Strategy, and Methodology for AI-Assisted Synthesis</w:t>
      </w:r>
    </w:p>
    <w:p w:rsidR="00000000" w:rsidDel="00000000" w:rsidP="00000000" w:rsidRDefault="00000000" w:rsidRPr="00000000" w14:paraId="00000003">
      <w:pPr>
        <w:rPr>
          <w:color w:val="000000"/>
        </w:rPr>
      </w:pPr>
      <w:r w:rsidDel="00000000" w:rsidR="00000000" w:rsidRPr="00000000">
        <w:rPr>
          <w:color w:val="000000"/>
          <w:rtl w:val="0"/>
        </w:rPr>
        <w:t xml:space="preserve">Manuscript: Telehealth Strategies for Outpatient Care Resilience During Extreme Weather: A Scoping Review and Conceptual Framework</w:t>
      </w:r>
    </w:p>
    <w:p w:rsidR="00000000" w:rsidDel="00000000" w:rsidP="00000000" w:rsidRDefault="00000000" w:rsidRPr="00000000" w14:paraId="00000004">
      <w:pPr>
        <w:rPr>
          <w:color w:val="000000"/>
        </w:rPr>
      </w:pPr>
      <w:r w:rsidDel="00000000" w:rsidR="00000000" w:rsidRPr="00000000">
        <w:rPr>
          <w:color w:val="000000"/>
          <w:rtl w:val="0"/>
        </w:rPr>
        <w:t xml:space="preserve">McDonald VF, Castro S Jr, Ferguson J, Schuttner L, Zulman DM.</w:t>
      </w:r>
    </w:p>
    <w:p w:rsidR="00000000" w:rsidDel="00000000" w:rsidP="00000000" w:rsidRDefault="00000000" w:rsidRPr="00000000" w14:paraId="00000005">
      <w:pPr>
        <w:rPr>
          <w:color w:val="000000"/>
        </w:rPr>
      </w:pPr>
      <w:r w:rsidDel="00000000" w:rsidR="00000000" w:rsidRPr="00000000">
        <w:rPr>
          <w:color w:val="000000"/>
          <w:rtl w:val="0"/>
        </w:rPr>
        <w:t xml:space="preserve">Version: Final protocol, prepared for submission as a supplementary appendix.</w:t>
      </w:r>
    </w:p>
    <w:p w:rsidR="00000000" w:rsidDel="00000000" w:rsidP="00000000" w:rsidRDefault="00000000" w:rsidRPr="00000000" w14:paraId="00000006">
      <w:pPr>
        <w:rPr>
          <w:color w:val="000000"/>
        </w:rPr>
      </w:pPr>
      <w:r w:rsidDel="00000000" w:rsidR="00000000" w:rsidRPr="00000000">
        <w:rPr>
          <w:color w:val="000000"/>
          <w:rtl w:val="0"/>
        </w:rPr>
        <w:t xml:space="preserve">Date of this version: July 24, 2026.</w:t>
      </w:r>
    </w:p>
    <w:p w:rsidR="00000000" w:rsidDel="00000000" w:rsidP="00000000" w:rsidRDefault="00000000" w:rsidRPr="00000000" w14:paraId="00000007">
      <w:pPr>
        <w:pStyle w:val="Heading1"/>
        <w:rPr>
          <w:color w:val="000000"/>
        </w:rPr>
      </w:pPr>
      <w:r w:rsidDel="00000000" w:rsidR="00000000" w:rsidRPr="00000000">
        <w:rPr>
          <w:color w:val="000000"/>
          <w:rtl w:val="0"/>
        </w:rPr>
        <w:t xml:space="preserve">Contents of this Appendix</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1. Scoping review protocol</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2. Information sources and database-specific search strategies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3. Study selection, data charting, and synthesis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4. Methodology for AI-assisted synthesis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5. PRISMA-ScR checklist mapping</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6. Deviations from the a priori protocol</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eAppendix 7. References cited in this appendix</w:t>
      </w:r>
    </w:p>
    <w:p w:rsidR="00000000" w:rsidDel="00000000" w:rsidP="00000000" w:rsidRDefault="00000000" w:rsidRPr="00000000" w14:paraId="0000000F">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rPr>
          <w:color w:val="000000"/>
        </w:rPr>
      </w:pPr>
      <w:r w:rsidDel="00000000" w:rsidR="00000000" w:rsidRPr="00000000">
        <w:rPr>
          <w:color w:val="000000"/>
          <w:rtl w:val="0"/>
        </w:rPr>
        <w:t xml:space="preserve">eAppendix 1. Scoping Review Protocol</w:t>
      </w:r>
    </w:p>
    <w:p w:rsidR="00000000" w:rsidDel="00000000" w:rsidP="00000000" w:rsidRDefault="00000000" w:rsidRPr="00000000" w14:paraId="00000011">
      <w:pPr>
        <w:pStyle w:val="Heading2"/>
        <w:rPr>
          <w:color w:val="000000"/>
        </w:rPr>
      </w:pPr>
      <w:r w:rsidDel="00000000" w:rsidR="00000000" w:rsidRPr="00000000">
        <w:rPr>
          <w:color w:val="000000"/>
          <w:rtl w:val="0"/>
        </w:rPr>
        <w:t xml:space="preserve">1.1 Rationale</w:t>
      </w:r>
    </w:p>
    <w:p w:rsidR="00000000" w:rsidDel="00000000" w:rsidP="00000000" w:rsidRDefault="00000000" w:rsidRPr="00000000" w14:paraId="00000012">
      <w:pPr>
        <w:rPr>
          <w:color w:val="000000"/>
        </w:rPr>
      </w:pPr>
      <w:r w:rsidDel="00000000" w:rsidR="00000000" w:rsidRPr="00000000">
        <w:rPr>
          <w:color w:val="000000"/>
          <w:rtl w:val="0"/>
        </w:rPr>
        <w:t xml:space="preserve">Extreme weather events including hurricanes, wildfires, floods, heat waves, winter storms, and tornadoes, are increasing in frequency and severity and pose growing risks to healthcare systems and patients. These events disrupt outpatient services, worsen chronic conditions, and amplify pre-existing medical and social vulnerabilities. Telehealth has emerged as a key strategy for maintaining care continuity when in-person visits are unsafe or infeasible yet is rarely incorporated into formal healthcare disaster preparedness guidance, and evidence on its ability to address system- or patient-level vulnerabilities and impacts remains fragmented. A scoping review was selected because the body of evidence is broad and methodologically diverse and because the review's primary aim is to map concepts (telehealth strategies, vulnerabilities, and impacts) and to identify knowledge gaps rather than to estimate an effect size.</w:t>
      </w:r>
    </w:p>
    <w:p w:rsidR="00000000" w:rsidDel="00000000" w:rsidP="00000000" w:rsidRDefault="00000000" w:rsidRPr="00000000" w14:paraId="00000013">
      <w:pPr>
        <w:pStyle w:val="Heading2"/>
        <w:rPr>
          <w:color w:val="000000"/>
        </w:rPr>
      </w:pPr>
      <w:r w:rsidDel="00000000" w:rsidR="00000000" w:rsidRPr="00000000">
        <w:rPr>
          <w:color w:val="000000"/>
          <w:rtl w:val="0"/>
        </w:rPr>
        <w:t xml:space="preserve">1.2 Review questions and objectives</w:t>
      </w:r>
    </w:p>
    <w:p w:rsidR="00000000" w:rsidDel="00000000" w:rsidP="00000000" w:rsidRDefault="00000000" w:rsidRPr="00000000" w14:paraId="00000014">
      <w:pPr>
        <w:rPr>
          <w:color w:val="000000"/>
        </w:rPr>
      </w:pPr>
      <w:r w:rsidDel="00000000" w:rsidR="00000000" w:rsidRPr="00000000">
        <w:rPr>
          <w:color w:val="000000"/>
          <w:rtl w:val="0"/>
        </w:rPr>
        <w:t xml:space="preserve">Primary review question: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is telehealth used by outpatient health systems to deliver routine outpati</w:t>
      </w:r>
      <w:r w:rsidDel="00000000" w:rsidR="00000000" w:rsidRPr="00000000">
        <w:rPr>
          <w:rtl w:val="0"/>
        </w:rPr>
        <w:t xml:space="preserve">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 urgent care during extreme weather events?</w:t>
      </w:r>
    </w:p>
    <w:p w:rsidR="00000000" w:rsidDel="00000000" w:rsidP="00000000" w:rsidRDefault="00000000" w:rsidRPr="00000000" w14:paraId="00000016">
      <w:pPr>
        <w:rPr>
          <w:color w:val="000000"/>
        </w:rPr>
      </w:pPr>
      <w:r w:rsidDel="00000000" w:rsidR="00000000" w:rsidRPr="00000000">
        <w:rPr>
          <w:color w:val="000000"/>
          <w:rtl w:val="0"/>
        </w:rPr>
        <w:t xml:space="preserve">Sub-questions: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Which extreme weather event types are represented in the literature, and in what clinical and geographic contexts?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Which telehealth technologies and strategies have been deployed in extreme weather settings?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Which health system vulnerabilities and impacts, and which individual patient vulnerabilities and impacts, are addressed by each telehealth technology or strategy?</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Where are the gaps (vulnerabilities or impacts for which no documented telehealth strategy exists) that point to opportunities for future research and implementation?</w:t>
      </w:r>
    </w:p>
    <w:p w:rsidR="00000000" w:rsidDel="00000000" w:rsidP="00000000" w:rsidRDefault="00000000" w:rsidRPr="00000000" w14:paraId="0000001B">
      <w:pPr>
        <w:pStyle w:val="Heading2"/>
        <w:rPr>
          <w:color w:val="000000"/>
        </w:rPr>
      </w:pPr>
      <w:r w:rsidDel="00000000" w:rsidR="00000000" w:rsidRPr="00000000">
        <w:rPr>
          <w:color w:val="000000"/>
          <w:rtl w:val="0"/>
        </w:rPr>
        <w:t xml:space="preserve">1.3 Eligibility criteria: Population, Concept, Context (PCC)</w:t>
      </w:r>
    </w:p>
    <w:p w:rsidR="00000000" w:rsidDel="00000000" w:rsidP="00000000" w:rsidRDefault="00000000" w:rsidRPr="00000000" w14:paraId="0000001C">
      <w:pPr>
        <w:rPr>
          <w:b w:val="1"/>
          <w:bCs w:val="1"/>
          <w:color w:val="000000"/>
        </w:rPr>
      </w:pPr>
      <w:r w:rsidDel="00000000" w:rsidR="00000000" w:rsidRPr="00000000">
        <w:rPr>
          <w:b w:val="1"/>
          <w:bCs w:val="1"/>
          <w:color w:val="000000"/>
          <w:rtl w:val="0"/>
        </w:rPr>
        <w:t xml:space="preserve">eTable 1. PCC framework used to define eligibility for the scoping review.</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7560"/>
        <w:tblGridChange w:id="0">
          <w:tblGrid>
            <w:gridCol w:w="1800"/>
            <w:gridCol w:w="7560"/>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1D">
            <w:pPr>
              <w:spacing w:line="240" w:lineRule="auto"/>
              <w:rPr>
                <w:color w:val="ffffff"/>
              </w:rPr>
            </w:pPr>
            <w:r w:rsidDel="00000000" w:rsidR="00000000" w:rsidRPr="00000000">
              <w:rPr>
                <w:color w:val="ffffff"/>
                <w:rtl w:val="0"/>
              </w:rPr>
              <w:t xml:space="preserve">PCC element</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1E">
            <w:pPr>
              <w:spacing w:line="240" w:lineRule="auto"/>
              <w:rPr>
                <w:color w:val="ffffff"/>
              </w:rPr>
            </w:pPr>
            <w:r w:rsidDel="00000000" w:rsidR="00000000" w:rsidRPr="00000000">
              <w:rPr>
                <w:color w:val="ffffff"/>
                <w:rtl w:val="0"/>
              </w:rPr>
              <w:t xml:space="preserve">Definition for this review</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1F">
            <w:pPr>
              <w:spacing w:line="240" w:lineRule="auto"/>
              <w:rPr>
                <w:color w:val="000000"/>
              </w:rPr>
            </w:pPr>
            <w:r w:rsidDel="00000000" w:rsidR="00000000" w:rsidRPr="00000000">
              <w:rPr>
                <w:color w:val="000000"/>
                <w:rtl w:val="0"/>
              </w:rPr>
              <w:t xml:space="preserve">Population</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20">
            <w:pPr>
              <w:spacing w:line="240" w:lineRule="auto"/>
              <w:rPr>
                <w:color w:val="000000"/>
              </w:rPr>
            </w:pPr>
            <w:sdt>
              <w:sdtPr>
                <w:id w:val="-1112695992"/>
                <w:tag w:val="goog_rdk_0"/>
              </w:sdtPr>
              <w:sdtContent>
                <w:r w:rsidDel="00000000" w:rsidR="00000000" w:rsidRPr="00000000">
                  <w:rPr>
                    <w:rFonts w:ascii="Gungsuh" w:cs="Gungsuh" w:eastAsia="Gungsuh" w:hAnsi="Gungsuh"/>
                    <w:color w:val="000000"/>
                    <w:rtl w:val="0"/>
                  </w:rPr>
                  <w:t xml:space="preserve">Adult patients (≥18 years) receiving care from healthcare systems delivering routine and/or urgent outpatient services. Studies of mixed adult/pediatric populations were eligible; pediatric-only studies were excluded.</w:t>
                </w:r>
              </w:sdtContent>
            </w:sdt>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21">
            <w:pPr>
              <w:spacing w:line="240" w:lineRule="auto"/>
              <w:rPr>
                <w:color w:val="000000"/>
              </w:rPr>
            </w:pPr>
            <w:r w:rsidDel="00000000" w:rsidR="00000000" w:rsidRPr="00000000">
              <w:rPr>
                <w:color w:val="000000"/>
                <w:rtl w:val="0"/>
              </w:rPr>
              <w:t xml:space="preserve">Concept</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22">
            <w:pPr>
              <w:spacing w:line="240" w:lineRule="auto"/>
              <w:rPr>
                <w:color w:val="000000"/>
              </w:rPr>
            </w:pPr>
            <w:r w:rsidDel="00000000" w:rsidR="00000000" w:rsidRPr="00000000">
              <w:rPr>
                <w:color w:val="000000"/>
                <w:rtl w:val="0"/>
              </w:rPr>
              <w:t xml:space="preserve">Telehealth, telemedicine, mobile health (mHealth), or digital health, defined as electronic technologies used to deliver healthcare services or information remotely. Examples include synchronous phone or video visits, asynchronous patient portal messaging, e-consults, direct-to-consumer (DTC)/tele-urgent care platforms, remote patient monitoring, EHR-enabled outreach, shelter telemedicine, and wearables.</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23">
            <w:pPr>
              <w:spacing w:line="240" w:lineRule="auto"/>
              <w:rPr>
                <w:color w:val="000000"/>
              </w:rPr>
            </w:pPr>
            <w:r w:rsidDel="00000000" w:rsidR="00000000" w:rsidRPr="00000000">
              <w:rPr>
                <w:color w:val="000000"/>
                <w:rtl w:val="0"/>
              </w:rPr>
              <w:t xml:space="preserve">Context</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24">
            <w:pPr>
              <w:spacing w:line="240" w:lineRule="auto"/>
              <w:rPr>
                <w:color w:val="000000"/>
              </w:rPr>
            </w:pPr>
            <w:r w:rsidDel="00000000" w:rsidR="00000000" w:rsidRPr="00000000">
              <w:rPr>
                <w:color w:val="000000"/>
                <w:rtl w:val="0"/>
              </w:rPr>
              <w:t xml:space="preserve">Extreme weather events occurring during or in the recovery period following the event, including hurricanes/cyclones, wildfires, floods, tornadoes, heat waves, winter storms (blizzards, ice storms, heavy snowfall), and droughts. Non-weather disasters (pandemics, earthquakes, mass-casualty events) were excluded.</w:t>
            </w:r>
          </w:p>
        </w:tc>
      </w:tr>
    </w:tbl>
    <w:p w:rsidR="00000000" w:rsidDel="00000000" w:rsidP="00000000" w:rsidRDefault="00000000" w:rsidRPr="00000000" w14:paraId="00000025">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1.3.1 Inclusion criteria</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Article addresses telehealth or virtual care interventions delivered to outpatients.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Article addresses care delivery during, or in the recovery period following, an extreme weather event (defined above).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Setting is a health care system providing routine and/or urgent outpatient care.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Article reports peer-reviewed primary research (quantitative, qualitative, or mixed methods), a systematic or scoping review, or a case study/case series.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Publication date January 1, 2000 through August 31, 2025.</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Published in English.</w:t>
      </w:r>
    </w:p>
    <w:p w:rsidR="00000000" w:rsidDel="00000000" w:rsidP="00000000" w:rsidRDefault="00000000" w:rsidRPr="00000000" w14:paraId="0000002C">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1.3.2 Exclusion criteria</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Single clinic without integration into a larger healthcare system.</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Emergency department, inpatient, or pre-hospital care without discussion of outpatient/urgent care.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Third-party (non-health-system) disaster relief without discussion of health-system–delivered care.</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Pediatric-only populations.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extreme weather event described, or the event described falls outside the pre-specified list (e.g., disasters including pandemic, earthquake, mass-casualty event, geopolitical conflict).</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telehealth or digital health intervention described.</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Article is a protocol, editorial, commentary, letter, or conference abstract.</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Non-English publication.</w:t>
      </w:r>
    </w:p>
    <w:p w:rsidR="00000000" w:rsidDel="00000000" w:rsidP="00000000" w:rsidRDefault="00000000" w:rsidRPr="00000000" w14:paraId="00000035">
      <w:pPr>
        <w:pStyle w:val="Heading2"/>
        <w:rPr>
          <w:color w:val="000000"/>
        </w:rPr>
      </w:pPr>
      <w:r w:rsidDel="00000000" w:rsidR="00000000" w:rsidRPr="00000000">
        <w:rPr>
          <w:color w:val="000000"/>
          <w:rtl w:val="0"/>
        </w:rPr>
        <w:t xml:space="preserve">1.4 Protocol registration and reporting standards</w:t>
      </w:r>
    </w:p>
    <w:p w:rsidR="00000000" w:rsidDel="00000000" w:rsidP="00000000" w:rsidRDefault="00000000" w:rsidRPr="00000000" w14:paraId="00000036">
      <w:pPr>
        <w:rPr>
          <w:color w:val="000000"/>
        </w:rPr>
      </w:pPr>
      <w:r w:rsidDel="00000000" w:rsidR="00000000" w:rsidRPr="00000000">
        <w:rPr>
          <w:color w:val="000000"/>
          <w:rtl w:val="0"/>
        </w:rPr>
        <w:t xml:space="preserve">The protocol was developed a priori by the study team in consultation with a research-services librarian. Reporting follows the Preferred Reporting Items for Systematic Reviews and Meta-Analyses extension for Scoping Reviews (PRISMA-ScR), with search reporting aligned to the PRISMA Literature Search Extension (PRISMA-S) and the flow diagram drawn from PRISMA 2020 (Tricco, 2018; Page, 2021).</w:t>
      </w:r>
    </w:p>
    <w:p w:rsidR="00000000" w:rsidDel="00000000" w:rsidP="00000000" w:rsidRDefault="00000000" w:rsidRPr="00000000" w14:paraId="00000037">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color w:val="000000"/>
        </w:rPr>
      </w:pPr>
      <w:r w:rsidDel="00000000" w:rsidR="00000000" w:rsidRPr="00000000">
        <w:rPr>
          <w:color w:val="000000"/>
          <w:rtl w:val="0"/>
        </w:rPr>
        <w:t xml:space="preserve">eAppendix 2. Information Sources and Search Strategy</w:t>
      </w:r>
    </w:p>
    <w:p w:rsidR="00000000" w:rsidDel="00000000" w:rsidP="00000000" w:rsidRDefault="00000000" w:rsidRPr="00000000" w14:paraId="00000039">
      <w:pPr>
        <w:pStyle w:val="Heading2"/>
        <w:rPr>
          <w:color w:val="000000"/>
        </w:rPr>
      </w:pPr>
      <w:r w:rsidDel="00000000" w:rsidR="00000000" w:rsidRPr="00000000">
        <w:rPr>
          <w:color w:val="000000"/>
          <w:rtl w:val="0"/>
        </w:rPr>
        <w:t xml:space="preserve">2.1 Information sources</w:t>
      </w:r>
    </w:p>
    <w:p w:rsidR="00000000" w:rsidDel="00000000" w:rsidP="00000000" w:rsidRDefault="00000000" w:rsidRPr="00000000" w14:paraId="0000003A">
      <w:pPr>
        <w:rPr>
          <w:color w:val="000000"/>
        </w:rPr>
      </w:pPr>
      <w:r w:rsidDel="00000000" w:rsidR="00000000" w:rsidRPr="00000000">
        <w:rPr>
          <w:color w:val="000000"/>
          <w:rtl w:val="0"/>
        </w:rPr>
        <w:t xml:space="preserve">We searched three bibliographic databases identified, in consultation with a research-services librarian at the Stanford University Lane Medical Library, as those most likely to capture relevant biomedical, health-services-research, and disaster-medicine literature on telehealth and extreme weather:</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PubMed/MEDLINE (National Library of Medicine)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Embase (Elsevier)</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Cochrane Library: Cochrane Database of Systematic Reviews (CDSR), Cochrane Central Register of Controlled Trials (CENTRAL), and Cochrane protocols</w:t>
      </w:r>
    </w:p>
    <w:p w:rsidR="00000000" w:rsidDel="00000000" w:rsidP="00000000" w:rsidRDefault="00000000" w:rsidRPr="00000000" w14:paraId="0000003E">
      <w:pPr>
        <w:rPr>
          <w:color w:val="000000"/>
        </w:rPr>
      </w:pPr>
      <w:r w:rsidDel="00000000" w:rsidR="00000000" w:rsidRPr="00000000">
        <w:rPr>
          <w:color w:val="000000"/>
          <w:rtl w:val="0"/>
        </w:rPr>
        <w:t xml:space="preserve">In addition to database searches, we hand-searched the reference lists of all articles reviewed in the full-text review to identify additional eligible studies. No grey-literature databases were searched. No date restriction beyond the pre-specified 2000–2025 window was applied. Searches were limited to English-language records to match the language capabilities of the review team.</w:t>
      </w:r>
    </w:p>
    <w:p w:rsidR="00000000" w:rsidDel="00000000" w:rsidP="00000000" w:rsidRDefault="00000000" w:rsidRPr="00000000" w14:paraId="0000003F">
      <w:pPr>
        <w:pStyle w:val="Heading2"/>
        <w:rPr>
          <w:color w:val="000000"/>
        </w:rPr>
      </w:pPr>
      <w:r w:rsidDel="00000000" w:rsidR="00000000" w:rsidRPr="00000000">
        <w:rPr>
          <w:color w:val="000000"/>
          <w:rtl w:val="0"/>
        </w:rPr>
        <w:t xml:space="preserve">2.2 Search strategy development</w:t>
      </w:r>
    </w:p>
    <w:p w:rsidR="00000000" w:rsidDel="00000000" w:rsidP="00000000" w:rsidRDefault="00000000" w:rsidRPr="00000000" w14:paraId="00000040">
      <w:pPr>
        <w:rPr>
          <w:color w:val="000000"/>
        </w:rPr>
      </w:pPr>
      <w:r w:rsidDel="00000000" w:rsidR="00000000" w:rsidRPr="00000000">
        <w:rPr>
          <w:color w:val="000000"/>
          <w:rtl w:val="0"/>
        </w:rPr>
        <w:t xml:space="preserve">The search strategy was developed by V.M. in iterative consultation with D.Z., J.F., and a research-services librarian. An initial pilot search identified several known seminal articles (Vo et al. 2010; Uscher-Pines et al. 2018; Der-Martirosian et al. 2019; Baek et al. 2021) and was refined to ensure each was retrieved. Concept terms were translated across databases using controlled vocabulary (MeSH for PubMed, Emtree for Embase) supplemented by free-text title, abstract, and keyword fields. The search was constructed around two concept blocks combined with AND: (1) telehealth/digital health, and (2) extreme weather/natural disaster. Filters limited the search to humans, English language, publication dates 2000–2025, and study designs eligible per the protocol (excluding editorials and comments).</w:t>
      </w:r>
    </w:p>
    <w:p w:rsidR="00000000" w:rsidDel="00000000" w:rsidP="00000000" w:rsidRDefault="00000000" w:rsidRPr="00000000" w14:paraId="00000041">
      <w:pPr>
        <w:pStyle w:val="Heading2"/>
        <w:rPr>
          <w:color w:val="000000"/>
        </w:rPr>
      </w:pPr>
      <w:r w:rsidDel="00000000" w:rsidR="00000000" w:rsidRPr="00000000">
        <w:rPr>
          <w:color w:val="000000"/>
          <w:rtl w:val="0"/>
        </w:rPr>
        <w:t xml:space="preserve">2.3 Database-specific search strategies</w:t>
      </w:r>
    </w:p>
    <w:p w:rsidR="00000000" w:rsidDel="00000000" w:rsidP="00000000" w:rsidRDefault="00000000" w:rsidRPr="00000000" w14:paraId="00000042">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2.3.1 PubMed/MEDLINE full search string</w:t>
      </w:r>
    </w:p>
    <w:p w:rsidR="00000000" w:rsidDel="00000000" w:rsidP="00000000" w:rsidRDefault="00000000" w:rsidRPr="00000000" w14:paraId="00000043">
      <w:pPr>
        <w:rPr>
          <w:color w:val="000000"/>
        </w:rPr>
      </w:pPr>
      <w:r w:rsidDel="00000000" w:rsidR="00000000" w:rsidRPr="00000000">
        <w:rPr>
          <w:color w:val="000000"/>
          <w:rtl w:val="0"/>
        </w:rPr>
        <w:t xml:space="preserve">(("Telemedicine"[MeSH Terms] OR ("VA Video Connect"[Text Word] OR "video visit*"[Text Word] OR "Telemedicine"[Text Word] OR "tele medicine"[Text Word] OR "telehealth"[Text Word] OR "tele health"[Text Word] OR "telecare"[Text Word] OR "tele care"[Text Word] OR "virtual house call*"[Text Word] OR "virtual visit*"[Text Word] OR "telemonitor*"[Text Word] OR "tele monitor*"[Text Word] OR "remote care"[Text Word] OR "virtual care"[Text Word] OR "telenursing"[Text Word] OR "tele nursing"[Text Word] OR "TelePharmacy"[Text Word] OR "Tele Primary Care"[Text Word] OR "telereferral*"[Text Word] OR "tele referral*"[Text Word] OR "e-Health"[Text Word] OR "eHealth"[Text Word] OR "remote consultation*"[Text Word] OR "teleconsultat*"[Text Word] OR "tele consult*"[Text Word] OR "remote monitoring"[Text Word] OR "mobile health"[Text Word] OR "mHealth"[Text Word] OR "online medical consultation*"[Text Word] OR "digital health"[Text Word] OR "patient portal*"[Text Word])) AND ("extreme weather"[MeSH Terms] OR "Natural Disasters"[MeSH Terms] OR "Snow"[MeSH Terms] OR ("heat wave"[Text Word] OR "extreme precipitation"[Text Word] OR "heat storm"[Text Word] OR "cold wave"[Text Word] OR "ice storm"[Text Word] OR "snow storm"[Text Word] OR "extreme weather"[Text Word] OR "extreme heat"[Text Word] OR "extreme cold"[Text Word] OR "natural disaster*"[Text Word] OR "climate disaster"[Text Word] OR "cyclon*"[Text Word] OR "drought*"[Text Word] OR "tornado*"[Text Word] OR "disaster medicine"[Text Word] OR "hurricane*"[Text Word] OR "flood*"[Text Word] OR "fire*"[Text Word] OR "storm*"[Text Word] OR "blizzard*"[Text Word] OR "Snow"[Text Word] OR "ice"[Text Word]))) AND (2000:2025[pdat])</w:t>
      </w:r>
    </w:p>
    <w:p w:rsidR="00000000" w:rsidDel="00000000" w:rsidP="00000000" w:rsidRDefault="00000000" w:rsidRPr="00000000" w14:paraId="00000044">
      <w:pPr>
        <w:rPr>
          <w:color w:val="000000"/>
        </w:rPr>
      </w:pPr>
      <w:r w:rsidDel="00000000" w:rsidR="00000000" w:rsidRPr="00000000">
        <w:rPr>
          <w:color w:val="000000"/>
          <w:rtl w:val="0"/>
        </w:rPr>
        <w:t xml:space="preserve">Filters applied: Humans; English language; Publication date 2000/01/01–2025/07/18; Article types limited to original research and review designs (Adaptive Clinical Trial, Case Reports, Classical Article, Clinical Study, Clinical Trial and all sub-types, Comparative Study, Controlled Clinical Trial, Corrected and Republished Article, Equivalence Trial, Evaluation Study, Meta-Analysis, Multicenter Study, Network Meta-Analysis, Observational Study, Pragmatic Clinical Trial, Randomized Controlled Trial, Review, Scoping Review, Systematic Review, Validation Study).</w:t>
      </w:r>
    </w:p>
    <w:p w:rsidR="00000000" w:rsidDel="00000000" w:rsidP="00000000" w:rsidRDefault="00000000" w:rsidRPr="00000000" w14:paraId="00000045">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2.3.2 Embase full search string</w:t>
      </w:r>
    </w:p>
    <w:p w:rsidR="00000000" w:rsidDel="00000000" w:rsidP="00000000" w:rsidRDefault="00000000" w:rsidRPr="00000000" w14:paraId="00000046">
      <w:pPr>
        <w:rPr>
          <w:color w:val="000000"/>
        </w:rPr>
      </w:pPr>
      <w:r w:rsidDel="00000000" w:rsidR="00000000" w:rsidRPr="00000000">
        <w:rPr>
          <w:color w:val="000000"/>
          <w:rtl w:val="0"/>
        </w:rPr>
        <w:t xml:space="preserve">('telemedicine'/exp OR 'va video connect':ti,ab,kw OR 'video visit*':ti,ab,kw OR 'telemedicine':ti,ab,kw OR 'tele medicine':ti,ab,kw OR 'telehealth':ti,ab,kw OR 'tele health':ti,ab,kw OR 'telecare':ti,ab,kw OR 'tele care':ti,ab,kw OR 'virtual house call*':ti,ab,kw OR 'virtual visit*':ti,ab,kw OR 'telemonitor*':ti,ab,kw OR 'tele monitor*':ti,ab,kw OR 'remote care':ti,ab,kw OR 'virtual care':ti,ab,kw OR 'telenursing':ti,ab,kw OR 'tele nursing':ti,ab,kw OR 'telepharmacy':ti,ab,kw OR 'tele primary care':ti,ab,kw OR 'telereferral*':ti,ab,kw OR 'tele referral*':ti,ab,kw OR 'e-health':ti,ab,kw OR 'ehealth':ti,ab,kw OR 'remote consultation*':ti,ab,kw OR 'teleconsultat*':ti,ab,kw OR 'tele consult*':ti,ab,kw OR 'remote monitoring':ti,ab,kw OR 'mobile health':ti,ab,kw OR 'mhealth':ti,ab,kw OR 'online medical consultation*':ti,ab,kw OR 'digital health':ti,ab,kw OR 'patient portal*':ti,ab,kw) AND ('extreme weather'/exp OR 'natural disaster'/exp OR 'snow'/exp OR 'heat wave':ti,ab,kw OR 'extreme precipitation':ti,ab,kw OR 'heat storm':ti,ab,kw OR 'cold wave':ti,ab,kw OR 'ice storm':ti,ab,kw OR 'snow storm':ti,ab,kw OR 'extreme weather':ti,ab,kw OR 'extreme heat':ti,ab,kw OR 'extreme cold':ti,ab,kw OR 'natural disaster*':ti,ab,kw OR 'climate disaster':ti,ab,kw OR 'cyclon*':ti,ab,kw OR 'drought*':ti,ab,kw OR 'tornado*':ti,ab,kw OR 'disaster medicine':ti,ab,kw OR 'hurricane*':ti,ab,kw OR 'flood*':ti,ab,kw OR 'fire*':ti,ab,kw OR 'storm*':ti,ab,kw OR 'blizzard*':ti,ab,kw OR 'snow':ti,ab,kw OR 'ice':ti,ab,kw) AND ('article'/it OR 'article in press'/it OR 'review'/it) AND [2000-2025]/py</w:t>
      </w:r>
    </w:p>
    <w:p w:rsidR="00000000" w:rsidDel="00000000" w:rsidP="00000000" w:rsidRDefault="00000000" w:rsidRPr="00000000" w14:paraId="00000047">
      <w:pPr>
        <w:rPr>
          <w:color w:val="000000"/>
        </w:rPr>
      </w:pPr>
      <w:r w:rsidDel="00000000" w:rsidR="00000000" w:rsidRPr="00000000">
        <w:rPr>
          <w:color w:val="000000"/>
          <w:rtl w:val="0"/>
        </w:rPr>
        <w:t xml:space="preserve">Filters applied: Article, Article-in-press, or Review item types; publication years 2000–2025.</w:t>
      </w:r>
    </w:p>
    <w:p w:rsidR="00000000" w:rsidDel="00000000" w:rsidP="00000000" w:rsidRDefault="00000000" w:rsidRPr="00000000" w14:paraId="00000048">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2.3.3 Cochrane Library full search string</w:t>
      </w:r>
    </w:p>
    <w:p w:rsidR="00000000" w:rsidDel="00000000" w:rsidP="00000000" w:rsidRDefault="00000000" w:rsidRPr="00000000" w14:paraId="00000049">
      <w:pPr>
        <w:rPr>
          <w:color w:val="000000"/>
        </w:rPr>
      </w:pPr>
      <w:r w:rsidDel="00000000" w:rsidR="00000000" w:rsidRPr="00000000">
        <w:rPr>
          <w:color w:val="000000"/>
          <w:rtl w:val="0"/>
        </w:rPr>
        <w:t xml:space="preserve">("va video connect" OR "video visit" OR "telemedicine" OR "tele medicine" OR "telehealth" OR "tele health" OR "telecare" OR "tele care" OR "virtual house call" OR "virtual visit" OR "telemonitor" OR "tele monitor" OR "remote care" OR "virtual care" OR "telenursing" OR "tele nursing" OR "telepharmacy" OR "tele primary care" OR "telereferral" OR "tele referral" OR "e-health" OR "ehealth" OR "remote consult" OR "teleconsult" OR "tele consult" OR "remote monitoring" OR "mobile health" OR "mhealth" OR "online medical consultation" OR "digital health" OR "patient portal"):ti,ab,kw AND ("heat wave" OR "extreme precipitation" OR "heat storm" OR "cold wave" OR "ice storm" OR "snow storm" OR "extreme weather" OR "extreme heat" OR "extreme cold" OR "natural disaster" OR "climate disaster" OR "cyclone" OR "drought" OR "tornado" OR "disaster medicine" OR "hurricane" OR "flood" OR "fire" OR "storm" OR "blizzard" OR "snow" OR "ice"):ti,ab,kw</w:t>
      </w:r>
    </w:p>
    <w:p w:rsidR="00000000" w:rsidDel="00000000" w:rsidP="00000000" w:rsidRDefault="00000000" w:rsidRPr="00000000" w14:paraId="0000004A">
      <w:pPr>
        <w:rPr>
          <w:color w:val="000000"/>
        </w:rPr>
      </w:pPr>
      <w:r w:rsidDel="00000000" w:rsidR="00000000" w:rsidRPr="00000000">
        <w:rPr>
          <w:color w:val="000000"/>
          <w:rtl w:val="0"/>
        </w:rPr>
        <w:t xml:space="preserve">Field codes: title, abstract, keywords (:ti,ab,kw). All Cochrane Library segments included (CDSR, CENTRAL, protocols).</w:t>
      </w:r>
    </w:p>
    <w:p w:rsidR="00000000" w:rsidDel="00000000" w:rsidP="00000000" w:rsidRDefault="00000000" w:rsidRPr="00000000" w14:paraId="0000004B">
      <w:pPr>
        <w:pStyle w:val="Heading2"/>
        <w:rPr>
          <w:color w:val="000000"/>
        </w:rPr>
      </w:pPr>
      <w:r w:rsidDel="00000000" w:rsidR="00000000" w:rsidRPr="00000000">
        <w:rPr>
          <w:color w:val="000000"/>
          <w:rtl w:val="0"/>
        </w:rPr>
        <w:t xml:space="preserve">2.4 Supplementary searches</w:t>
      </w:r>
    </w:p>
    <w:p w:rsidR="00000000" w:rsidDel="00000000" w:rsidP="00000000" w:rsidRDefault="00000000" w:rsidRPr="00000000" w14:paraId="0000004C">
      <w:pPr>
        <w:rPr>
          <w:color w:val="000000"/>
        </w:rPr>
      </w:pPr>
      <w:r w:rsidDel="00000000" w:rsidR="00000000" w:rsidRPr="00000000">
        <w:rPr>
          <w:color w:val="000000"/>
          <w:rtl w:val="0"/>
        </w:rPr>
        <w:t xml:space="preserve">We hand-searched the reference lists of all studies advancing to full-text review and of topically relevant reviews to identify candidate articles missed by the database search. Authors of included studies were not contacted. </w:t>
      </w:r>
    </w:p>
    <w:p w:rsidR="00000000" w:rsidDel="00000000" w:rsidP="00000000" w:rsidRDefault="00000000" w:rsidRPr="00000000" w14:paraId="0000004D">
      <w:pPr>
        <w:pStyle w:val="Heading2"/>
        <w:rPr>
          <w:color w:val="000000"/>
        </w:rPr>
      </w:pPr>
      <w:r w:rsidDel="00000000" w:rsidR="00000000" w:rsidRPr="00000000">
        <w:rPr>
          <w:color w:val="000000"/>
          <w:rtl w:val="0"/>
        </w:rPr>
        <w:t xml:space="preserve">2.5 Search results</w:t>
      </w:r>
    </w:p>
    <w:p w:rsidR="00000000" w:rsidDel="00000000" w:rsidP="00000000" w:rsidRDefault="00000000" w:rsidRPr="00000000" w14:paraId="0000004E">
      <w:pPr>
        <w:rPr>
          <w:color w:val="000000"/>
        </w:rPr>
      </w:pPr>
      <w:r w:rsidDel="00000000" w:rsidR="00000000" w:rsidRPr="00000000">
        <w:rPr>
          <w:color w:val="000000"/>
          <w:rtl w:val="0"/>
        </w:rPr>
        <w:t xml:space="preserve">All three searches were executed on the dates listed in eTable 2. 1,146 results were exported in RIS format and imported into the Covidence systematic review platform (Veritas Health Innovation, Melbourne, Australia) for deduplication, screening, and full-text review. After deduplication, 805 unique records advanced to title/abstract screening; the discrepancy between the database total and the unique total reflects duplicate removal.</w:t>
      </w:r>
    </w:p>
    <w:p w:rsidR="00000000" w:rsidDel="00000000" w:rsidP="00000000" w:rsidRDefault="00000000" w:rsidRPr="00000000" w14:paraId="0000004F">
      <w:pPr>
        <w:rPr>
          <w:b w:val="1"/>
          <w:bCs w:val="1"/>
          <w:color w:val="000000"/>
        </w:rPr>
      </w:pPr>
      <w:r w:rsidDel="00000000" w:rsidR="00000000" w:rsidRPr="00000000">
        <w:rPr>
          <w:b w:val="1"/>
          <w:bCs w:val="1"/>
          <w:color w:val="000000"/>
          <w:rtl w:val="0"/>
        </w:rPr>
        <w:t xml:space="preserve">eTable 2. </w:t>
      </w:r>
      <w:r w:rsidDel="00000000" w:rsidR="00000000" w:rsidRPr="00000000">
        <w:rPr>
          <w:b w:val="1"/>
          <w:bCs w:val="1"/>
          <w:color w:val="000000"/>
          <w:rtl w:val="0"/>
        </w:rPr>
        <w:t xml:space="preserve">Database-specific search yields.</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0"/>
        <w:gridCol w:w="2200"/>
        <w:gridCol w:w="1600"/>
        <w:gridCol w:w="1700"/>
        <w:gridCol w:w="1660"/>
        <w:tblGridChange w:id="0">
          <w:tblGrid>
            <w:gridCol w:w="2200"/>
            <w:gridCol w:w="2200"/>
            <w:gridCol w:w="1600"/>
            <w:gridCol w:w="1700"/>
            <w:gridCol w:w="1660"/>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50">
            <w:pPr>
              <w:spacing w:line="240" w:lineRule="auto"/>
              <w:rPr>
                <w:color w:val="ffffff"/>
              </w:rPr>
            </w:pPr>
            <w:r w:rsidDel="00000000" w:rsidR="00000000" w:rsidRPr="00000000">
              <w:rPr>
                <w:color w:val="ffffff"/>
                <w:rtl w:val="0"/>
              </w:rPr>
              <w:t xml:space="preserve">Database</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51">
            <w:pPr>
              <w:spacing w:line="240" w:lineRule="auto"/>
              <w:rPr>
                <w:color w:val="ffffff"/>
              </w:rPr>
            </w:pPr>
            <w:r w:rsidDel="00000000" w:rsidR="00000000" w:rsidRPr="00000000">
              <w:rPr>
                <w:color w:val="ffffff"/>
                <w:rtl w:val="0"/>
              </w:rPr>
              <w:t xml:space="preserve">Platform</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52">
            <w:pPr>
              <w:spacing w:line="240" w:lineRule="auto"/>
              <w:rPr>
                <w:color w:val="ffffff"/>
              </w:rPr>
            </w:pPr>
            <w:r w:rsidDel="00000000" w:rsidR="00000000" w:rsidRPr="00000000">
              <w:rPr>
                <w:color w:val="ffffff"/>
                <w:rtl w:val="0"/>
              </w:rPr>
              <w:t xml:space="preserve">Date run</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53">
            <w:pPr>
              <w:spacing w:line="240" w:lineRule="auto"/>
              <w:rPr>
                <w:color w:val="ffffff"/>
              </w:rPr>
            </w:pPr>
            <w:r w:rsidDel="00000000" w:rsidR="00000000" w:rsidRPr="00000000">
              <w:rPr>
                <w:color w:val="ffffff"/>
                <w:rtl w:val="0"/>
              </w:rPr>
              <w:t xml:space="preserve">Date range</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54">
            <w:pPr>
              <w:spacing w:line="240" w:lineRule="auto"/>
              <w:rPr>
                <w:color w:val="ffffff"/>
              </w:rPr>
            </w:pPr>
            <w:r w:rsidDel="00000000" w:rsidR="00000000" w:rsidRPr="00000000">
              <w:rPr>
                <w:color w:val="ffffff"/>
                <w:rtl w:val="0"/>
              </w:rPr>
              <w:t xml:space="preserve">Records returned</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5">
            <w:pPr>
              <w:spacing w:line="240" w:lineRule="auto"/>
              <w:rPr>
                <w:color w:val="000000"/>
              </w:rPr>
            </w:pPr>
            <w:r w:rsidDel="00000000" w:rsidR="00000000" w:rsidRPr="00000000">
              <w:rPr>
                <w:color w:val="000000"/>
                <w:rtl w:val="0"/>
              </w:rPr>
              <w:t xml:space="preserve">PubMed/MEDLINE</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6">
            <w:pPr>
              <w:spacing w:line="240" w:lineRule="auto"/>
              <w:rPr>
                <w:color w:val="000000"/>
              </w:rPr>
            </w:pPr>
            <w:r w:rsidDel="00000000" w:rsidR="00000000" w:rsidRPr="00000000">
              <w:rPr>
                <w:color w:val="000000"/>
                <w:rtl w:val="0"/>
              </w:rPr>
              <w:t xml:space="preserve">NLM PubMed</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7">
            <w:pPr>
              <w:spacing w:line="240" w:lineRule="auto"/>
              <w:rPr>
                <w:color w:val="000000"/>
              </w:rPr>
            </w:pPr>
            <w:r w:rsidDel="00000000" w:rsidR="00000000" w:rsidRPr="00000000">
              <w:rPr>
                <w:color w:val="000000"/>
                <w:rtl w:val="0"/>
              </w:rPr>
              <w:t xml:space="preserve">July 18, 2025</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8">
            <w:pPr>
              <w:spacing w:line="240" w:lineRule="auto"/>
              <w:rPr>
                <w:color w:val="000000"/>
              </w:rPr>
            </w:pPr>
            <w:r w:rsidDel="00000000" w:rsidR="00000000" w:rsidRPr="00000000">
              <w:rPr>
                <w:color w:val="000000"/>
                <w:rtl w:val="0"/>
              </w:rPr>
              <w:t xml:space="preserve">2000–2025</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9">
            <w:pPr>
              <w:spacing w:line="240" w:lineRule="auto"/>
              <w:rPr>
                <w:color w:val="000000"/>
              </w:rPr>
            </w:pPr>
            <w:r w:rsidDel="00000000" w:rsidR="00000000" w:rsidRPr="00000000">
              <w:rPr>
                <w:color w:val="000000"/>
                <w:rtl w:val="0"/>
              </w:rPr>
              <w:t xml:space="preserve">613</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5A">
            <w:pPr>
              <w:spacing w:line="240" w:lineRule="auto"/>
              <w:rPr>
                <w:color w:val="000000"/>
              </w:rPr>
            </w:pPr>
            <w:r w:rsidDel="00000000" w:rsidR="00000000" w:rsidRPr="00000000">
              <w:rPr>
                <w:color w:val="000000"/>
                <w:rtl w:val="0"/>
              </w:rPr>
              <w:t xml:space="preserve">Embase</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5B">
            <w:pPr>
              <w:spacing w:line="240" w:lineRule="auto"/>
              <w:rPr>
                <w:color w:val="000000"/>
              </w:rPr>
            </w:pPr>
            <w:r w:rsidDel="00000000" w:rsidR="00000000" w:rsidRPr="00000000">
              <w:rPr>
                <w:color w:val="000000"/>
                <w:rtl w:val="0"/>
              </w:rPr>
              <w:t xml:space="preserve">Elsevier Embase.com</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5C">
            <w:pPr>
              <w:spacing w:line="240" w:lineRule="auto"/>
              <w:rPr>
                <w:color w:val="000000"/>
              </w:rPr>
            </w:pPr>
            <w:r w:rsidDel="00000000" w:rsidR="00000000" w:rsidRPr="00000000">
              <w:rPr>
                <w:color w:val="000000"/>
                <w:rtl w:val="0"/>
              </w:rPr>
              <w:t xml:space="preserve">July 18, 2025</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5D">
            <w:pPr>
              <w:spacing w:line="240" w:lineRule="auto"/>
              <w:rPr>
                <w:color w:val="000000"/>
              </w:rPr>
            </w:pPr>
            <w:r w:rsidDel="00000000" w:rsidR="00000000" w:rsidRPr="00000000">
              <w:rPr>
                <w:color w:val="000000"/>
                <w:rtl w:val="0"/>
              </w:rPr>
              <w:t xml:space="preserve">2000–2025</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5E">
            <w:pPr>
              <w:spacing w:line="240" w:lineRule="auto"/>
              <w:rPr>
                <w:color w:val="000000"/>
              </w:rPr>
            </w:pPr>
            <w:r w:rsidDel="00000000" w:rsidR="00000000" w:rsidRPr="00000000">
              <w:rPr>
                <w:color w:val="000000"/>
                <w:rtl w:val="0"/>
              </w:rPr>
              <w:t xml:space="preserve">468</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5F">
            <w:pPr>
              <w:spacing w:line="240" w:lineRule="auto"/>
              <w:rPr>
                <w:color w:val="000000"/>
              </w:rPr>
            </w:pPr>
            <w:r w:rsidDel="00000000" w:rsidR="00000000" w:rsidRPr="00000000">
              <w:rPr>
                <w:color w:val="000000"/>
                <w:rtl w:val="0"/>
              </w:rPr>
              <w:t xml:space="preserve">Cochrane Library</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60">
            <w:pPr>
              <w:spacing w:line="240" w:lineRule="auto"/>
              <w:rPr>
                <w:color w:val="000000"/>
              </w:rPr>
            </w:pPr>
            <w:r w:rsidDel="00000000" w:rsidR="00000000" w:rsidRPr="00000000">
              <w:rPr>
                <w:color w:val="000000"/>
                <w:rtl w:val="0"/>
              </w:rPr>
              <w:t xml:space="preserve">Wiley Cochrane Library</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61">
            <w:pPr>
              <w:spacing w:line="240" w:lineRule="auto"/>
              <w:rPr>
                <w:color w:val="000000"/>
              </w:rPr>
            </w:pPr>
            <w:r w:rsidDel="00000000" w:rsidR="00000000" w:rsidRPr="00000000">
              <w:rPr>
                <w:color w:val="000000"/>
                <w:rtl w:val="0"/>
              </w:rPr>
              <w:t xml:space="preserve">July 22, 2025</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62">
            <w:pPr>
              <w:spacing w:line="240" w:lineRule="auto"/>
              <w:rPr>
                <w:color w:val="000000"/>
              </w:rPr>
            </w:pPr>
            <w:r w:rsidDel="00000000" w:rsidR="00000000" w:rsidRPr="00000000">
              <w:rPr>
                <w:color w:val="000000"/>
                <w:rtl w:val="0"/>
              </w:rPr>
              <w:t xml:space="preserve">All years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63">
            <w:pPr>
              <w:spacing w:line="240" w:lineRule="auto"/>
              <w:rPr>
                <w:color w:val="000000"/>
              </w:rPr>
            </w:pPr>
            <w:r w:rsidDel="00000000" w:rsidR="00000000" w:rsidRPr="00000000">
              <w:rPr>
                <w:color w:val="000000"/>
                <w:rtl w:val="0"/>
              </w:rPr>
              <w:t xml:space="preserve">65</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64">
            <w:pPr>
              <w:spacing w:line="240" w:lineRule="auto"/>
              <w:rPr>
                <w:color w:val="000000"/>
              </w:rPr>
            </w:pPr>
            <w:r w:rsidDel="00000000" w:rsidR="00000000" w:rsidRPr="00000000">
              <w:rPr>
                <w:color w:val="000000"/>
                <w:rtl w:val="0"/>
              </w:rPr>
              <w:t xml:space="preserve">Total identified</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65">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66">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67">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68">
            <w:pPr>
              <w:spacing w:line="240" w:lineRule="auto"/>
              <w:rPr>
                <w:color w:val="000000"/>
              </w:rPr>
            </w:pPr>
            <w:r w:rsidDel="00000000" w:rsidR="00000000" w:rsidRPr="00000000">
              <w:rPr>
                <w:color w:val="000000"/>
                <w:rtl w:val="0"/>
              </w:rPr>
              <w:t xml:space="preserve">1,146</w:t>
            </w:r>
          </w:p>
        </w:tc>
      </w:tr>
    </w:tbl>
    <w:p w:rsidR="00000000" w:rsidDel="00000000" w:rsidP="00000000" w:rsidRDefault="00000000" w:rsidRPr="00000000" w14:paraId="00000069">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1"/>
        <w:rPr>
          <w:color w:val="000000"/>
        </w:rPr>
      </w:pPr>
      <w:r w:rsidDel="00000000" w:rsidR="00000000" w:rsidRPr="00000000">
        <w:rPr>
          <w:color w:val="000000"/>
          <w:rtl w:val="0"/>
        </w:rPr>
        <w:t xml:space="preserve">eAppendix 3. Study Selection, Data Charting, and Synthesis</w:t>
      </w:r>
    </w:p>
    <w:p w:rsidR="00000000" w:rsidDel="00000000" w:rsidP="00000000" w:rsidRDefault="00000000" w:rsidRPr="00000000" w14:paraId="0000006B">
      <w:pPr>
        <w:pStyle w:val="Heading2"/>
        <w:rPr>
          <w:color w:val="000000"/>
        </w:rPr>
      </w:pPr>
      <w:r w:rsidDel="00000000" w:rsidR="00000000" w:rsidRPr="00000000">
        <w:rPr>
          <w:color w:val="000000"/>
          <w:rtl w:val="0"/>
        </w:rPr>
        <w:t xml:space="preserve">3.1 Selection process</w:t>
      </w:r>
    </w:p>
    <w:p w:rsidR="00000000" w:rsidDel="00000000" w:rsidP="00000000" w:rsidRDefault="00000000" w:rsidRPr="00000000" w14:paraId="0000006C">
      <w:pPr>
        <w:rPr>
          <w:color w:val="000000"/>
        </w:rPr>
      </w:pPr>
      <w:r w:rsidDel="00000000" w:rsidR="00000000" w:rsidRPr="00000000">
        <w:rPr>
          <w:color w:val="000000"/>
          <w:rtl w:val="0"/>
        </w:rPr>
        <w:t xml:space="preserve">All records identified through the database searches were imported into Covidence for management, automated deduplication, and screening. Title and abstract screening was conducted by S.C., V.M., and D.Z., with all titles/abstracts receiving dual independent review against the pre-specified eligibility criteria. Disagreements were resolved by discussion. Full-text review was performed by S.C. and V.M. as dual independent review, with differences again resolved by discussion. Reasons for exclusion at the full-text stage were recorded in Covidence and are reported in the PRISMA 2020 flow diagram (Figure 1 of the main manuscript).</w:t>
      </w:r>
    </w:p>
    <w:p w:rsidR="00000000" w:rsidDel="00000000" w:rsidP="00000000" w:rsidRDefault="00000000" w:rsidRPr="00000000" w14:paraId="0000006D">
      <w:pPr>
        <w:pStyle w:val="Heading2"/>
        <w:rPr>
          <w:color w:val="000000"/>
        </w:rPr>
      </w:pPr>
      <w:r w:rsidDel="00000000" w:rsidR="00000000" w:rsidRPr="00000000">
        <w:rPr>
          <w:color w:val="000000"/>
          <w:rtl w:val="0"/>
        </w:rPr>
        <w:t xml:space="preserve">3.2 Data charting</w:t>
      </w:r>
    </w:p>
    <w:p w:rsidR="00000000" w:rsidDel="00000000" w:rsidP="00000000" w:rsidRDefault="00000000" w:rsidRPr="00000000" w14:paraId="0000006E">
      <w:pPr>
        <w:rPr>
          <w:color w:val="000000"/>
        </w:rPr>
      </w:pPr>
      <w:r w:rsidDel="00000000" w:rsidR="00000000" w:rsidRPr="00000000">
        <w:rPr>
          <w:color w:val="000000"/>
          <w:rtl w:val="0"/>
        </w:rPr>
        <w:t xml:space="preserve">A structured data-charting form was developed </w:t>
      </w:r>
      <w:r w:rsidDel="00000000" w:rsidR="00000000" w:rsidRPr="00000000">
        <w:rPr>
          <w:i w:val="1"/>
          <w:iCs w:val="1"/>
          <w:color w:val="000000"/>
          <w:rtl w:val="0"/>
        </w:rPr>
        <w:t xml:space="preserve">a priori </w:t>
      </w:r>
      <w:r w:rsidDel="00000000" w:rsidR="00000000" w:rsidRPr="00000000">
        <w:rPr>
          <w:color w:val="000000"/>
          <w:rtl w:val="0"/>
        </w:rPr>
        <w:t xml:space="preserve">by the study team, piloted on five included studies, and refined to ensure consistent capture of the variables of interest. All data charting was performed by V.M. and S.C. as dual independent review for all included studies. The structured form captured the variables grouped below; multiple-select fields are indicated.</w:t>
      </w:r>
    </w:p>
    <w:p w:rsidR="00000000" w:rsidDel="00000000" w:rsidP="00000000" w:rsidRDefault="00000000" w:rsidRPr="00000000" w14:paraId="0000006F">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3.2.1 Study characteristics</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Bibliographic ID: Covidence identifier #, first author, year</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Title</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Study design (single select): randomized controlled trial, cohort study, cross-sectional study, case-control study, systematic review, qualitative research, case series, case report, or other (free text)</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Special populations of interest (multiple select): chronic disease–specific, veteran/military, rural, older adults, low-income, or other</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Number of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patients or vi</w:t>
      </w:r>
      <w:r w:rsidDel="00000000" w:rsidR="00000000" w:rsidRPr="00000000">
        <w:rPr>
          <w:rtl w:val="0"/>
        </w:rPr>
        <w:t xml:space="preserve">sits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include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in the study (free text, if described))</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Scale of study/intervention (single select): single facility,</w:t>
      </w:r>
      <w:r w:rsidDel="00000000" w:rsidR="00000000" w:rsidRPr="00000000">
        <w:rPr>
          <w:rtl w:val="0"/>
        </w:rPr>
        <w:t xml:space="preserve"> </w:t>
      </w:r>
      <w:r w:rsidDel="00000000" w:rsidR="00000000" w:rsidRPr="00000000">
        <w:rPr>
          <w:rtl w:val="0"/>
        </w:rPr>
        <w:t xml:space="preserve">multiple facilities,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regional, national, or other</w:t>
      </w:r>
    </w:p>
    <w:p w:rsidR="00000000" w:rsidDel="00000000" w:rsidP="00000000" w:rsidRDefault="00000000" w:rsidRPr="00000000" w14:paraId="00000076">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3.2.2 Extreme weather event</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Event type (multiple select): extreme cold, extreme heat, extreme precipitation, flood, hurricane, ice/snow storm, tornado, wildfire, or other</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Duration of event (free text, if described)</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Location of event (free text, as described in study)</w:t>
      </w:r>
    </w:p>
    <w:p w:rsidR="00000000" w:rsidDel="00000000" w:rsidP="00000000" w:rsidRDefault="00000000" w:rsidRPr="00000000" w14:paraId="0000007A">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3.2.3 Impacts </w:t>
      </w:r>
    </w:p>
    <w:p w:rsidR="00000000" w:rsidDel="00000000" w:rsidP="00000000" w:rsidRDefault="00000000" w:rsidRPr="00000000" w14:paraId="0000007B">
      <w:pPr>
        <w:rPr>
          <w:color w:val="000000"/>
        </w:rPr>
      </w:pPr>
      <w:r w:rsidDel="00000000" w:rsidR="00000000" w:rsidRPr="00000000">
        <w:rPr>
          <w:color w:val="000000"/>
          <w:rtl w:val="0"/>
        </w:rPr>
        <w:t xml:space="preserve">Multiple-select with free text fields covering disruptions to outpatient operations, shifts in healthcare utilization, and overall impacts to the healthcare system and to individual patients.</w:t>
      </w:r>
    </w:p>
    <w:p w:rsidR="00000000" w:rsidDel="00000000" w:rsidP="00000000" w:rsidRDefault="00000000" w:rsidRPr="00000000" w14:paraId="0000007C">
      <w:pPr>
        <w:rPr>
          <w:color w:val="000000"/>
        </w:rPr>
      </w:pPr>
      <w:r w:rsidDel="00000000" w:rsidR="00000000" w:rsidRPr="00000000">
        <w:rPr>
          <w:color w:val="000000"/>
          <w:rtl w:val="0"/>
        </w:rPr>
        <w:t xml:space="preserve">Direct disruptions to care delivery</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Clinic closures</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Safety concerns (e.g. unsafe travel, infection risk, evacuation or shelter-in-place orders)</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Infrastructure problems (e.g. structural damage; power outage; water-supply damage; internet, communication, or EMR disruption; loss of heating/cooling)</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Staffing shortage</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Clinical equipment risk (e.g. temperature-sensitive medication loss, supply-chain disruption)</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Other (free text)</w:t>
      </w:r>
    </w:p>
    <w:p w:rsidR="00000000" w:rsidDel="00000000" w:rsidP="00000000" w:rsidRDefault="00000000" w:rsidRPr="00000000" w14:paraId="00000083">
      <w:pPr>
        <w:rPr>
          <w:color w:val="000000"/>
        </w:rPr>
      </w:pPr>
      <w:r w:rsidDel="00000000" w:rsidR="00000000" w:rsidRPr="00000000">
        <w:rPr>
          <w:color w:val="000000"/>
          <w:rtl w:val="0"/>
        </w:rPr>
        <w:t xml:space="preserve">Service disruptions:</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Routine care; urgent care; regular therapy (e.g., dialysis, mental-health appointments); pharmacy services; other (free text)</w:t>
      </w:r>
    </w:p>
    <w:p w:rsidR="00000000" w:rsidDel="00000000" w:rsidP="00000000" w:rsidRDefault="00000000" w:rsidRPr="00000000" w14:paraId="00000085">
      <w:pPr>
        <w:rPr>
          <w:color w:val="000000"/>
        </w:rPr>
      </w:pPr>
      <w:r w:rsidDel="00000000" w:rsidR="00000000" w:rsidRPr="00000000">
        <w:rPr>
          <w:color w:val="000000"/>
          <w:rtl w:val="0"/>
        </w:rPr>
        <w:t xml:space="preserve">Shifts in healthcare utilization by event phase</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Pre-event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increases in medication refills and chronic-care visits, ED visits for "just-in-case" issues, hospital admissions for vulnerable patients; decreases in routine/elective care (cancellations and rescheduling) (free text)</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During event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sharp declines in primary/specialty care visits, preventive services, and elective procedures; spikes in ED use (trauma, acute exacerbations), EMS calls, and shelter-based medical care (free text)</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Post-event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spikes in ED/urgent-care visits (delayed injuries, infections, mental-health crises, missed care, worsened chronic disease, medication refills), primary care backlog, mental and behavioral health utilization, and home health/rehab services; longer-term dips in preventive and elective care including cancer screening and continuity of care (free text)</w:t>
      </w:r>
    </w:p>
    <w:p w:rsidR="00000000" w:rsidDel="00000000" w:rsidP="00000000" w:rsidRDefault="00000000" w:rsidRPr="00000000" w14:paraId="00000089">
      <w:pPr>
        <w:rPr>
          <w:color w:val="000000"/>
        </w:rPr>
      </w:pPr>
      <w:r w:rsidDel="00000000" w:rsidR="00000000" w:rsidRPr="00000000">
        <w:rPr>
          <w:color w:val="000000"/>
          <w:rtl w:val="0"/>
        </w:rPr>
        <w:t xml:space="preserve">System-level impacts:</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geographic redistribution of care-seeking, telehealth surge (where connectivity allows), altered payer mix (more uninsured/Medicaid due to job or housing loss), hospital discharge barriers (damaged homes, closed post-acute facilities), readmission spikes (particularly elderly and chronically ill).</w:t>
      </w:r>
    </w:p>
    <w:p w:rsidR="00000000" w:rsidDel="00000000" w:rsidP="00000000" w:rsidRDefault="00000000" w:rsidRPr="00000000" w14:paraId="0000008B">
      <w:pPr>
        <w:rPr>
          <w:color w:val="000000"/>
        </w:rPr>
      </w:pPr>
      <w:r w:rsidDel="00000000" w:rsidR="00000000" w:rsidRPr="00000000">
        <w:rPr>
          <w:color w:val="000000"/>
          <w:rtl w:val="0"/>
        </w:rPr>
        <w:t xml:space="preserve">Individual-level impacts: </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Missed care (e.g., missed dialysis, medication interruption)</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Deterioration of chronic condition (e.g., COPD or heart-failure exacerbation, mental-health deterioration)</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Acute new condition (e.g., dehydration, infection, injury)</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Other</w:t>
      </w:r>
    </w:p>
    <w:p w:rsidR="00000000" w:rsidDel="00000000" w:rsidP="00000000" w:rsidRDefault="00000000" w:rsidRPr="00000000" w14:paraId="00000090">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3.2.5 Vulnerabilities</w:t>
      </w:r>
    </w:p>
    <w:p w:rsidR="00000000" w:rsidDel="00000000" w:rsidP="00000000" w:rsidRDefault="00000000" w:rsidRPr="00000000" w14:paraId="00000091">
      <w:pPr>
        <w:rPr>
          <w:color w:val="000000"/>
        </w:rPr>
      </w:pPr>
      <w:r w:rsidDel="00000000" w:rsidR="00000000" w:rsidRPr="00000000">
        <w:rPr>
          <w:color w:val="000000"/>
          <w:rtl w:val="0"/>
        </w:rPr>
        <w:t xml:space="preserve">System and individual level vulnerabilities to severe weather (free text). Could include but not limited to:</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System-level: rural location, reliance on small or single facilities, limited backup power or internet, supply-chain fragility, single power grids or communication hubs without redundancy.</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Individual-level: chronic illness; social vulnerabilities (housing, transportation, food insecurity); digital literacy; broadband access; inequities by race, ethnicity, age, language, or insurance status.</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Contextual: prior exposure (communities repeatedly affected by wildfires or flooding), compounding events (e.g., heat wave plus power outage).</w:t>
      </w:r>
    </w:p>
    <w:p w:rsidR="00000000" w:rsidDel="00000000" w:rsidP="00000000" w:rsidRDefault="00000000" w:rsidRPr="00000000" w14:paraId="00000095">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3.2.6 Telehealth interventions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types of telehealth technologies are included in the study (multiple select)? Phone visit; video visit; patient portal; remote monitoring; other</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types of telehealth strategies/programs are included in the study (multiple select)? Tele-urgent care / telephone triage; tele-work capabilities; pharmacy delivery; targeted outreach; other</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risks or challenges was the intervention designed to mitigate (free text)?</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Describe timing of intervention use in relation to severe weather event (free text)</w:t>
      </w:r>
    </w:p>
    <w:p w:rsidR="00000000" w:rsidDel="00000000" w:rsidP="00000000" w:rsidRDefault="00000000" w:rsidRPr="00000000" w14:paraId="0000009A">
      <w:pPr>
        <w:pStyle w:val="Heading3"/>
        <w:numPr>
          <w:ilvl w:val="2"/>
          <w:numId w:val="2"/>
        </w:numPr>
        <w:ind w:left="720" w:hanging="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Reported outcomes and barriers</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Describe reported outcomes of the study in relation to telehealth intervention (free text).</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Describe barriers or facilitators to telehealth use mentioned or implied (free text). Could include but not limited to: Power/internet outages, cell/internet access, patient adoption, provider workflows; Discussion of system infrastructure (e.g., electronic </w:t>
      </w:r>
      <w:r w:rsidDel="00000000" w:rsidR="00000000" w:rsidRPr="00000000">
        <w:rPr>
          <w:rtl w:val="0"/>
        </w:rPr>
        <w:t xml:space="preserve">health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record [E</w:t>
      </w:r>
      <w:r w:rsidDel="00000000" w:rsidR="00000000" w:rsidRPr="00000000">
        <w:rPr>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 integration, remote call centers, regulatory waivers); Discussion of policy support; Upstream preparation</w:t>
      </w:r>
    </w:p>
    <w:p w:rsidR="00000000" w:rsidDel="00000000" w:rsidP="00000000" w:rsidRDefault="00000000" w:rsidRPr="00000000" w14:paraId="0000009D">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3.2.8 Higher level implications</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does the study conceptualize risk, resilience, or vulnerability (free text)?</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risks or vulnerabilities were identified in the study that the telehealth intervention did not address (free text)?</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explicit frameworks or models were used in the study (free text)?</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gaps or areas for future work were identified by the authors (free text)?</w:t>
      </w:r>
    </w:p>
    <w:p w:rsidR="00000000" w:rsidDel="00000000" w:rsidP="00000000" w:rsidRDefault="00000000" w:rsidRPr="00000000" w14:paraId="000000A2">
      <w:pPr>
        <w:pStyle w:val="Heading2"/>
        <w:rPr>
          <w:color w:val="000000"/>
        </w:rPr>
      </w:pPr>
      <w:r w:rsidDel="00000000" w:rsidR="00000000" w:rsidRPr="00000000">
        <w:rPr>
          <w:color w:val="000000"/>
          <w:rtl w:val="0"/>
        </w:rPr>
        <w:t xml:space="preserve">3.3 Critical appraisal</w:t>
      </w:r>
    </w:p>
    <w:p w:rsidR="00000000" w:rsidDel="00000000" w:rsidP="00000000" w:rsidRDefault="00000000" w:rsidRPr="00000000" w14:paraId="000000A3">
      <w:pPr>
        <w:rPr>
          <w:color w:val="000000"/>
        </w:rPr>
      </w:pPr>
      <w:r w:rsidDel="00000000" w:rsidR="00000000" w:rsidRPr="00000000">
        <w:rPr>
          <w:color w:val="000000"/>
          <w:rtl w:val="0"/>
        </w:rPr>
        <w:t xml:space="preserve">Consistent with PRISMA-ScR guidance, formal critical appraisal of methodological quality or risk of bias was not performed, given that the review's purpose is descriptive mapping rather than effect estimation. Limitations arising from study heterogeneity, design diversity, and likely publication bias toward positive descriptions of telehealth deployment are discussed narratively in the main manuscript.</w:t>
      </w:r>
    </w:p>
    <w:p w:rsidR="00000000" w:rsidDel="00000000" w:rsidP="00000000" w:rsidRDefault="00000000" w:rsidRPr="00000000" w14:paraId="000000A4">
      <w:pPr>
        <w:pStyle w:val="Heading2"/>
        <w:rPr>
          <w:color w:val="000000"/>
        </w:rPr>
      </w:pPr>
      <w:r w:rsidDel="00000000" w:rsidR="00000000" w:rsidRPr="00000000">
        <w:rPr>
          <w:color w:val="000000"/>
          <w:rtl w:val="0"/>
        </w:rPr>
        <w:t xml:space="preserve">3.4 Synthesis approach</w:t>
      </w:r>
    </w:p>
    <w:p w:rsidR="00000000" w:rsidDel="00000000" w:rsidP="00000000" w:rsidRDefault="00000000" w:rsidRPr="00000000" w14:paraId="000000A5">
      <w:pPr>
        <w:rPr>
          <w:color w:val="000000"/>
        </w:rPr>
      </w:pPr>
      <w:r w:rsidDel="00000000" w:rsidR="00000000" w:rsidRPr="00000000">
        <w:rPr>
          <w:color w:val="000000"/>
          <w:rtl w:val="0"/>
        </w:rPr>
        <w:t xml:space="preserve">We used a two-stage synthesis. First, descriptive numerical summaries were generated for study characteristics (year, design, country, event type, telehealth modality). Examples of telehealth strategies in response to healthcare system and patient vulnerabilities and impacts were documented. Second, we conducted a qualitative, inductive content-analytic synthesis to map telehealth strategies to vulnerabilities and impacts. Codes for telehealth modalities, vulnerabilities, and impacts were derived inductively from the included studies, organized into a four-quadrant matrix (system vulnerabilities, system impacts, individual vulnerabilities, individual impacts), and aggregated into telehealth–vulnerability/impact pairings across the 14 included studies. Frequency counts of telehealth modality by pairing category were generated and are displayed in the Sankey diagram in Figure 2. Findings were then mapped onto the conceptual framework Risk = (Probability × Vulnerability × Impact) / Resilience, adapted from disaster risk reduction (Blaikie et al., 1994; UNDRR, 2017) and health system resilience theory (Blanchet et al., 2017; Witter et al., 2023).</w:t>
      </w:r>
    </w:p>
    <w:p w:rsidR="00000000" w:rsidDel="00000000" w:rsidP="00000000" w:rsidRDefault="00000000" w:rsidRPr="00000000" w14:paraId="000000A6">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1"/>
        <w:rPr>
          <w:color w:val="000000"/>
        </w:rPr>
      </w:pPr>
      <w:r w:rsidDel="00000000" w:rsidR="00000000" w:rsidRPr="00000000">
        <w:rPr>
          <w:color w:val="000000"/>
          <w:rtl w:val="0"/>
        </w:rPr>
        <w:t xml:space="preserve">eAppendix 4. Methodology for AI-Assisted Synthesis</w:t>
      </w:r>
    </w:p>
    <w:p w:rsidR="00000000" w:rsidDel="00000000" w:rsidP="00000000" w:rsidRDefault="00000000" w:rsidRPr="00000000" w14:paraId="000000A8">
      <w:pPr>
        <w:rPr>
          <w:color w:val="000000"/>
        </w:rPr>
      </w:pPr>
      <w:r w:rsidDel="00000000" w:rsidR="00000000" w:rsidRPr="00000000">
        <w:rPr>
          <w:color w:val="000000"/>
          <w:rtl w:val="0"/>
        </w:rPr>
        <w:t xml:space="preserve">Consistent with emerging guidance for the transparent reporting of generative artificial intelligence in biomedical research (Cacciamani et al., 2024, and JAMA Network journal policies on AI disclosure), we provide the following detailed account of how a large language model (LLM) was used in this scoping review. The LLM was used as an assistive tool for inductively coding the charted extraction data; it was not used to identify, screen, or appraise studies, and all outputs were reviewed, adjudicated, and accepted, rejected, or revised by the human study team prior to inclusion in the manuscript.</w:t>
      </w:r>
    </w:p>
    <w:p w:rsidR="00000000" w:rsidDel="00000000" w:rsidP="00000000" w:rsidRDefault="00000000" w:rsidRPr="00000000" w14:paraId="000000A9">
      <w:pPr>
        <w:pStyle w:val="Heading2"/>
        <w:rPr>
          <w:color w:val="000000"/>
        </w:rPr>
      </w:pPr>
      <w:r w:rsidDel="00000000" w:rsidR="00000000" w:rsidRPr="00000000">
        <w:rPr>
          <w:color w:val="000000"/>
          <w:rtl w:val="0"/>
        </w:rPr>
        <w:t xml:space="preserve">4.1 Tool, model, and access</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Tool: Claude Opus 4.6 (Anthropic) accessed through the desktop-based chat interface (claude.ai).</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Settings: default settings; no system prompt or fine-tuning was applied.</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handling: extracted study data were de-identified at the study level (Covidence study identifiers retained; no patient-level identifiers were ever input). </w:t>
      </w:r>
    </w:p>
    <w:p w:rsidR="00000000" w:rsidDel="00000000" w:rsidP="00000000" w:rsidRDefault="00000000" w:rsidRPr="00000000" w14:paraId="000000AD">
      <w:pPr>
        <w:pStyle w:val="Heading2"/>
        <w:rPr>
          <w:color w:val="000000"/>
        </w:rPr>
      </w:pPr>
      <w:r w:rsidDel="00000000" w:rsidR="00000000" w:rsidRPr="00000000">
        <w:rPr>
          <w:color w:val="000000"/>
          <w:rtl w:val="0"/>
        </w:rPr>
        <w:t xml:space="preserve">4.2 Role of the LLM in the synthesis</w:t>
      </w:r>
    </w:p>
    <w:p w:rsidR="00000000" w:rsidDel="00000000" w:rsidP="00000000" w:rsidRDefault="00000000" w:rsidRPr="00000000" w14:paraId="000000AE">
      <w:pPr>
        <w:rPr>
          <w:color w:val="000000"/>
        </w:rPr>
      </w:pPr>
      <w:r w:rsidDel="00000000" w:rsidR="00000000" w:rsidRPr="00000000">
        <w:rPr>
          <w:color w:val="000000"/>
          <w:rtl w:val="0"/>
        </w:rPr>
        <w:t xml:space="preserve">The LLM was used to inductively identify categories of vulnerabilities and impacts to which telehealth was used to respond during extreme weather events, and how telehealth was paired with those vulnerabilities and impacts. The team provided the LLM the full text of the structured data extraction from the 14 included studies and asked it to propose candidate categories of vulnerabilities and impacts as well as candidate pairings with telehealth. The LLM’s proposed findings were reviewed and revised by the study team. </w:t>
      </w:r>
    </w:p>
    <w:p w:rsidR="00000000" w:rsidDel="00000000" w:rsidP="00000000" w:rsidRDefault="00000000" w:rsidRPr="00000000" w14:paraId="000000AF">
      <w:pPr>
        <w:pStyle w:val="Heading2"/>
        <w:rPr>
          <w:color w:val="000000"/>
        </w:rPr>
      </w:pPr>
      <w:r w:rsidDel="00000000" w:rsidR="00000000" w:rsidRPr="00000000">
        <w:rPr>
          <w:color w:val="000000"/>
          <w:rtl w:val="0"/>
        </w:rPr>
        <w:t xml:space="preserve">4.3 Prompt</w:t>
      </w:r>
    </w:p>
    <w:p w:rsidR="00000000" w:rsidDel="00000000" w:rsidP="00000000" w:rsidRDefault="00000000" w:rsidRPr="00000000" w14:paraId="000000B0">
      <w:pPr>
        <w:rPr>
          <w:color w:val="000000"/>
        </w:rPr>
      </w:pPr>
      <w:r w:rsidDel="00000000" w:rsidR="00000000" w:rsidRPr="00000000">
        <w:rPr>
          <w:color w:val="000000"/>
          <w:rtl w:val="0"/>
        </w:rPr>
        <w:t xml:space="preserve">I am conducting a scoping review to develop a conceptual framework that describes the risks (probability x impact x vulnerability/resilience) posed by severe weather events to patients enrolled in healthcare systems, and illustrates how telehealth can be a source of resilience by supporting routine/urgent outpatient care to address impacts and vulnerabilities. I will provide the structured data extractions from 14 included studies, each containing study design, weather event, telehealth modality, descriptions of system- and individual-level vulnerabilities and impacts, and how telehealth addressed them. Read all extractions and propose: (a) a list of system-level vulnerability categories; (b) a list of system-level impacts; (c) a list of individual-level vulnerabilities; (d) a list of individual-level impacts, and (e) a list of all the pairings of specific telehealth interventions with system or individual vulnerabilities and impacts from extreme weather events. Use only the language and concepts present in the extracted data. For each proposed category, list the study identifiers that support it. Do not invent quantitative outcomes or claims not present in the extractions. [Extractions follow.]</w:t>
      </w:r>
    </w:p>
    <w:p w:rsidR="00000000" w:rsidDel="00000000" w:rsidP="00000000" w:rsidRDefault="00000000" w:rsidRPr="00000000" w14:paraId="000000B1">
      <w:pPr>
        <w:pStyle w:val="Heading2"/>
        <w:rPr>
          <w:color w:val="000000"/>
        </w:rPr>
      </w:pPr>
      <w:r w:rsidDel="00000000" w:rsidR="00000000" w:rsidRPr="00000000">
        <w:rPr>
          <w:color w:val="000000"/>
          <w:rtl w:val="0"/>
        </w:rPr>
        <w:t xml:space="preserve">4.4 Human oversight, verification, and reproducibility</w:t>
      </w:r>
    </w:p>
    <w:p w:rsidR="00000000" w:rsidDel="00000000" w:rsidP="00000000" w:rsidRDefault="00000000" w:rsidRPr="00000000" w14:paraId="000000B2">
      <w:pPr>
        <w:rPr>
          <w:color w:val="000000"/>
        </w:rPr>
      </w:pPr>
      <w:r w:rsidDel="00000000" w:rsidR="00000000" w:rsidRPr="00000000">
        <w:rPr>
          <w:color w:val="000000"/>
          <w:rtl w:val="0"/>
        </w:rPr>
        <w:t xml:space="preserve">Every LLM output was reviewed by the first author (V.M.) against the source charted data and, where any uncertainty arose, against the source article PDF. The senior author (D.M.Z.) provided independent oversight of the category set and the final pairing list. Because LLM outputs are inherently non-deterministic and may vary across sessions, the final dataset, including the pairings reported in the manuscript, was hand-curated by the study team and is the authoritative analytic record. The LLM did not introduce any quantitative claim that was not subsequently verified against the source data. No LLM-generated text appears verbatim in the manuscript.</w:t>
      </w:r>
    </w:p>
    <w:p w:rsidR="00000000" w:rsidDel="00000000" w:rsidP="00000000" w:rsidRDefault="00000000" w:rsidRPr="00000000" w14:paraId="000000B3">
      <w:pPr>
        <w:pStyle w:val="Heading2"/>
        <w:rPr>
          <w:color w:val="000000"/>
        </w:rPr>
      </w:pPr>
      <w:r w:rsidDel="00000000" w:rsidR="00000000" w:rsidRPr="00000000">
        <w:rPr>
          <w:color w:val="000000"/>
          <w:rtl w:val="0"/>
        </w:rPr>
        <w:t xml:space="preserve">4.5 Risk-of-error mitigations</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prompt was explicit that the LLM should ground all categories and pairings in the supplied extractions and that it should flag rather than invent uncertain instances.</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LLM-proposed categories and pairings were independently verified against source extractions; categories and pairings that could not be supported by extracted text were discarded.</w:t>
      </w:r>
    </w:p>
    <w:p w:rsidR="00000000" w:rsidDel="00000000" w:rsidP="00000000" w:rsidRDefault="00000000" w:rsidRPr="00000000" w14:paraId="000000B6">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1"/>
        <w:rPr>
          <w:color w:val="000000"/>
        </w:rPr>
      </w:pPr>
      <w:r w:rsidDel="00000000" w:rsidR="00000000" w:rsidRPr="00000000">
        <w:rPr>
          <w:color w:val="000000"/>
          <w:rtl w:val="0"/>
        </w:rPr>
        <w:t xml:space="preserve">eAppendix 5. PRISMA-ScR Checklist Mapping</w:t>
      </w:r>
    </w:p>
    <w:p w:rsidR="00000000" w:rsidDel="00000000" w:rsidP="00000000" w:rsidRDefault="00000000" w:rsidRPr="00000000" w14:paraId="000000B8">
      <w:pPr>
        <w:rPr>
          <w:color w:val="000000"/>
        </w:rPr>
      </w:pPr>
      <w:r w:rsidDel="00000000" w:rsidR="00000000" w:rsidRPr="00000000">
        <w:rPr>
          <w:color w:val="000000"/>
          <w:rtl w:val="0"/>
        </w:rPr>
        <w:t xml:space="preserve">This review is reported in accordance with the PRISMA Extension for Scoping Reviews (PRISMA-ScR; Tricco et al., 2018). The table below indicates the section of the main manuscript or supplementary appendix where each PRISMA-ScR item is addressed.</w:t>
      </w:r>
    </w:p>
    <w:p w:rsidR="00000000" w:rsidDel="00000000" w:rsidP="00000000" w:rsidRDefault="00000000" w:rsidRPr="00000000" w14:paraId="000000B9">
      <w:pPr>
        <w:rPr>
          <w:b w:val="1"/>
          <w:bCs w:val="1"/>
          <w:color w:val="000000"/>
        </w:rPr>
      </w:pPr>
      <w:r w:rsidDel="00000000" w:rsidR="00000000" w:rsidRPr="00000000">
        <w:rPr>
          <w:b w:val="1"/>
          <w:bCs w:val="1"/>
          <w:color w:val="000000"/>
          <w:rtl w:val="0"/>
        </w:rPr>
        <w:t xml:space="preserve">eTable 3. PRISMA-ScR checklist mapping. </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0"/>
        <w:gridCol w:w="5560"/>
        <w:gridCol w:w="3000"/>
        <w:tblGridChange w:id="0">
          <w:tblGrid>
            <w:gridCol w:w="800"/>
            <w:gridCol w:w="5560"/>
            <w:gridCol w:w="3000"/>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BA">
            <w:pPr>
              <w:spacing w:line="240" w:lineRule="auto"/>
              <w:rPr>
                <w:color w:val="ffffff"/>
              </w:rPr>
            </w:pPr>
            <w:r w:rsidDel="00000000" w:rsidR="00000000" w:rsidRPr="00000000">
              <w:rPr>
                <w:color w:val="ffffff"/>
                <w:rtl w:val="0"/>
              </w:rPr>
              <w:t xml:space="preserve">#</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BB">
            <w:pPr>
              <w:spacing w:line="240" w:lineRule="auto"/>
              <w:rPr>
                <w:color w:val="ffffff"/>
              </w:rPr>
            </w:pPr>
            <w:r w:rsidDel="00000000" w:rsidR="00000000" w:rsidRPr="00000000">
              <w:rPr>
                <w:color w:val="ffffff"/>
                <w:rtl w:val="0"/>
              </w:rPr>
              <w:t xml:space="preserve">PRISMA-ScR checklist item</w:t>
            </w:r>
          </w:p>
        </w:tc>
        <w:tc>
          <w:tcPr>
            <w:tcBorders>
              <w:top w:color="808080" w:space="0" w:sz="4" w:val="single"/>
              <w:left w:color="808080" w:space="0" w:sz="4" w:val="single"/>
              <w:bottom w:color="808080" w:space="0" w:sz="4" w:val="single"/>
              <w:right w:color="808080" w:space="0" w:sz="4" w:val="single"/>
            </w:tcBorders>
            <w:shd w:fill="1f3864" w:val="clear"/>
            <w:tcMar>
              <w:top w:w="100.0" w:type="dxa"/>
              <w:left w:w="140.0" w:type="dxa"/>
              <w:bottom w:w="100.0" w:type="dxa"/>
              <w:right w:w="140.0" w:type="dxa"/>
            </w:tcMar>
          </w:tcPr>
          <w:p w:rsidR="00000000" w:rsidDel="00000000" w:rsidP="00000000" w:rsidRDefault="00000000" w:rsidRPr="00000000" w14:paraId="000000BC">
            <w:pPr>
              <w:spacing w:line="240" w:lineRule="auto"/>
              <w:rPr>
                <w:color w:val="ffffff"/>
              </w:rPr>
            </w:pPr>
            <w:r w:rsidDel="00000000" w:rsidR="00000000" w:rsidRPr="00000000">
              <w:rPr>
                <w:color w:val="ffffff"/>
                <w:rtl w:val="0"/>
              </w:rPr>
              <w:t xml:space="preserve">Where reported</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BD">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BE">
            <w:pPr>
              <w:spacing w:line="240" w:lineRule="auto"/>
              <w:rPr>
                <w:color w:val="000000"/>
              </w:rPr>
            </w:pPr>
            <w:r w:rsidDel="00000000" w:rsidR="00000000" w:rsidRPr="00000000">
              <w:rPr>
                <w:color w:val="000000"/>
                <w:rtl w:val="0"/>
              </w:rPr>
              <w:t xml:space="preserve">TITLE &amp; ABSTRACT</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BF">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0">
            <w:pPr>
              <w:spacing w:line="240" w:lineRule="auto"/>
              <w:rPr>
                <w:color w:val="000000"/>
              </w:rPr>
            </w:pPr>
            <w:r w:rsidDel="00000000" w:rsidR="00000000" w:rsidRPr="00000000">
              <w:rPr>
                <w:color w:val="000000"/>
                <w:rtl w:val="0"/>
              </w:rPr>
              <w:t xml:space="preserve">1</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1">
            <w:pPr>
              <w:spacing w:line="240" w:lineRule="auto"/>
              <w:rPr>
                <w:color w:val="000000"/>
              </w:rPr>
            </w:pPr>
            <w:r w:rsidDel="00000000" w:rsidR="00000000" w:rsidRPr="00000000">
              <w:rPr>
                <w:color w:val="000000"/>
                <w:rtl w:val="0"/>
              </w:rPr>
              <w:t xml:space="preserve">Title — Identify the report as a scoping review</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2">
            <w:pPr>
              <w:spacing w:line="240" w:lineRule="auto"/>
              <w:rPr>
                <w:color w:val="000000"/>
              </w:rPr>
            </w:pPr>
            <w:r w:rsidDel="00000000" w:rsidR="00000000" w:rsidRPr="00000000">
              <w:rPr>
                <w:color w:val="000000"/>
                <w:rtl w:val="0"/>
              </w:rPr>
              <w:t xml:space="preserve">Manuscript title</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3">
            <w:pPr>
              <w:spacing w:line="240" w:lineRule="auto"/>
              <w:rPr>
                <w:color w:val="000000"/>
              </w:rPr>
            </w:pPr>
            <w:r w:rsidDel="00000000" w:rsidR="00000000" w:rsidRPr="00000000">
              <w:rPr>
                <w:color w:val="000000"/>
                <w:rtl w:val="0"/>
              </w:rPr>
              <w:t xml:space="preserve">2</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4">
            <w:pPr>
              <w:spacing w:line="240" w:lineRule="auto"/>
              <w:rPr>
                <w:color w:val="000000"/>
              </w:rPr>
            </w:pPr>
            <w:r w:rsidDel="00000000" w:rsidR="00000000" w:rsidRPr="00000000">
              <w:rPr>
                <w:color w:val="000000"/>
                <w:rtl w:val="0"/>
              </w:rPr>
              <w:t xml:space="preserve">Structured summary — Background, objectives, eligibility criteria, sources, charting methods, results, conclusions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5">
            <w:pPr>
              <w:spacing w:line="240" w:lineRule="auto"/>
              <w:rPr>
                <w:color w:val="000000"/>
              </w:rPr>
            </w:pPr>
            <w:r w:rsidDel="00000000" w:rsidR="00000000" w:rsidRPr="00000000">
              <w:rPr>
                <w:color w:val="000000"/>
                <w:rtl w:val="0"/>
              </w:rPr>
              <w:t xml:space="preserve">Manuscript Abstract</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C6">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C7">
            <w:pPr>
              <w:spacing w:line="240" w:lineRule="auto"/>
              <w:rPr>
                <w:color w:val="000000"/>
              </w:rPr>
            </w:pPr>
            <w:r w:rsidDel="00000000" w:rsidR="00000000" w:rsidRPr="00000000">
              <w:rPr>
                <w:color w:val="000000"/>
                <w:rtl w:val="0"/>
              </w:rPr>
              <w:t xml:space="preserve">INTRODUCTION</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C8">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9">
            <w:pPr>
              <w:spacing w:line="240" w:lineRule="auto"/>
              <w:rPr>
                <w:color w:val="000000"/>
              </w:rPr>
            </w:pPr>
            <w:r w:rsidDel="00000000" w:rsidR="00000000" w:rsidRPr="00000000">
              <w:rPr>
                <w:color w:val="000000"/>
                <w:rtl w:val="0"/>
              </w:rPr>
              <w:t xml:space="preserve">3</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A">
            <w:pPr>
              <w:spacing w:line="240" w:lineRule="auto"/>
              <w:rPr>
                <w:color w:val="000000"/>
              </w:rPr>
            </w:pPr>
            <w:r w:rsidDel="00000000" w:rsidR="00000000" w:rsidRPr="00000000">
              <w:rPr>
                <w:color w:val="000000"/>
                <w:rtl w:val="0"/>
              </w:rPr>
              <w:t xml:space="preserve">Rationale — Describe the rationale for the review</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CB">
            <w:pPr>
              <w:spacing w:line="240" w:lineRule="auto"/>
              <w:rPr>
                <w:color w:val="000000"/>
              </w:rPr>
            </w:pPr>
            <w:r w:rsidDel="00000000" w:rsidR="00000000" w:rsidRPr="00000000">
              <w:rPr>
                <w:color w:val="000000"/>
                <w:rtl w:val="0"/>
              </w:rPr>
              <w:t xml:space="preserve">Manuscript Introduction; eAppendix 1.1</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C">
            <w:pPr>
              <w:spacing w:line="240" w:lineRule="auto"/>
              <w:rPr>
                <w:color w:val="000000"/>
              </w:rPr>
            </w:pPr>
            <w:r w:rsidDel="00000000" w:rsidR="00000000" w:rsidRPr="00000000">
              <w:rPr>
                <w:color w:val="000000"/>
                <w:rtl w:val="0"/>
              </w:rPr>
              <w:t xml:space="preserve">4</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D">
            <w:pPr>
              <w:spacing w:line="240" w:lineRule="auto"/>
              <w:rPr>
                <w:color w:val="000000"/>
              </w:rPr>
            </w:pPr>
            <w:r w:rsidDel="00000000" w:rsidR="00000000" w:rsidRPr="00000000">
              <w:rPr>
                <w:color w:val="000000"/>
                <w:rtl w:val="0"/>
              </w:rPr>
              <w:t xml:space="preserve">Objectives — State the review questions and objectives, with reference to PCC or similar</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CE">
            <w:pPr>
              <w:spacing w:line="240" w:lineRule="auto"/>
              <w:rPr>
                <w:color w:val="000000"/>
              </w:rPr>
            </w:pPr>
            <w:r w:rsidDel="00000000" w:rsidR="00000000" w:rsidRPr="00000000">
              <w:rPr>
                <w:color w:val="000000"/>
                <w:rtl w:val="0"/>
              </w:rPr>
              <w:t xml:space="preserve">Manuscript Methods; eAppendix 1.2, 1.3</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CF">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D0">
            <w:pPr>
              <w:spacing w:line="240" w:lineRule="auto"/>
              <w:rPr>
                <w:color w:val="000000"/>
              </w:rPr>
            </w:pPr>
            <w:r w:rsidDel="00000000" w:rsidR="00000000" w:rsidRPr="00000000">
              <w:rPr>
                <w:color w:val="000000"/>
                <w:rtl w:val="0"/>
              </w:rPr>
              <w:t xml:space="preserve">METHODS</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D1">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2">
            <w:pPr>
              <w:spacing w:line="240" w:lineRule="auto"/>
              <w:rPr>
                <w:color w:val="000000"/>
              </w:rPr>
            </w:pPr>
            <w:r w:rsidDel="00000000" w:rsidR="00000000" w:rsidRPr="00000000">
              <w:rPr>
                <w:color w:val="000000"/>
                <w:rtl w:val="0"/>
              </w:rPr>
              <w:t xml:space="preserve">5</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3">
            <w:pPr>
              <w:spacing w:line="240" w:lineRule="auto"/>
              <w:rPr>
                <w:color w:val="000000"/>
              </w:rPr>
            </w:pPr>
            <w:r w:rsidDel="00000000" w:rsidR="00000000" w:rsidRPr="00000000">
              <w:rPr>
                <w:color w:val="000000"/>
                <w:rtl w:val="0"/>
              </w:rPr>
              <w:t xml:space="preserve">Protocol and registration — State whether a review protocol exists and where it can be accessed</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4">
            <w:pPr>
              <w:spacing w:line="240" w:lineRule="auto"/>
              <w:rPr>
                <w:color w:val="000000"/>
              </w:rPr>
            </w:pPr>
            <w:r w:rsidDel="00000000" w:rsidR="00000000" w:rsidRPr="00000000">
              <w:rPr>
                <w:color w:val="000000"/>
                <w:rtl w:val="0"/>
              </w:rPr>
              <w:t xml:space="preserve">eAppendix 1.4</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5">
            <w:pPr>
              <w:spacing w:line="240" w:lineRule="auto"/>
              <w:rPr>
                <w:color w:val="000000"/>
              </w:rPr>
            </w:pPr>
            <w:r w:rsidDel="00000000" w:rsidR="00000000" w:rsidRPr="00000000">
              <w:rPr>
                <w:color w:val="000000"/>
                <w:rtl w:val="0"/>
              </w:rPr>
              <w:t xml:space="preserve">6</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6">
            <w:pPr>
              <w:spacing w:line="240" w:lineRule="auto"/>
              <w:rPr>
                <w:color w:val="000000"/>
              </w:rPr>
            </w:pPr>
            <w:r w:rsidDel="00000000" w:rsidR="00000000" w:rsidRPr="00000000">
              <w:rPr>
                <w:color w:val="000000"/>
                <w:rtl w:val="0"/>
              </w:rPr>
              <w:t xml:space="preserve">Eligibility criteria — Specify characteristics used as eligibility criteria, with rationale</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7">
            <w:pPr>
              <w:spacing w:line="240" w:lineRule="auto"/>
              <w:rPr>
                <w:color w:val="000000"/>
              </w:rPr>
            </w:pPr>
            <w:r w:rsidDel="00000000" w:rsidR="00000000" w:rsidRPr="00000000">
              <w:rPr>
                <w:color w:val="000000"/>
                <w:rtl w:val="0"/>
              </w:rPr>
              <w:t xml:space="preserve">eAppendix 1.3</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8">
            <w:pPr>
              <w:spacing w:line="240" w:lineRule="auto"/>
              <w:rPr>
                <w:color w:val="000000"/>
              </w:rPr>
            </w:pPr>
            <w:r w:rsidDel="00000000" w:rsidR="00000000" w:rsidRPr="00000000">
              <w:rPr>
                <w:color w:val="000000"/>
                <w:rtl w:val="0"/>
              </w:rPr>
              <w:t xml:space="preserve">7</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9">
            <w:pPr>
              <w:spacing w:line="240" w:lineRule="auto"/>
              <w:rPr>
                <w:color w:val="000000"/>
              </w:rPr>
            </w:pPr>
            <w:r w:rsidDel="00000000" w:rsidR="00000000" w:rsidRPr="00000000">
              <w:rPr>
                <w:color w:val="000000"/>
                <w:rtl w:val="0"/>
              </w:rPr>
              <w:t xml:space="preserve">Information sources — Describe sources searched and date of last search</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A">
            <w:pPr>
              <w:spacing w:line="240" w:lineRule="auto"/>
              <w:rPr>
                <w:color w:val="000000"/>
              </w:rPr>
            </w:pPr>
            <w:r w:rsidDel="00000000" w:rsidR="00000000" w:rsidRPr="00000000">
              <w:rPr>
                <w:color w:val="000000"/>
                <w:rtl w:val="0"/>
              </w:rPr>
              <w:t xml:space="preserve">eAppendix 2.1, eTable 2</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B">
            <w:pPr>
              <w:spacing w:line="240" w:lineRule="auto"/>
              <w:rPr>
                <w:color w:val="000000"/>
              </w:rPr>
            </w:pPr>
            <w:r w:rsidDel="00000000" w:rsidR="00000000" w:rsidRPr="00000000">
              <w:rPr>
                <w:color w:val="000000"/>
                <w:rtl w:val="0"/>
              </w:rPr>
              <w:t xml:space="preserve">8</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C">
            <w:pPr>
              <w:spacing w:line="240" w:lineRule="auto"/>
              <w:rPr>
                <w:color w:val="000000"/>
              </w:rPr>
            </w:pPr>
            <w:r w:rsidDel="00000000" w:rsidR="00000000" w:rsidRPr="00000000">
              <w:rPr>
                <w:color w:val="000000"/>
                <w:rtl w:val="0"/>
              </w:rPr>
              <w:t xml:space="preserve">Search — Present full electronic search strategy for at least one database, including limits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DD">
            <w:pPr>
              <w:spacing w:line="240" w:lineRule="auto"/>
              <w:rPr>
                <w:color w:val="000000"/>
              </w:rPr>
            </w:pPr>
            <w:r w:rsidDel="00000000" w:rsidR="00000000" w:rsidRPr="00000000">
              <w:rPr>
                <w:color w:val="000000"/>
                <w:rtl w:val="0"/>
              </w:rPr>
              <w:t xml:space="preserve">eAppendix 2.3 (all three databases provided verbatim)</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E">
            <w:pPr>
              <w:spacing w:line="240" w:lineRule="auto"/>
              <w:rPr>
                <w:color w:val="000000"/>
              </w:rPr>
            </w:pPr>
            <w:r w:rsidDel="00000000" w:rsidR="00000000" w:rsidRPr="00000000">
              <w:rPr>
                <w:color w:val="000000"/>
                <w:rtl w:val="0"/>
              </w:rPr>
              <w:t xml:space="preserve">9</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DF">
            <w:pPr>
              <w:spacing w:line="240" w:lineRule="auto"/>
              <w:rPr>
                <w:color w:val="000000"/>
              </w:rPr>
            </w:pPr>
            <w:r w:rsidDel="00000000" w:rsidR="00000000" w:rsidRPr="00000000">
              <w:rPr>
                <w:color w:val="000000"/>
                <w:rtl w:val="0"/>
              </w:rPr>
              <w:t xml:space="preserve">Selection of sources of evidence — State the process for selecting sources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0">
            <w:pPr>
              <w:spacing w:line="240" w:lineRule="auto"/>
              <w:rPr>
                <w:color w:val="000000"/>
              </w:rPr>
            </w:pPr>
            <w:r w:rsidDel="00000000" w:rsidR="00000000" w:rsidRPr="00000000">
              <w:rPr>
                <w:color w:val="000000"/>
                <w:rtl w:val="0"/>
              </w:rPr>
              <w:t xml:space="preserve">Manuscript Methods; eAppendix 3.1</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1">
            <w:pPr>
              <w:spacing w:line="240" w:lineRule="auto"/>
              <w:rPr>
                <w:color w:val="000000"/>
              </w:rPr>
            </w:pPr>
            <w:r w:rsidDel="00000000" w:rsidR="00000000" w:rsidRPr="00000000">
              <w:rPr>
                <w:color w:val="000000"/>
                <w:rtl w:val="0"/>
              </w:rPr>
              <w:t xml:space="preserve">10</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2">
            <w:pPr>
              <w:spacing w:line="240" w:lineRule="auto"/>
              <w:rPr>
                <w:color w:val="000000"/>
              </w:rPr>
            </w:pPr>
            <w:r w:rsidDel="00000000" w:rsidR="00000000" w:rsidRPr="00000000">
              <w:rPr>
                <w:color w:val="000000"/>
                <w:rtl w:val="0"/>
              </w:rPr>
              <w:t xml:space="preserve">Data charting process — Describe methods of charting (calibration, independence, charting form)</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3">
            <w:pPr>
              <w:spacing w:line="240" w:lineRule="auto"/>
              <w:rPr>
                <w:color w:val="000000"/>
              </w:rPr>
            </w:pPr>
            <w:r w:rsidDel="00000000" w:rsidR="00000000" w:rsidRPr="00000000">
              <w:rPr>
                <w:color w:val="000000"/>
                <w:rtl w:val="0"/>
              </w:rPr>
              <w:t xml:space="preserve">eAppendix 3.2</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4">
            <w:pPr>
              <w:spacing w:line="240" w:lineRule="auto"/>
              <w:rPr>
                <w:color w:val="000000"/>
              </w:rPr>
            </w:pPr>
            <w:r w:rsidDel="00000000" w:rsidR="00000000" w:rsidRPr="00000000">
              <w:rPr>
                <w:color w:val="000000"/>
                <w:rtl w:val="0"/>
              </w:rPr>
              <w:t xml:space="preserve">11</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5">
            <w:pPr>
              <w:spacing w:line="240" w:lineRule="auto"/>
              <w:rPr>
                <w:color w:val="000000"/>
              </w:rPr>
            </w:pPr>
            <w:r w:rsidDel="00000000" w:rsidR="00000000" w:rsidRPr="00000000">
              <w:rPr>
                <w:color w:val="000000"/>
                <w:rtl w:val="0"/>
              </w:rPr>
              <w:t xml:space="preserve">Data items — List and define all variables for which data were sought</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6">
            <w:pPr>
              <w:spacing w:line="240" w:lineRule="auto"/>
              <w:rPr>
                <w:color w:val="000000"/>
              </w:rPr>
            </w:pPr>
            <w:r w:rsidDel="00000000" w:rsidR="00000000" w:rsidRPr="00000000">
              <w:rPr>
                <w:color w:val="000000"/>
                <w:rtl w:val="0"/>
              </w:rPr>
              <w:t xml:space="preserve">eAppendix 3.2.1–3.2.8</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7">
            <w:pPr>
              <w:spacing w:line="240" w:lineRule="auto"/>
              <w:rPr>
                <w:color w:val="000000"/>
              </w:rPr>
            </w:pPr>
            <w:r w:rsidDel="00000000" w:rsidR="00000000" w:rsidRPr="00000000">
              <w:rPr>
                <w:color w:val="000000"/>
                <w:rtl w:val="0"/>
              </w:rPr>
              <w:t xml:space="preserve">12</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8">
            <w:pPr>
              <w:spacing w:line="240" w:lineRule="auto"/>
              <w:rPr>
                <w:color w:val="000000"/>
              </w:rPr>
            </w:pPr>
            <w:r w:rsidDel="00000000" w:rsidR="00000000" w:rsidRPr="00000000">
              <w:rPr>
                <w:color w:val="000000"/>
                <w:rtl w:val="0"/>
              </w:rPr>
              <w:t xml:space="preserve">Critical appraisal of individual sources of evidence — If done, describe the methods used (optional for scoping reviews)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E9">
            <w:pPr>
              <w:spacing w:line="240" w:lineRule="auto"/>
              <w:rPr>
                <w:color w:val="000000"/>
              </w:rPr>
            </w:pPr>
            <w:r w:rsidDel="00000000" w:rsidR="00000000" w:rsidRPr="00000000">
              <w:rPr>
                <w:color w:val="000000"/>
                <w:rtl w:val="0"/>
              </w:rPr>
              <w:t xml:space="preserve">eAppendix 3.3 (not performed; rationale provided)</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A">
            <w:pPr>
              <w:spacing w:line="240" w:lineRule="auto"/>
              <w:rPr>
                <w:color w:val="000000"/>
              </w:rPr>
            </w:pPr>
            <w:r w:rsidDel="00000000" w:rsidR="00000000" w:rsidRPr="00000000">
              <w:rPr>
                <w:color w:val="000000"/>
                <w:rtl w:val="0"/>
              </w:rPr>
              <w:t xml:space="preserve">13</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B">
            <w:pPr>
              <w:spacing w:line="240" w:lineRule="auto"/>
              <w:rPr>
                <w:color w:val="000000"/>
              </w:rPr>
            </w:pPr>
            <w:r w:rsidDel="00000000" w:rsidR="00000000" w:rsidRPr="00000000">
              <w:rPr>
                <w:color w:val="000000"/>
                <w:rtl w:val="0"/>
              </w:rPr>
              <w:t xml:space="preserve">Synthesis of results — Describe methods of handling and summarizing the data</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EC">
            <w:pPr>
              <w:spacing w:line="240" w:lineRule="auto"/>
              <w:rPr>
                <w:color w:val="000000"/>
              </w:rPr>
            </w:pPr>
            <w:r w:rsidDel="00000000" w:rsidR="00000000" w:rsidRPr="00000000">
              <w:rPr>
                <w:color w:val="000000"/>
                <w:rtl w:val="0"/>
              </w:rPr>
              <w:t xml:space="preserve">Manuscript Methods; eAppendix 3.4, 4</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ED">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EE">
            <w:pPr>
              <w:spacing w:line="240" w:lineRule="auto"/>
              <w:rPr>
                <w:color w:val="000000"/>
              </w:rPr>
            </w:pPr>
            <w:r w:rsidDel="00000000" w:rsidR="00000000" w:rsidRPr="00000000">
              <w:rPr>
                <w:color w:val="000000"/>
                <w:rtl w:val="0"/>
              </w:rPr>
              <w:t xml:space="preserve">RESULTS</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EF">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0">
            <w:pPr>
              <w:spacing w:line="240" w:lineRule="auto"/>
              <w:rPr>
                <w:color w:val="000000"/>
              </w:rPr>
            </w:pPr>
            <w:r w:rsidDel="00000000" w:rsidR="00000000" w:rsidRPr="00000000">
              <w:rPr>
                <w:color w:val="000000"/>
                <w:rtl w:val="0"/>
              </w:rPr>
              <w:t xml:space="preserve">14</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1">
            <w:pPr>
              <w:spacing w:line="240" w:lineRule="auto"/>
              <w:rPr>
                <w:color w:val="000000"/>
              </w:rPr>
            </w:pPr>
            <w:r w:rsidDel="00000000" w:rsidR="00000000" w:rsidRPr="00000000">
              <w:rPr>
                <w:color w:val="000000"/>
                <w:rtl w:val="0"/>
              </w:rPr>
              <w:t xml:space="preserve">Selection of sources of evidence — Numbers screened, assessed, and included, with reasons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2">
            <w:pPr>
              <w:spacing w:line="240" w:lineRule="auto"/>
              <w:rPr>
                <w:color w:val="000000"/>
              </w:rPr>
            </w:pPr>
            <w:r w:rsidDel="00000000" w:rsidR="00000000" w:rsidRPr="00000000">
              <w:rPr>
                <w:color w:val="000000"/>
                <w:rtl w:val="0"/>
              </w:rPr>
              <w:t xml:space="preserve">Manuscript Results; Figure 1 (PRISMA flow)</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3">
            <w:pPr>
              <w:spacing w:line="240" w:lineRule="auto"/>
              <w:rPr>
                <w:color w:val="000000"/>
              </w:rPr>
            </w:pPr>
            <w:r w:rsidDel="00000000" w:rsidR="00000000" w:rsidRPr="00000000">
              <w:rPr>
                <w:color w:val="000000"/>
                <w:rtl w:val="0"/>
              </w:rPr>
              <w:t xml:space="preserve">15</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4">
            <w:pPr>
              <w:spacing w:line="240" w:lineRule="auto"/>
              <w:rPr>
                <w:color w:val="000000"/>
              </w:rPr>
            </w:pPr>
            <w:r w:rsidDel="00000000" w:rsidR="00000000" w:rsidRPr="00000000">
              <w:rPr>
                <w:color w:val="000000"/>
                <w:rtl w:val="0"/>
              </w:rPr>
              <w:t xml:space="preserve">Characteristics of sources of evidence — Present source characteristics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5">
            <w:pPr>
              <w:spacing w:line="240" w:lineRule="auto"/>
              <w:rPr>
                <w:color w:val="000000"/>
              </w:rPr>
            </w:pPr>
            <w:r w:rsidDel="00000000" w:rsidR="00000000" w:rsidRPr="00000000">
              <w:rPr>
                <w:color w:val="000000"/>
                <w:rtl w:val="0"/>
              </w:rPr>
              <w:t xml:space="preserve">Manuscript Table 1</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6">
            <w:pPr>
              <w:spacing w:line="240" w:lineRule="auto"/>
              <w:rPr>
                <w:color w:val="000000"/>
              </w:rPr>
            </w:pPr>
            <w:r w:rsidDel="00000000" w:rsidR="00000000" w:rsidRPr="00000000">
              <w:rPr>
                <w:color w:val="000000"/>
                <w:rtl w:val="0"/>
              </w:rPr>
              <w:t xml:space="preserve">16</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7">
            <w:pPr>
              <w:spacing w:line="240" w:lineRule="auto"/>
              <w:rPr>
                <w:color w:val="000000"/>
              </w:rPr>
            </w:pPr>
            <w:r w:rsidDel="00000000" w:rsidR="00000000" w:rsidRPr="00000000">
              <w:rPr>
                <w:color w:val="000000"/>
                <w:rtl w:val="0"/>
              </w:rPr>
              <w:t xml:space="preserve">Critical appraisal within sources of evidence — Present data on critical appraisal if done</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8">
            <w:pPr>
              <w:spacing w:line="240" w:lineRule="auto"/>
              <w:rPr>
                <w:color w:val="000000"/>
              </w:rPr>
            </w:pPr>
            <w:r w:rsidDel="00000000" w:rsidR="00000000" w:rsidRPr="00000000">
              <w:rPr>
                <w:color w:val="000000"/>
                <w:rtl w:val="0"/>
              </w:rPr>
              <w:t xml:space="preserve">Not applicable (see item 12)</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9">
            <w:pPr>
              <w:spacing w:line="240" w:lineRule="auto"/>
              <w:rPr>
                <w:color w:val="000000"/>
              </w:rPr>
            </w:pPr>
            <w:r w:rsidDel="00000000" w:rsidR="00000000" w:rsidRPr="00000000">
              <w:rPr>
                <w:color w:val="000000"/>
                <w:rtl w:val="0"/>
              </w:rPr>
              <w:t xml:space="preserve">17</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A">
            <w:pPr>
              <w:spacing w:line="240" w:lineRule="auto"/>
              <w:rPr>
                <w:color w:val="000000"/>
              </w:rPr>
            </w:pPr>
            <w:r w:rsidDel="00000000" w:rsidR="00000000" w:rsidRPr="00000000">
              <w:rPr>
                <w:color w:val="000000"/>
                <w:rtl w:val="0"/>
              </w:rPr>
              <w:t xml:space="preserve">Results of individual sources of evidence — Present data relevant to the review questions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0FB">
            <w:pPr>
              <w:spacing w:line="240" w:lineRule="auto"/>
              <w:rPr>
                <w:color w:val="000000"/>
              </w:rPr>
            </w:pPr>
            <w:r w:rsidDel="00000000" w:rsidR="00000000" w:rsidRPr="00000000">
              <w:rPr>
                <w:color w:val="000000"/>
                <w:rtl w:val="0"/>
              </w:rPr>
              <w:t xml:space="preserve">Manuscript Results; Figure 2; eAppendix 3.4</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C">
            <w:pPr>
              <w:spacing w:line="240" w:lineRule="auto"/>
              <w:rPr>
                <w:color w:val="000000"/>
              </w:rPr>
            </w:pPr>
            <w:r w:rsidDel="00000000" w:rsidR="00000000" w:rsidRPr="00000000">
              <w:rPr>
                <w:color w:val="000000"/>
                <w:rtl w:val="0"/>
              </w:rPr>
              <w:t xml:space="preserve">18</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D">
            <w:pPr>
              <w:spacing w:line="240" w:lineRule="auto"/>
              <w:rPr>
                <w:color w:val="000000"/>
              </w:rPr>
            </w:pPr>
            <w:r w:rsidDel="00000000" w:rsidR="00000000" w:rsidRPr="00000000">
              <w:rPr>
                <w:color w:val="000000"/>
                <w:rtl w:val="0"/>
              </w:rPr>
              <w:t xml:space="preserve">Synthesis of results — Summarize/present results in alignment with the objectives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0FE">
            <w:pPr>
              <w:spacing w:line="240" w:lineRule="auto"/>
              <w:rPr>
                <w:color w:val="000000"/>
              </w:rPr>
            </w:pPr>
            <w:r w:rsidDel="00000000" w:rsidR="00000000" w:rsidRPr="00000000">
              <w:rPr>
                <w:color w:val="000000"/>
                <w:rtl w:val="0"/>
              </w:rPr>
              <w:t xml:space="preserve">Manuscript Results &amp; Discussion; Figure 3</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0FF">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100">
            <w:pPr>
              <w:spacing w:line="240" w:lineRule="auto"/>
              <w:rPr>
                <w:color w:val="000000"/>
              </w:rPr>
            </w:pPr>
            <w:r w:rsidDel="00000000" w:rsidR="00000000" w:rsidRPr="00000000">
              <w:rPr>
                <w:color w:val="000000"/>
                <w:rtl w:val="0"/>
              </w:rPr>
              <w:t xml:space="preserve">DISCUSSION</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101">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2">
            <w:pPr>
              <w:spacing w:line="240" w:lineRule="auto"/>
              <w:rPr>
                <w:color w:val="000000"/>
              </w:rPr>
            </w:pPr>
            <w:r w:rsidDel="00000000" w:rsidR="00000000" w:rsidRPr="00000000">
              <w:rPr>
                <w:color w:val="000000"/>
                <w:rtl w:val="0"/>
              </w:rPr>
              <w:t xml:space="preserve">19</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3">
            <w:pPr>
              <w:spacing w:line="240" w:lineRule="auto"/>
              <w:rPr>
                <w:color w:val="000000"/>
              </w:rPr>
            </w:pPr>
            <w:r w:rsidDel="00000000" w:rsidR="00000000" w:rsidRPr="00000000">
              <w:rPr>
                <w:color w:val="000000"/>
                <w:rtl w:val="0"/>
              </w:rPr>
              <w:t xml:space="preserve">Summary of evidence — Summarize main results with reference to objectives and target audiences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4">
            <w:pPr>
              <w:spacing w:line="240" w:lineRule="auto"/>
              <w:rPr>
                <w:color w:val="000000"/>
              </w:rPr>
            </w:pPr>
            <w:r w:rsidDel="00000000" w:rsidR="00000000" w:rsidRPr="00000000">
              <w:rPr>
                <w:color w:val="000000"/>
                <w:rtl w:val="0"/>
              </w:rPr>
              <w:t xml:space="preserve">Manuscript Discussion &amp; Conclusion</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05">
            <w:pPr>
              <w:spacing w:line="240" w:lineRule="auto"/>
              <w:rPr>
                <w:color w:val="000000"/>
              </w:rPr>
            </w:pPr>
            <w:r w:rsidDel="00000000" w:rsidR="00000000" w:rsidRPr="00000000">
              <w:rPr>
                <w:color w:val="000000"/>
                <w:rtl w:val="0"/>
              </w:rPr>
              <w:t xml:space="preserve">20</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06">
            <w:pPr>
              <w:spacing w:line="240" w:lineRule="auto"/>
              <w:rPr>
                <w:color w:val="000000"/>
              </w:rPr>
            </w:pPr>
            <w:r w:rsidDel="00000000" w:rsidR="00000000" w:rsidRPr="00000000">
              <w:rPr>
                <w:color w:val="000000"/>
                <w:rtl w:val="0"/>
              </w:rPr>
              <w:t xml:space="preserve">Limitations — Discuss limitations of the scoping review process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07">
            <w:pPr>
              <w:spacing w:line="240" w:lineRule="auto"/>
              <w:rPr>
                <w:color w:val="000000"/>
              </w:rPr>
            </w:pPr>
            <w:r w:rsidDel="00000000" w:rsidR="00000000" w:rsidRPr="00000000">
              <w:rPr>
                <w:color w:val="000000"/>
                <w:rtl w:val="0"/>
              </w:rPr>
              <w:t xml:space="preserve">Manuscript Limitations</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8">
            <w:pPr>
              <w:spacing w:line="240" w:lineRule="auto"/>
              <w:rPr>
                <w:color w:val="000000"/>
              </w:rPr>
            </w:pPr>
            <w:r w:rsidDel="00000000" w:rsidR="00000000" w:rsidRPr="00000000">
              <w:rPr>
                <w:color w:val="000000"/>
                <w:rtl w:val="0"/>
              </w:rPr>
              <w:t xml:space="preserve">21</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9">
            <w:pPr>
              <w:spacing w:line="240" w:lineRule="auto"/>
              <w:rPr>
                <w:color w:val="000000"/>
              </w:rPr>
            </w:pPr>
            <w:r w:rsidDel="00000000" w:rsidR="00000000" w:rsidRPr="00000000">
              <w:rPr>
                <w:color w:val="000000"/>
                <w:rtl w:val="0"/>
              </w:rPr>
              <w:t xml:space="preserve">Conclusions — Provide general interpretation of results and implications</w:t>
            </w:r>
          </w:p>
        </w:tc>
        <w:tc>
          <w:tcPr>
            <w:tcBorders>
              <w:top w:color="808080" w:space="0" w:sz="4" w:val="single"/>
              <w:left w:color="808080" w:space="0" w:sz="4" w:val="single"/>
              <w:bottom w:color="808080" w:space="0" w:sz="4" w:val="single"/>
              <w:right w:color="808080" w:space="0" w:sz="4" w:val="single"/>
            </w:tcBorders>
            <w:shd w:fill="f2f2f2" w:val="clear"/>
            <w:tcMar>
              <w:top w:w="100.0" w:type="dxa"/>
              <w:left w:w="140.0" w:type="dxa"/>
              <w:bottom w:w="100.0" w:type="dxa"/>
              <w:right w:w="140.0" w:type="dxa"/>
            </w:tcMar>
          </w:tcPr>
          <w:p w:rsidR="00000000" w:rsidDel="00000000" w:rsidP="00000000" w:rsidRDefault="00000000" w:rsidRPr="00000000" w14:paraId="0000010A">
            <w:pPr>
              <w:spacing w:line="240" w:lineRule="auto"/>
              <w:rPr>
                <w:color w:val="000000"/>
              </w:rPr>
            </w:pPr>
            <w:r w:rsidDel="00000000" w:rsidR="00000000" w:rsidRPr="00000000">
              <w:rPr>
                <w:color w:val="000000"/>
                <w:rtl w:val="0"/>
              </w:rPr>
              <w:t xml:space="preserve">Manuscript Conclusion</w:t>
            </w:r>
          </w:p>
        </w:tc>
      </w:tr>
      <w:tr>
        <w:trPr>
          <w:cantSplit w:val="0"/>
          <w:tblHeader w:val="0"/>
        </w:trPr>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10B">
            <w:pPr>
              <w:spacing w:line="240" w:lineRule="auto"/>
              <w:rPr>
                <w:color w:val="00000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10C">
            <w:pPr>
              <w:spacing w:line="240" w:lineRule="auto"/>
              <w:rPr>
                <w:color w:val="000000"/>
              </w:rPr>
            </w:pPr>
            <w:r w:rsidDel="00000000" w:rsidR="00000000" w:rsidRPr="00000000">
              <w:rPr>
                <w:color w:val="000000"/>
                <w:rtl w:val="0"/>
              </w:rPr>
              <w:t xml:space="preserve">FUNDING</w:t>
            </w:r>
          </w:p>
        </w:tc>
        <w:tc>
          <w:tcPr>
            <w:tcBorders>
              <w:top w:color="808080" w:space="0" w:sz="4" w:val="single"/>
              <w:left w:color="808080" w:space="0" w:sz="4" w:val="single"/>
              <w:bottom w:color="808080" w:space="0" w:sz="4" w:val="single"/>
              <w:right w:color="808080" w:space="0" w:sz="4" w:val="single"/>
            </w:tcBorders>
            <w:shd w:fill="dde6f0" w:val="clear"/>
            <w:tcMar>
              <w:top w:w="100.0" w:type="dxa"/>
              <w:left w:w="140.0" w:type="dxa"/>
              <w:bottom w:w="100.0" w:type="dxa"/>
              <w:right w:w="140.0" w:type="dxa"/>
            </w:tcMar>
          </w:tcPr>
          <w:p w:rsidR="00000000" w:rsidDel="00000000" w:rsidP="00000000" w:rsidRDefault="00000000" w:rsidRPr="00000000" w14:paraId="0000010D">
            <w:pPr>
              <w:spacing w:line="240" w:lineRule="auto"/>
              <w:rPr>
                <w:color w:val="00000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0E">
            <w:pPr>
              <w:spacing w:line="240" w:lineRule="auto"/>
              <w:rPr>
                <w:color w:val="000000"/>
              </w:rPr>
            </w:pPr>
            <w:r w:rsidDel="00000000" w:rsidR="00000000" w:rsidRPr="00000000">
              <w:rPr>
                <w:color w:val="000000"/>
                <w:rtl w:val="0"/>
              </w:rPr>
              <w:t xml:space="preserve">22</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0F">
            <w:pPr>
              <w:spacing w:line="240" w:lineRule="auto"/>
              <w:rPr>
                <w:color w:val="000000"/>
              </w:rPr>
            </w:pPr>
            <w:r w:rsidDel="00000000" w:rsidR="00000000" w:rsidRPr="00000000">
              <w:rPr>
                <w:color w:val="000000"/>
                <w:rtl w:val="0"/>
              </w:rPr>
              <w:t xml:space="preserve">Funding — Describe sources of funding for the review and the role of the funders</w:t>
            </w:r>
          </w:p>
        </w:tc>
        <w:tc>
          <w:tcPr>
            <w:tcBorders>
              <w:top w:color="808080" w:space="0" w:sz="4" w:val="single"/>
              <w:left w:color="808080" w:space="0" w:sz="4" w:val="single"/>
              <w:bottom w:color="808080" w:space="0" w:sz="4" w:val="single"/>
              <w:right w:color="808080" w:space="0" w:sz="4" w:val="single"/>
            </w:tcBorders>
            <w:tcMar>
              <w:top w:w="100.0" w:type="dxa"/>
              <w:left w:w="140.0" w:type="dxa"/>
              <w:bottom w:w="100.0" w:type="dxa"/>
              <w:right w:w="140.0" w:type="dxa"/>
            </w:tcMar>
          </w:tcPr>
          <w:p w:rsidR="00000000" w:rsidDel="00000000" w:rsidP="00000000" w:rsidRDefault="00000000" w:rsidRPr="00000000" w14:paraId="00000110">
            <w:pPr>
              <w:spacing w:line="240" w:lineRule="auto"/>
              <w:rPr>
                <w:color w:val="000000"/>
              </w:rPr>
            </w:pPr>
            <w:r w:rsidDel="00000000" w:rsidR="00000000" w:rsidRPr="00000000">
              <w:rPr>
                <w:color w:val="000000"/>
                <w:rtl w:val="0"/>
              </w:rPr>
              <w:t xml:space="preserve">Manuscript Funding/Disclosures section</w:t>
            </w:r>
          </w:p>
        </w:tc>
      </w:tr>
    </w:tbl>
    <w:p w:rsidR="00000000" w:rsidDel="00000000" w:rsidP="00000000" w:rsidRDefault="00000000" w:rsidRPr="00000000" w14:paraId="00000111">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rPr>
          <w:color w:val="000000"/>
        </w:rPr>
      </w:pPr>
      <w:r w:rsidDel="00000000" w:rsidR="00000000" w:rsidRPr="00000000">
        <w:rPr>
          <w:color w:val="000000"/>
          <w:rtl w:val="0"/>
        </w:rPr>
        <w:t xml:space="preserve">eAppendix 6. Deviations from the </w:t>
      </w:r>
      <w:r w:rsidDel="00000000" w:rsidR="00000000" w:rsidRPr="00000000">
        <w:rPr>
          <w:i w:val="1"/>
          <w:iCs w:val="1"/>
          <w:color w:val="000000"/>
          <w:rtl w:val="0"/>
        </w:rPr>
        <w:t xml:space="preserve">A Priori</w:t>
      </w:r>
      <w:r w:rsidDel="00000000" w:rsidR="00000000" w:rsidRPr="00000000">
        <w:rPr>
          <w:color w:val="000000"/>
          <w:rtl w:val="0"/>
        </w:rPr>
        <w:t xml:space="preserve"> Protocol</w:t>
      </w:r>
    </w:p>
    <w:p w:rsidR="00000000" w:rsidDel="00000000" w:rsidP="00000000" w:rsidRDefault="00000000" w:rsidRPr="00000000" w14:paraId="00000113">
      <w:pPr>
        <w:rPr>
          <w:color w:val="000000"/>
        </w:rPr>
      </w:pPr>
      <w:r w:rsidDel="00000000" w:rsidR="00000000" w:rsidRPr="00000000">
        <w:rPr>
          <w:color w:val="000000"/>
          <w:rtl w:val="0"/>
        </w:rPr>
        <w:t xml:space="preserve">We documented the following deviations from the original protocol developed in July 2025.</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Search date window. The original protocol specified "since the year 2000" with no upper bound. The final searches were limited at the upper bound to the date of execution (July 18, 2025 for PubMed and Embase; July 22, 2025 for Cochrane). </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Search term refinement. The protocol's initial concept list was expanded by the librarian to include MeSH/Emtree controlled vocabulary plus additional free-text variants (e.g., "VA Video Connect," "video visit," "patient portal," "e-Health") and to drop the overly broad term "storm" in stand-alone form in favor of more specific weather event terms. Test runs against five known included studies confirmed all were captured after refinement.</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Use of AI-assisted synthesis. The original protocol did not pre-specify the use of a large language model. We added the AI-assisted synthesis workflow described in eAppendix 4 mid-review to support inductive coding across the 14 included studies. All LLM outputs were verified against source data by human reviewers before incorporation.</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Dual-reviewer scope. The original protocol specified "dual-reviewer screening for a subset" without quantifying the subset. We operationalized this as 100% of title/abstract records and 100% of full-text records receiving dual independent review, as described in eAppendix 3.1.</w:t>
      </w:r>
      <w:r w:rsidDel="00000000" w:rsidR="00000000" w:rsidRPr="00000000">
        <w:br w:type="page"/>
      </w:r>
      <w:r w:rsidDel="00000000" w:rsidR="00000000" w:rsidRPr="00000000">
        <w:rPr>
          <w:rtl w:val="0"/>
        </w:rPr>
      </w:r>
    </w:p>
    <w:p w:rsidR="00000000" w:rsidDel="00000000" w:rsidP="00000000" w:rsidRDefault="00000000" w:rsidRPr="00000000" w14:paraId="00000118">
      <w:pPr>
        <w:pStyle w:val="Heading1"/>
        <w:rPr>
          <w:color w:val="000000"/>
        </w:rPr>
      </w:pPr>
      <w:r w:rsidDel="00000000" w:rsidR="00000000" w:rsidRPr="00000000">
        <w:rPr>
          <w:color w:val="000000"/>
          <w:rtl w:val="0"/>
        </w:rPr>
        <w:t xml:space="preserve">eAppendix 7. References for the Supplementary Appendix</w:t>
      </w:r>
    </w:p>
    <w:p w:rsidR="00000000" w:rsidDel="00000000" w:rsidP="00000000" w:rsidRDefault="00000000" w:rsidRPr="00000000" w14:paraId="00000119">
      <w:pPr>
        <w:rPr>
          <w:color w:val="000000"/>
        </w:rPr>
      </w:pPr>
      <w:r w:rsidDel="00000000" w:rsidR="00000000" w:rsidRPr="00000000">
        <w:rPr>
          <w:color w:val="000000"/>
          <w:rtl w:val="0"/>
        </w:rPr>
        <w:t xml:space="preserve">Tricco AC, Lillie E, Zarin W, et al. PRISMA Extension for Scoping Reviews (PRISMA-ScR): checklist and explanation. Ann Intern Med. 2018;169(7):467–473.</w:t>
      </w:r>
    </w:p>
    <w:p w:rsidR="00000000" w:rsidDel="00000000" w:rsidP="00000000" w:rsidRDefault="00000000" w:rsidRPr="00000000" w14:paraId="0000011A">
      <w:pPr>
        <w:rPr>
          <w:color w:val="000000"/>
        </w:rPr>
      </w:pPr>
      <w:r w:rsidDel="00000000" w:rsidR="00000000" w:rsidRPr="00000000">
        <w:rPr>
          <w:color w:val="000000"/>
          <w:rtl w:val="0"/>
        </w:rPr>
        <w:t xml:space="preserve">Page MJ, McKenzie JE, Bossuyt PM, et al. The PRISMA 2020 statement: an updated guideline for reporting systematic reviews. BMJ. 2021;372:n71.</w:t>
      </w:r>
    </w:p>
    <w:p w:rsidR="00000000" w:rsidDel="00000000" w:rsidP="00000000" w:rsidRDefault="00000000" w:rsidRPr="00000000" w14:paraId="0000011B">
      <w:pPr>
        <w:rPr>
          <w:color w:val="000000"/>
        </w:rPr>
      </w:pPr>
      <w:r w:rsidDel="00000000" w:rsidR="00000000" w:rsidRPr="00000000">
        <w:rPr>
          <w:color w:val="000000"/>
          <w:rtl w:val="0"/>
        </w:rPr>
        <w:t xml:space="preserve">Blaikie P, Cannon T, Davis I, Wisner B. At Risk: Natural Hazards, People's Vulnerability and Disasters. Routledge; 1994.</w:t>
      </w:r>
    </w:p>
    <w:p w:rsidR="00000000" w:rsidDel="00000000" w:rsidP="00000000" w:rsidRDefault="00000000" w:rsidRPr="00000000" w14:paraId="0000011C">
      <w:pPr>
        <w:rPr>
          <w:color w:val="000000"/>
        </w:rPr>
      </w:pPr>
      <w:r w:rsidDel="00000000" w:rsidR="00000000" w:rsidRPr="00000000">
        <w:rPr>
          <w:color w:val="000000"/>
          <w:rtl w:val="0"/>
        </w:rPr>
        <w:t xml:space="preserve">United Nations Office for Disaster Risk Reduction (UNDRR). Sendai Framework Terminology on Disaster Risk Reduction. 2017. https://www.undrr.org/terminology/disaster-risk.</w:t>
      </w:r>
    </w:p>
    <w:p w:rsidR="00000000" w:rsidDel="00000000" w:rsidP="00000000" w:rsidRDefault="00000000" w:rsidRPr="00000000" w14:paraId="0000011D">
      <w:pPr>
        <w:rPr>
          <w:color w:val="000000"/>
        </w:rPr>
      </w:pPr>
      <w:r w:rsidDel="00000000" w:rsidR="00000000" w:rsidRPr="00000000">
        <w:rPr>
          <w:color w:val="000000"/>
          <w:rtl w:val="0"/>
        </w:rPr>
        <w:t xml:space="preserve">Blanchet K, Nam SL, Ramalingam B, Pozo-Martin F. Governance and capacity to manage resilience of health systems: towards a new conceptual framework. Int J Health Policy Manag. 2017;6(8):431–435.</w:t>
      </w:r>
    </w:p>
    <w:p w:rsidR="00000000" w:rsidDel="00000000" w:rsidP="00000000" w:rsidRDefault="00000000" w:rsidRPr="00000000" w14:paraId="0000011E">
      <w:pPr>
        <w:rPr>
          <w:color w:val="000000"/>
        </w:rPr>
      </w:pPr>
      <w:r w:rsidDel="00000000" w:rsidR="00000000" w:rsidRPr="00000000">
        <w:rPr>
          <w:color w:val="000000"/>
          <w:rtl w:val="0"/>
        </w:rPr>
        <w:t xml:space="preserve">Witter S, Thomas S, Topp SM, et al. Health system resilience: a critical review and reconceptualisation. Lancet Glob Health. 2023;11(9):e1454–e1458.</w:t>
      </w:r>
    </w:p>
    <w:p w:rsidR="00000000" w:rsidDel="00000000" w:rsidP="00000000" w:rsidRDefault="00000000" w:rsidRPr="00000000" w14:paraId="0000011F">
      <w:pPr>
        <w:rPr>
          <w:color w:val="000000"/>
        </w:rPr>
      </w:pPr>
      <w:r w:rsidDel="00000000" w:rsidR="00000000" w:rsidRPr="00000000">
        <w:rPr>
          <w:color w:val="000000"/>
          <w:rtl w:val="0"/>
        </w:rPr>
        <w:t xml:space="preserve">Cacciamani GE, Eppler MB, Sayegh AS, et al. Development of the ChatGPT, Generative Artificial Intelligence and Natural Large Language Models for Accountable Reporting and Use Guidelines (CANGARU). arXiv. 2024;2307.08974.</w:t>
      </w:r>
    </w:p>
    <w:p w:rsidR="00000000" w:rsidDel="00000000" w:rsidP="00000000" w:rsidRDefault="00000000" w:rsidRPr="00000000" w14:paraId="00000120">
      <w:pPr>
        <w:rPr>
          <w:color w:val="000000"/>
        </w:rPr>
      </w:pPr>
      <w:r w:rsidDel="00000000" w:rsidR="00000000" w:rsidRPr="00000000">
        <w:rPr>
          <w:rtl w:val="0"/>
        </w:rPr>
      </w:r>
    </w:p>
    <w:sectPr>
      <w:headerReference r:id="rId7" w:type="default"/>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rPr/>
    </w:pPr>
    <w:r w:rsidDel="00000000" w:rsidR="00000000" w:rsidRPr="00000000">
      <w:rPr>
        <w:rtl w:val="0"/>
      </w:rPr>
      <w:t xml:space="preserve">McDonald et al., Telehealth &amp; Extreme Weather: Supplement</w:t>
      <w:tab/>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rPr/>
    </w:pPr>
    <w:r w:rsidDel="00000000" w:rsidR="00000000" w:rsidRPr="00000000">
      <w:rPr>
        <w:rtl w:val="0"/>
      </w:rPr>
      <w:t xml:space="preserve">Supplementary Appendix: Telehealth &amp; Extreme Weather Scoping Review</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3"/>
      <w:numFmt w:val="decimal"/>
      <w:lvlText w:val="%1"/>
      <w:lvlJc w:val="left"/>
      <w:pPr>
        <w:ind w:left="480" w:hanging="480"/>
      </w:pPr>
      <w:rPr/>
    </w:lvl>
    <w:lvl w:ilvl="1">
      <w:start w:val="2"/>
      <w:numFmt w:val="decimal"/>
      <w:lvlText w:val="%1.%2"/>
      <w:lvlJc w:val="left"/>
      <w:pPr>
        <w:ind w:left="480" w:hanging="480"/>
      </w:pPr>
      <w:rPr/>
    </w:lvl>
    <w:lvl w:ilvl="2">
      <w:start w:val="7"/>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360" w:line="240" w:lineRule="auto"/>
      <w:ind w:left="0" w:right="0" w:firstLine="0"/>
      <w:jc w:val="left"/>
    </w:pPr>
    <w:rPr>
      <w:rFonts w:ascii="Times New Roman" w:cs="Times New Roman" w:eastAsia="Times New Roman" w:hAnsi="Times New Roman"/>
      <w:b w:val="1"/>
      <w:bCs w:val="1"/>
      <w:i w:val="0"/>
      <w:iCs w:val="0"/>
      <w:smallCaps w:val="0"/>
      <w:strike w:val="0"/>
      <w:color w:val="1f3864"/>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40" w:lineRule="auto"/>
      <w:ind w:left="0" w:right="0" w:firstLine="0"/>
      <w:jc w:val="left"/>
    </w:pPr>
    <w:rPr>
      <w:rFonts w:ascii="Times New Roman" w:cs="Times New Roman" w:eastAsia="Times New Roman" w:hAnsi="Times New Roman"/>
      <w:b w:val="1"/>
      <w:bCs w:val="1"/>
      <w:i w:val="0"/>
      <w:iCs w:val="0"/>
      <w:smallCaps w:val="0"/>
      <w:strike w:val="0"/>
      <w:color w:val="1f3864"/>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20" w:line="240" w:lineRule="auto"/>
      <w:ind w:left="0" w:right="0" w:firstLine="0"/>
      <w:jc w:val="left"/>
    </w:pPr>
    <w:rPr>
      <w:rFonts w:ascii="Calibri" w:cs="Calibri" w:eastAsia="Calibri" w:hAnsi="Calibri"/>
      <w:b w:val="1"/>
      <w:bCs w:val="1"/>
      <w:i w:val="1"/>
      <w:iCs w:val="1"/>
      <w:smallCaps w:val="0"/>
      <w:strike w:val="0"/>
      <w:color w:val="2e5496"/>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autoRedefine w:val="1"/>
    <w:qFormat w:val="1"/>
    <w:rsid w:val="00463216"/>
    <w:pPr>
      <w:numPr>
        <w:numId w:val="2"/>
      </w:numPr>
      <w:spacing w:after="80" w:line="280" w:lineRule="auto"/>
    </w:pPr>
    <w:rPr>
      <w:rFonts w:ascii="Times New Roman" w:cs="Times New Roman" w:hAnsi="Times New Roman"/>
    </w:rPr>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character" w:styleId="CommentReference">
    <w:name w:val="annotation reference"/>
    <w:basedOn w:val="DefaultParagraphFont"/>
    <w:uiPriority w:val="99"/>
    <w:semiHidden w:val="1"/>
    <w:unhideWhenUsed w:val="1"/>
    <w:rsid w:val="00371E46"/>
    <w:rPr>
      <w:sz w:val="16"/>
      <w:szCs w:val="16"/>
    </w:rPr>
  </w:style>
  <w:style w:type="paragraph" w:styleId="CommentText">
    <w:name w:val="annotation text"/>
    <w:basedOn w:val="Normal"/>
    <w:link w:val="CommentTextChar"/>
    <w:uiPriority w:val="99"/>
    <w:semiHidden w:val="1"/>
    <w:unhideWhenUsed w:val="1"/>
    <w:rsid w:val="00371E46"/>
    <w:rPr>
      <w:szCs w:val="20"/>
    </w:rPr>
  </w:style>
  <w:style w:type="character" w:styleId="CommentTextChar" w:customStyle="1">
    <w:name w:val="Comment Text Char"/>
    <w:basedOn w:val="DefaultParagraphFont"/>
    <w:link w:val="CommentText"/>
    <w:uiPriority w:val="99"/>
    <w:semiHidden w:val="1"/>
    <w:rsid w:val="00371E46"/>
    <w:rPr>
      <w:sz w:val="20"/>
      <w:szCs w:val="20"/>
    </w:rPr>
  </w:style>
  <w:style w:type="paragraph" w:styleId="CommentSubject">
    <w:name w:val="annotation subject"/>
    <w:basedOn w:val="CommentText"/>
    <w:next w:val="CommentText"/>
    <w:link w:val="CommentSubjectChar"/>
    <w:uiPriority w:val="99"/>
    <w:semiHidden w:val="1"/>
    <w:unhideWhenUsed w:val="1"/>
    <w:rsid w:val="00371E46"/>
    <w:rPr>
      <w:b w:val="1"/>
      <w:bCs w:val="1"/>
    </w:rPr>
  </w:style>
  <w:style w:type="character" w:styleId="CommentSubjectChar" w:customStyle="1">
    <w:name w:val="Comment Subject Char"/>
    <w:basedOn w:val="CommentTextChar"/>
    <w:link w:val="CommentSubject"/>
    <w:uiPriority w:val="99"/>
    <w:semiHidden w:val="1"/>
    <w:rsid w:val="00371E46"/>
    <w:rPr>
      <w:b w:val="1"/>
      <w:bCs w:val="1"/>
      <w:sz w:val="20"/>
      <w:szCs w:val="20"/>
    </w:rPr>
  </w:style>
  <w:style w:type="paragraph" w:styleId="Header">
    <w:name w:val="header"/>
    <w:basedOn w:val="Normal"/>
    <w:link w:val="HeaderChar"/>
    <w:uiPriority w:val="99"/>
    <w:unhideWhenUsed w:val="1"/>
    <w:rsid w:val="00371E46"/>
    <w:pPr>
      <w:tabs>
        <w:tab w:val="center" w:pos="4680"/>
        <w:tab w:val="right" w:pos="9360"/>
      </w:tabs>
    </w:pPr>
  </w:style>
  <w:style w:type="character" w:styleId="HeaderChar" w:customStyle="1">
    <w:name w:val="Header Char"/>
    <w:basedOn w:val="DefaultParagraphFont"/>
    <w:link w:val="Header"/>
    <w:uiPriority w:val="99"/>
    <w:rsid w:val="00371E46"/>
  </w:style>
  <w:style w:type="paragraph" w:styleId="Footer">
    <w:name w:val="footer"/>
    <w:basedOn w:val="Normal"/>
    <w:link w:val="FooterChar"/>
    <w:uiPriority w:val="99"/>
    <w:unhideWhenUsed w:val="1"/>
    <w:rsid w:val="00371E46"/>
    <w:pPr>
      <w:tabs>
        <w:tab w:val="center" w:pos="4680"/>
        <w:tab w:val="right" w:pos="9360"/>
      </w:tabs>
    </w:pPr>
  </w:style>
  <w:style w:type="character" w:styleId="FooterChar" w:customStyle="1">
    <w:name w:val="Footer Char"/>
    <w:basedOn w:val="DefaultParagraphFont"/>
    <w:link w:val="Footer"/>
    <w:uiPriority w:val="99"/>
    <w:rsid w:val="00371E46"/>
  </w:style>
  <w:style w:type="character" w:styleId="UnresolvedMention">
    <w:name w:val="Unresolved Mention"/>
    <w:basedOn w:val="DefaultParagraphFont"/>
    <w:uiPriority w:val="99"/>
    <w:semiHidden w:val="1"/>
    <w:unhideWhenUsed w:val="1"/>
    <w:rsid w:val="004647A7"/>
    <w:rPr>
      <w:color w:val="605e5c"/>
      <w:shd w:color="auto" w:fill="e1dfdd" w:val="clear"/>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f7sq97MqgYKBaVqrSak870rfQg==">CgMxLjAaFAoBMBIPCg0IB0IJEgdHdW5nc3VoOABqKQoUc3VnZ2VzdC43eW4ycGQzY3NrcGsSEUxpbm5hZWEgU2NodXR0bmVyaikKFHN1Z2dlc3QuZzlpc2R3NXdzdHo3EhFMaW5uYWVhIFNjaHV0dG5lcnIhMU50am1iazdiOS01WlpuUFBpelptdVBUSU1fTXRlTkp6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2026-08-17T22:24:00Z</dcterms:created>
  <dc:creator>Valerie McDonald</dc:creator>
</cp:coreProperties>
</file>