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CC0BB" w14:textId="77777777" w:rsidR="00A9542D" w:rsidRPr="00EE6866" w:rsidRDefault="00A9542D" w:rsidP="00A9542D">
      <w:pPr>
        <w:jc w:val="both"/>
        <w:rPr>
          <w:rStyle w:val="Strong"/>
          <w:rFonts w:eastAsia="Times New Roman" w:cs="Times New Roman"/>
          <w:sz w:val="24"/>
          <w:szCs w:val="24"/>
        </w:rPr>
      </w:pPr>
      <w:r w:rsidRPr="00EE6866">
        <w:rPr>
          <w:rStyle w:val="Strong"/>
          <w:rFonts w:eastAsia="Times New Roman" w:cs="Times New Roman"/>
          <w:sz w:val="24"/>
          <w:szCs w:val="24"/>
        </w:rPr>
        <w:t>Supplementary figures</w:t>
      </w:r>
    </w:p>
    <w:p w14:paraId="5BFAB859" w14:textId="77777777" w:rsidR="00A9542D" w:rsidRPr="00130F65" w:rsidRDefault="00A9542D" w:rsidP="00A9542D">
      <w:pPr>
        <w:jc w:val="both"/>
        <w:rPr>
          <w:rStyle w:val="Strong"/>
          <w:rFonts w:eastAsia="Times New Roman" w:cs="Times New Roman"/>
          <w:b w:val="0"/>
          <w:bCs w:val="0"/>
        </w:rPr>
      </w:pPr>
      <w:r w:rsidRPr="00130F65">
        <w:rPr>
          <w:rFonts w:eastAsia="Times New Roman" w:cs="Times New Roman"/>
          <w:noProof/>
        </w:rPr>
        <w:drawing>
          <wp:inline distT="0" distB="0" distL="0" distR="0" wp14:anchorId="2AB394CE" wp14:editId="46606B24">
            <wp:extent cx="3499833" cy="1790299"/>
            <wp:effectExtent l="0" t="0" r="5715" b="635"/>
            <wp:docPr id="115536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3643" name="Picture 1155364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566" cy="180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162F" w14:textId="77777777" w:rsidR="00A9542D" w:rsidRPr="00130F65" w:rsidRDefault="00A9542D" w:rsidP="00A9542D">
      <w:pPr>
        <w:jc w:val="both"/>
        <w:rPr>
          <w:rFonts w:eastAsia="Times New Roman" w:cs="Times New Roman"/>
        </w:rPr>
      </w:pPr>
      <w:r w:rsidRPr="00130F65">
        <w:rPr>
          <w:rFonts w:eastAsia="Times New Roman" w:cs="Times New Roman"/>
        </w:rPr>
        <w:t>Fig. S1 Nonlinear agricultural exposure-response relationships with groundwater nitrate</w:t>
      </w:r>
    </w:p>
    <w:p w14:paraId="7282D978" w14:textId="77777777" w:rsidR="00A9542D" w:rsidRPr="00130F65" w:rsidRDefault="00A9542D" w:rsidP="00A9542D">
      <w:pPr>
        <w:jc w:val="both"/>
        <w:rPr>
          <w:rStyle w:val="Strong"/>
          <w:rFonts w:eastAsia="Times New Roman" w:cs="Times New Roman"/>
          <w:b w:val="0"/>
          <w:bCs w:val="0"/>
        </w:rPr>
      </w:pPr>
      <w:r w:rsidRPr="00130F65">
        <w:rPr>
          <w:rStyle w:val="Strong"/>
          <w:rFonts w:eastAsia="Times New Roman" w:cs="Times New Roman"/>
          <w:b w:val="0"/>
          <w:bCs w:val="0"/>
        </w:rPr>
        <w:t>Fully adjusted associations between agricultural exposures and groundwater nitrate exceedance. Points show odds ratios for nitrate-N ≥10 mg l⁻¹ per interquartile-range increase in each exposure; horizontal bars show HUC10-cluster-robust 95% confidence intervals, and the dashed vertical line denotes an odds ratio of one. Models were estimated using a common complete-case sample of 19,270 site-years from 8,246 wells in 1,694 HUC10 watersheds and adjusted for year, correlated agricultural variables, precipitation, temperature, well depth, aquifer vulnerability, pH and state fixed effects. Cattle density and cattle-manure nitrogen were evaluated in parallel models because they represent related livestock-exposure domains. Associations are observational and should not be interpreted as causal effects.</w:t>
      </w:r>
    </w:p>
    <w:p w14:paraId="20DDCCFA" w14:textId="77777777" w:rsidR="00A9542D" w:rsidRPr="00130F65" w:rsidRDefault="00A9542D" w:rsidP="00A9542D">
      <w:pPr>
        <w:jc w:val="both"/>
        <w:rPr>
          <w:rStyle w:val="Strong"/>
          <w:rFonts w:eastAsia="Times New Roman" w:cs="Times New Roman"/>
          <w:b w:val="0"/>
          <w:bCs w:val="0"/>
        </w:rPr>
      </w:pPr>
    </w:p>
    <w:p w14:paraId="780D5A60" w14:textId="77777777" w:rsidR="00A9542D" w:rsidRPr="00130F65" w:rsidRDefault="00A9542D" w:rsidP="00A9542D">
      <w:pPr>
        <w:jc w:val="both"/>
        <w:rPr>
          <w:rStyle w:val="Strong"/>
          <w:rFonts w:eastAsia="Times New Roman" w:cs="Times New Roman"/>
          <w:b w:val="0"/>
          <w:bCs w:val="0"/>
        </w:rPr>
      </w:pPr>
    </w:p>
    <w:p w14:paraId="3351009F" w14:textId="77777777" w:rsidR="00A9542D" w:rsidRPr="00130F65" w:rsidRDefault="00A9542D" w:rsidP="00A9542D">
      <w:pPr>
        <w:jc w:val="both"/>
        <w:rPr>
          <w:rFonts w:eastAsia="Times New Roman" w:cs="Times New Roman"/>
        </w:rPr>
      </w:pPr>
      <w:r w:rsidRPr="00130F65">
        <w:rPr>
          <w:rFonts w:eastAsia="Times New Roman" w:cs="Times New Roman"/>
          <w:noProof/>
        </w:rPr>
        <w:drawing>
          <wp:inline distT="0" distB="0" distL="0" distR="0" wp14:anchorId="7BFB28C7" wp14:editId="6D585F4A">
            <wp:extent cx="6161314" cy="3340184"/>
            <wp:effectExtent l="0" t="0" r="0" b="0"/>
            <wp:docPr id="16418507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850776" name="Picture 164185077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0" b="4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835" cy="3344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1B565" w14:textId="77777777" w:rsidR="00A9542D" w:rsidRPr="00130F65" w:rsidRDefault="00A9542D" w:rsidP="00A9542D">
      <w:pPr>
        <w:jc w:val="both"/>
        <w:rPr>
          <w:rFonts w:eastAsia="Times New Roman" w:cs="Times New Roman"/>
        </w:rPr>
      </w:pPr>
      <w:r w:rsidRPr="00130F65">
        <w:rPr>
          <w:rFonts w:eastAsia="Times New Roman" w:cs="Times New Roman"/>
        </w:rPr>
        <w:lastRenderedPageBreak/>
        <w:t>Fig. S2 Nonlinear agricultural exposure-response relationships with groundwater nitrate</w:t>
      </w:r>
    </w:p>
    <w:p w14:paraId="01E8B12C" w14:textId="77777777" w:rsidR="00A9542D" w:rsidRPr="00130F65" w:rsidRDefault="00A9542D" w:rsidP="00A9542D">
      <w:pPr>
        <w:jc w:val="both"/>
        <w:rPr>
          <w:rFonts w:eastAsia="Times New Roman" w:cs="Times New Roman"/>
        </w:rPr>
      </w:pPr>
    </w:p>
    <w:p w14:paraId="56E1916A" w14:textId="77777777" w:rsidR="00A9542D" w:rsidRPr="00130F65" w:rsidRDefault="00A9542D" w:rsidP="00A9542D">
      <w:pPr>
        <w:jc w:val="both"/>
        <w:rPr>
          <w:rFonts w:cs="Times New Roman"/>
        </w:rPr>
      </w:pPr>
      <w:r w:rsidRPr="00130F65">
        <w:rPr>
          <w:rFonts w:cs="Times New Roman"/>
          <w:noProof/>
        </w:rPr>
        <w:drawing>
          <wp:inline distT="0" distB="0" distL="0" distR="0" wp14:anchorId="724C839B" wp14:editId="7C61B689">
            <wp:extent cx="6157246" cy="3898760"/>
            <wp:effectExtent l="0" t="0" r="2540" b="635"/>
            <wp:docPr id="70235898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58980" name="Picture 70235898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3" t="8910" r="5225" b="2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79" cy="3914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9484B3" w14:textId="77777777" w:rsidR="00A9542D" w:rsidRPr="00130F65" w:rsidRDefault="00A9542D" w:rsidP="00A9542D">
      <w:pPr>
        <w:jc w:val="both"/>
        <w:rPr>
          <w:rFonts w:eastAsia="Times New Roman" w:cs="Times New Roman"/>
          <w:b/>
          <w:bCs/>
        </w:rPr>
      </w:pPr>
      <w:r w:rsidRPr="00130F65">
        <w:rPr>
          <w:rStyle w:val="Strong"/>
          <w:rFonts w:cs="Times New Roman"/>
          <w:b w:val="0"/>
          <w:bCs w:val="0"/>
        </w:rPr>
        <w:t>Fig S3. Current FSIS slaughter establishments and modeled groundwater nitrate susceptibility across the conterminous United States</w:t>
      </w:r>
    </w:p>
    <w:p w14:paraId="0118FC2F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2D"/>
    <w:rsid w:val="00195413"/>
    <w:rsid w:val="003A03A7"/>
    <w:rsid w:val="003D0186"/>
    <w:rsid w:val="007278E4"/>
    <w:rsid w:val="00A3738C"/>
    <w:rsid w:val="00A9542D"/>
    <w:rsid w:val="00B91ABC"/>
    <w:rsid w:val="00BC6C35"/>
    <w:rsid w:val="00CB270D"/>
    <w:rsid w:val="00CF7583"/>
    <w:rsid w:val="00DC5722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E671"/>
  <w15:chartTrackingRefBased/>
  <w15:docId w15:val="{862DE753-26F8-439D-9BAB-5AFDC6BF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2D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4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4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4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4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4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42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42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42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42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5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4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5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42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5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42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5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42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954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976</Characters>
  <Application>Microsoft Office Word</Application>
  <DocSecurity>0</DocSecurity>
  <Lines>8</Lines>
  <Paragraphs>2</Paragraphs>
  <ScaleCrop>false</ScaleCrop>
  <Company>Springer Nature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2026-09-11T12:38:00Z</dcterms:created>
  <dcterms:modified xsi:type="dcterms:W3CDTF">2026-09-11T12:38:00Z</dcterms:modified>
</cp:coreProperties>
</file>