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36B46" w14:textId="77777777" w:rsidR="00A7503F" w:rsidRPr="00A7503F" w:rsidRDefault="00A7503F" w:rsidP="00A7503F">
      <w:pPr>
        <w:rPr>
          <w:lang w:val="en-US"/>
        </w:rPr>
      </w:pPr>
      <w:r w:rsidRPr="00A7503F">
        <w:rPr>
          <w:b/>
          <w:lang w:val="en-US"/>
        </w:rPr>
        <w:t>Supplementary material</w:t>
      </w:r>
    </w:p>
    <w:p w14:paraId="3E8760D4" w14:textId="77777777" w:rsidR="00A7503F" w:rsidRPr="00A7503F" w:rsidRDefault="00A7503F" w:rsidP="00A7503F">
      <w:pPr>
        <w:rPr>
          <w:lang w:val="en-US"/>
        </w:rPr>
      </w:pPr>
      <w:r w:rsidRPr="00A7503F">
        <w:rPr>
          <w:b/>
          <w:lang w:val="en-US"/>
        </w:rPr>
        <w:t>Supplementary Table S1. Shapiro–Wilk normality assessment and statistical test selection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1"/>
        <w:gridCol w:w="834"/>
        <w:gridCol w:w="834"/>
        <w:gridCol w:w="1310"/>
        <w:gridCol w:w="1215"/>
        <w:gridCol w:w="1215"/>
        <w:gridCol w:w="1310"/>
        <w:gridCol w:w="1327"/>
      </w:tblGrid>
      <w:tr w:rsidR="00A7503F" w:rsidRPr="00A7503F" w14:paraId="0C1E6034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A7D5B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b/>
                <w:lang w:val="en-US"/>
              </w:rPr>
              <w:t>Variable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7EBD1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b/>
                <w:lang w:val="en-US"/>
              </w:rPr>
              <w:t>Health 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E9002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b/>
                <w:lang w:val="en-US"/>
              </w:rPr>
              <w:t>Health 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789D3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b/>
                <w:lang w:val="en-US"/>
              </w:rPr>
              <w:t>Distribution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F291D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b/>
                <w:lang w:val="en-US"/>
              </w:rPr>
              <w:t>Peri-implantitis 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8FFA0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b/>
                <w:lang w:val="en-US"/>
              </w:rPr>
              <w:t>Peri-implantitis 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3588A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b/>
                <w:lang w:val="en-US"/>
              </w:rPr>
              <w:t>Distribution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8A7E8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b/>
                <w:lang w:val="en-US"/>
              </w:rPr>
              <w:t>Test selected</w:t>
            </w:r>
          </w:p>
        </w:tc>
      </w:tr>
      <w:tr w:rsidR="00A7503F" w:rsidRPr="00A7503F" w14:paraId="242231C8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D541B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Age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03F8B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25FA8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0.490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C97A8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2E9F7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66BB8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F3427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0C13E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Independent t-test</w:t>
            </w:r>
          </w:p>
        </w:tc>
      </w:tr>
      <w:tr w:rsidR="00A7503F" w:rsidRPr="00A7503F" w14:paraId="10D05447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C795B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Plaque index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87EA2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F003D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919E0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Non-normal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26790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BDA34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0.303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EBD07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6A1F7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Mann–Whitney U</w:t>
            </w:r>
          </w:p>
        </w:tc>
      </w:tr>
      <w:tr w:rsidR="00A7503F" w:rsidRPr="00A7503F" w14:paraId="29482608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DEF94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BOP,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CB4B2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CBF6B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852E6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Constant</w:t>
            </w:r>
            <w:r w:rsidRPr="00A7503F">
              <w:rPr>
                <w:rFonts w:ascii="Arial" w:hAnsi="Arial" w:cs="Arial"/>
                <w:lang w:val="en-US"/>
              </w:rPr>
              <w:t>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11207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D7388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0.007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5EBD8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Non-normal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58339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Mann–Whitney U</w:t>
            </w:r>
          </w:p>
        </w:tc>
      </w:tr>
      <w:tr w:rsidR="00A7503F" w:rsidRPr="00A7503F" w14:paraId="542EF530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7D25A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RAL,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DB18C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0FC15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0.238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3A29F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2844D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A764F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0.311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98399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A68B0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Welch t-test</w:t>
            </w:r>
          </w:p>
        </w:tc>
      </w:tr>
      <w:tr w:rsidR="00A7503F" w:rsidRPr="00A7503F" w14:paraId="61AF2AF9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116B1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PD,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05F7C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C1A6C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0.179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E7D2C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4D5F5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0CABB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0.214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E40A6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2FC8B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Welch t-test</w:t>
            </w:r>
          </w:p>
        </w:tc>
      </w:tr>
      <w:tr w:rsidR="00A7503F" w:rsidRPr="00A7503F" w14:paraId="1C802336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0816E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 xml:space="preserve">IL-1β, </w:t>
            </w:r>
            <w:proofErr w:type="spellStart"/>
            <w:r w:rsidRPr="00A7503F">
              <w:rPr>
                <w:lang w:val="en-US"/>
              </w:rPr>
              <w:t>pg</w:t>
            </w:r>
            <w:proofErr w:type="spellEnd"/>
            <w:r w:rsidRPr="00A7503F">
              <w:rPr>
                <w:lang w:val="en-US"/>
              </w:rPr>
              <w:t>/mL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20CD0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255B7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&lt;0.001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F1244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Non-normal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C8ACC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0.747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5BAFB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&lt;0.001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30739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Non-normal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8FFF4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Mann–Whitney U</w:t>
            </w:r>
          </w:p>
        </w:tc>
      </w:tr>
      <w:tr w:rsidR="00A7503F" w:rsidRPr="00A7503F" w14:paraId="4E4433A1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393D9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 xml:space="preserve">TNF-α, </w:t>
            </w:r>
            <w:proofErr w:type="spellStart"/>
            <w:r w:rsidRPr="00A7503F">
              <w:rPr>
                <w:lang w:val="en-US"/>
              </w:rPr>
              <w:t>pg</w:t>
            </w:r>
            <w:proofErr w:type="spellEnd"/>
            <w:r w:rsidRPr="00A7503F">
              <w:rPr>
                <w:lang w:val="en-US"/>
              </w:rPr>
              <w:t>/mL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BE5BE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971E2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0.733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2A5FE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6F8A3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D4640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CF891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89B21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Independent t-test</w:t>
            </w:r>
          </w:p>
        </w:tc>
      </w:tr>
      <w:tr w:rsidR="00A7503F" w:rsidRPr="00A7503F" w14:paraId="300D27DA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D7DE2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 xml:space="preserve">IL-10, </w:t>
            </w:r>
            <w:proofErr w:type="spellStart"/>
            <w:r w:rsidRPr="00A7503F">
              <w:rPr>
                <w:lang w:val="en-US"/>
              </w:rPr>
              <w:t>pg</w:t>
            </w:r>
            <w:proofErr w:type="spellEnd"/>
            <w:r w:rsidRPr="00A7503F">
              <w:rPr>
                <w:lang w:val="en-US"/>
              </w:rPr>
              <w:t>/mL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30B23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F14DB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0.611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FF8EA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CFD4E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E5A13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26259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Non-normal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3B9D7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Mann–Whitney U</w:t>
            </w:r>
          </w:p>
        </w:tc>
      </w:tr>
      <w:tr w:rsidR="00A7503F" w:rsidRPr="00A7503F" w14:paraId="0C9B7FD3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E9943" w14:textId="77777777" w:rsidR="00A7503F" w:rsidRPr="00A7503F" w:rsidRDefault="00A7503F" w:rsidP="00A7503F">
            <w:pPr>
              <w:rPr>
                <w:lang w:val="en-US"/>
              </w:rPr>
            </w:pPr>
            <w:proofErr w:type="spellStart"/>
            <w:r w:rsidRPr="00A7503F">
              <w:rPr>
                <w:lang w:val="en-US"/>
              </w:rPr>
              <w:t>Metrnl</w:t>
            </w:r>
            <w:proofErr w:type="spellEnd"/>
            <w:r w:rsidRPr="00A7503F">
              <w:rPr>
                <w:lang w:val="en-US"/>
              </w:rPr>
              <w:t>, ng/mL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A4242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0.953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CAA2E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97622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5E4DE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0.894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A15DA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0.003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53A0A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Non-normal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07669" w14:textId="77777777" w:rsidR="00A7503F" w:rsidRPr="00A7503F" w:rsidRDefault="00A7503F" w:rsidP="00A7503F">
            <w:pPr>
              <w:rPr>
                <w:lang w:val="en-US"/>
              </w:rPr>
            </w:pPr>
            <w:r w:rsidRPr="00A7503F">
              <w:rPr>
                <w:lang w:val="en-US"/>
              </w:rPr>
              <w:t>Mann–Whitney U</w:t>
            </w:r>
          </w:p>
        </w:tc>
      </w:tr>
    </w:tbl>
    <w:p w14:paraId="448387C9" w14:textId="77777777" w:rsidR="00A7503F" w:rsidRPr="00A7503F" w:rsidRDefault="00A7503F" w:rsidP="00A7503F">
      <w:pPr>
        <w:rPr>
          <w:lang w:val="en-US"/>
        </w:rPr>
      </w:pPr>
      <w:r w:rsidRPr="00A7503F">
        <w:rPr>
          <w:i/>
          <w:lang w:val="en-US"/>
        </w:rPr>
        <w:t xml:space="preserve">Shapiro–Wilk p ≥ 0.05 was considered consistent with a normal distribution. </w:t>
      </w:r>
      <w:r w:rsidRPr="00A7503F">
        <w:rPr>
          <w:rFonts w:ascii="Arial" w:hAnsi="Arial" w:cs="Arial"/>
          <w:i/>
          <w:lang w:val="en-US"/>
        </w:rPr>
        <w:t>ᵃ</w:t>
      </w:r>
      <w:r w:rsidRPr="00A7503F">
        <w:rPr>
          <w:i/>
          <w:lang w:val="en-US"/>
        </w:rPr>
        <w:t xml:space="preserve"> BOP was uniformly 0% in the peri-implant health group; with zero variance, the Shapiro–Wilk statistic is not computable.</w:t>
      </w:r>
    </w:p>
    <w:p w14:paraId="04FD0476" w14:textId="77777777" w:rsidR="00A7503F" w:rsidRPr="00A7503F" w:rsidRDefault="00A7503F" w:rsidP="00A7503F">
      <w:pPr>
        <w:rPr>
          <w:b/>
          <w:bCs/>
          <w:lang w:val="en-US"/>
        </w:rPr>
      </w:pPr>
      <w:r w:rsidRPr="00A7503F">
        <w:rPr>
          <w:b/>
          <w:bCs/>
          <w:lang w:val="en-US"/>
        </w:rPr>
        <w:t>Supplementary Figure S2. Participant flow from screening to study inclusion.</w:t>
      </w:r>
    </w:p>
    <w:p w14:paraId="79A0DF8E" w14:textId="2CF6C973" w:rsidR="00A7503F" w:rsidRPr="00A7503F" w:rsidRDefault="00A7503F" w:rsidP="00A7503F">
      <w:pPr>
        <w:rPr>
          <w:lang w:val="en-US"/>
        </w:rPr>
      </w:pPr>
      <w:r w:rsidRPr="00A7503F">
        <w:rPr>
          <w:lang w:val="en-US"/>
        </w:rPr>
        <w:lastRenderedPageBreak/>
        <w:drawing>
          <wp:inline distT="0" distB="0" distL="0" distR="0" wp14:anchorId="4ECF2A37" wp14:editId="314FAC05">
            <wp:extent cx="5143500" cy="4143375"/>
            <wp:effectExtent l="0" t="0" r="0" b="9525"/>
            <wp:docPr id="18427000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0C8A9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3F"/>
    <w:rsid w:val="00114D10"/>
    <w:rsid w:val="00767E38"/>
    <w:rsid w:val="00866F7D"/>
    <w:rsid w:val="00A7503F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FDD9C"/>
  <w15:chartTrackingRefBased/>
  <w15:docId w15:val="{6A2AE50B-9F2C-4FB3-A21D-68897B75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0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0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0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0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0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0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0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0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0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0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0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0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0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0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0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0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0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0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0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0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0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0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0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2026-10-06T16:47:00Z</dcterms:created>
  <dcterms:modified xsi:type="dcterms:W3CDTF">2026-10-06T16:48:00Z</dcterms:modified>
</cp:coreProperties>
</file>