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eastAsiaTheme="minorEastAsia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Supporting Information</w:t>
      </w:r>
      <w:r>
        <w:rPr>
          <w:rFonts w:hint="eastAsia" w:ascii="Times New Roman" w:hAnsi="Times New Roman"/>
          <w:b/>
          <w:bCs/>
          <w:sz w:val="24"/>
          <w:szCs w:val="24"/>
        </w:rPr>
        <w:t>：</w:t>
      </w:r>
    </w:p>
    <w:p>
      <w:pPr>
        <w:spacing w:after="40"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bookmarkStart w:id="0" w:name="_Hlk59894358"/>
      <w:r>
        <w:rPr>
          <w:rFonts w:ascii="Times New Roman" w:hAnsi="Times New Roman"/>
          <w:b/>
          <w:bCs/>
          <w:sz w:val="24"/>
          <w:szCs w:val="24"/>
        </w:rPr>
        <w:t>Supplementary Figure</w:t>
      </w:r>
      <w:bookmarkEnd w:id="0"/>
      <w:r>
        <w:rPr>
          <w:rFonts w:ascii="Times New Roman" w:hAnsi="Times New Roman"/>
          <w:b/>
          <w:bCs/>
          <w:sz w:val="24"/>
          <w:szCs w:val="24"/>
        </w:rPr>
        <w:t>s</w:t>
      </w:r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Table S1: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The sequences of primers used in this research. </w:t>
      </w:r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Figure S1: The expression of circZNF609 after lentivirus transfection.</w:t>
      </w:r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The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transfection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efficiency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of circZNF609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knockdown virus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in T24 cells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were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bookmarkStart w:id="1" w:name="OLE_LINK13"/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confirmed by qRT-PCR (***P&lt;0.001,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Student’s t-test).</w:t>
      </w:r>
      <w:bookmarkEnd w:id="1"/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The transfection efficiency of circZNF609 overexpression virus in T24 cells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were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confirmed by qRT-PCR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(***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Student’s t-test).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transfection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efficiency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of circZNF609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knockdown virus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in BIU87 cells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were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confirmed by qRT-PCR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Student’s t-test).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The transfection efficiency of circZNF609 overexpression virus in BIU87 cells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were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confirmed by qRT-PCR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(***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Student’s t-test).</w:t>
      </w:r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Figure S2: The cell viability curves of the cisplatin treatment experiments.</w:t>
      </w:r>
    </w:p>
    <w:p>
      <w:pPr>
        <w:pStyle w:val="16"/>
        <w:widowControl/>
        <w:spacing w:line="480" w:lineRule="auto"/>
        <w:ind w:firstLine="0" w:firstLineChars="0"/>
        <w:rPr>
          <w:rFonts w:hint="eastAsia" w:ascii="Times New Roman" w:hAnsi="Times New Roman" w:eastAsia="MyqhrxAdvTTb5929f4c"/>
          <w:color w:val="131413"/>
          <w:kern w:val="0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A-E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The cell viability curves of the cisplatin treatment assays for calculating the IC50.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Data are mean±SD, n=3</w:t>
      </w:r>
    </w:p>
    <w:p>
      <w:pPr>
        <w:pStyle w:val="16"/>
        <w:widowControl/>
        <w:spacing w:line="480" w:lineRule="auto"/>
        <w:ind w:firstLine="0" w:firstLineChars="0"/>
        <w:rPr>
          <w:rFonts w:hint="eastAsia" w:ascii="Times New Roman" w:hAnsi="Times New Roman" w:eastAsia="MyqhrxAdvTTb5929f4c"/>
          <w:color w:val="131413"/>
          <w:kern w:val="0"/>
          <w:sz w:val="24"/>
        </w:rPr>
      </w:pPr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Figure S3: CircZNF609 promoted BCa cells migration. </w:t>
      </w:r>
    </w:p>
    <w:p>
      <w:pPr>
        <w:pStyle w:val="16"/>
        <w:widowControl/>
        <w:spacing w:line="480" w:lineRule="auto"/>
        <w:ind w:firstLine="0" w:firstLineChars="0"/>
        <w:rPr>
          <w:rFonts w:hint="eastAsia" w:ascii="Times New Roman" w:hAnsi="Times New Roman" w:eastAsia="MyqhrxAdvTTb5929f4c"/>
          <w:color w:val="131413"/>
          <w:kern w:val="0"/>
          <w:sz w:val="24"/>
        </w:rPr>
      </w:pPr>
      <w:r>
        <w:rPr>
          <w:rFonts w:hint="eastAsia" w:ascii="Times New Roman" w:hAnsi="Times New Roman" w:eastAsia="宋体"/>
          <w:b/>
          <w:bCs/>
          <w:color w:val="131413"/>
          <w:kern w:val="0"/>
          <w:sz w:val="24"/>
        </w:rPr>
        <w:t>A-B</w:t>
      </w:r>
      <w:r>
        <w:rPr>
          <w:rFonts w:hint="eastAsia" w:ascii="Times New Roman" w:hAnsi="Times New Roman" w:eastAsia="MyqhrxAdvTTb5929f4c"/>
          <w:b/>
          <w:bCs/>
          <w:color w:val="131413"/>
          <w:kern w:val="0"/>
          <w:sz w:val="24"/>
        </w:rPr>
        <w:t xml:space="preserve">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Scratch wound healing assays showed that overexpression of circZNF609 could promote the migration rate of T24 and BIU87 cells while knockdown of circZNF609 could inhibit the migration rate (*</w:t>
      </w:r>
      <w:r>
        <w:rPr>
          <w:rFonts w:hint="eastAsia" w:ascii="Times New Roman" w:hAnsi="Times New Roman" w:eastAsia="MyqhrxAdvTTb5929f4c"/>
          <w:i/>
          <w:iCs/>
          <w:color w:val="131413"/>
          <w:kern w:val="0"/>
          <w:sz w:val="24"/>
        </w:rPr>
        <w:t>P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&lt;0.05, **</w:t>
      </w:r>
      <w:r>
        <w:rPr>
          <w:rFonts w:hint="eastAsia" w:ascii="Times New Roman" w:hAnsi="Times New Roman" w:eastAsia="MyqhrxAdvTTb5929f4c"/>
          <w:i/>
          <w:iCs/>
          <w:color w:val="131413"/>
          <w:kern w:val="0"/>
          <w:sz w:val="24"/>
        </w:rPr>
        <w:t>P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&lt;0.01, 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***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&lt;0.001</w:t>
      </w:r>
      <w:r>
        <w:rPr>
          <w:rFonts w:hint="eastAsia" w:ascii="Times New Roman" w:hAnsi="Times New Roman"/>
          <w:sz w:val="24"/>
          <w:szCs w:val="24"/>
        </w:rPr>
        <w:t xml:space="preserve">,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Student</w:t>
      </w:r>
      <w:r>
        <w:rPr>
          <w:rFonts w:ascii="Times New Roman" w:hAnsi="Times New Roman"/>
          <w:color w:val="0000FF"/>
          <w:sz w:val="24"/>
          <w:szCs w:val="24"/>
        </w:rPr>
        <w:t>’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s t-test). </w:t>
      </w:r>
      <w:r>
        <w:rPr>
          <w:rFonts w:hint="eastAsia" w:ascii="Times New Roman" w:hAnsi="Times New Roman" w:eastAsia="宋体"/>
          <w:b/>
          <w:bCs/>
          <w:color w:val="131413"/>
          <w:kern w:val="0"/>
          <w:sz w:val="24"/>
        </w:rPr>
        <w:t>C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 Transwell assays revealed that circZNF609 overexpression could accelerate the migration rate of T24 and BIU87 cells while knockdown of circZNF609 could inhibit the migration rate (**</w:t>
      </w:r>
      <w:r>
        <w:rPr>
          <w:rFonts w:hint="eastAsia" w:ascii="Times New Roman" w:hAnsi="Times New Roman" w:eastAsia="MyqhrxAdvTTb5929f4c"/>
          <w:i/>
          <w:iCs/>
          <w:color w:val="131413"/>
          <w:kern w:val="0"/>
          <w:sz w:val="24"/>
        </w:rPr>
        <w:t>P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&lt;0.01, 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***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&lt;0.001</w:t>
      </w:r>
      <w:r>
        <w:rPr>
          <w:rFonts w:hint="eastAsia" w:ascii="Times New Roman" w:hAnsi="Times New Roman"/>
          <w:sz w:val="24"/>
          <w:szCs w:val="24"/>
        </w:rPr>
        <w:t xml:space="preserve">,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Student</w:t>
      </w:r>
      <w:r>
        <w:rPr>
          <w:rFonts w:ascii="Times New Roman" w:hAnsi="Times New Roman"/>
          <w:color w:val="0000FF"/>
          <w:sz w:val="24"/>
          <w:szCs w:val="24"/>
        </w:rPr>
        <w:t>’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s t-test). Data are mean±SD, n=3</w:t>
      </w:r>
    </w:p>
    <w:p>
      <w:pPr>
        <w:pStyle w:val="16"/>
        <w:widowControl/>
        <w:spacing w:line="480" w:lineRule="auto"/>
        <w:ind w:firstLine="0" w:firstLineChars="0"/>
        <w:rPr>
          <w:rFonts w:hint="eastAsia" w:ascii="Times New Roman" w:hAnsi="Times New Roman" w:eastAsia="MyqhrxAdvTTb5929f4c"/>
          <w:color w:val="131413"/>
          <w:kern w:val="0"/>
          <w:sz w:val="24"/>
        </w:rPr>
      </w:pPr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Figure S4: MiR-1200 inhibited migration of BCa cells. </w:t>
      </w:r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 w:eastAsia="宋体"/>
          <w:color w:val="131413"/>
          <w:kern w:val="0"/>
          <w:sz w:val="24"/>
        </w:rPr>
      </w:pPr>
      <w:r>
        <w:rPr>
          <w:rFonts w:hint="eastAsia" w:ascii="Times New Roman" w:hAnsi="Times New Roman" w:eastAsia="宋体"/>
          <w:b/>
          <w:bCs/>
          <w:color w:val="131413"/>
          <w:kern w:val="0"/>
          <w:sz w:val="24"/>
        </w:rPr>
        <w:t>A</w:t>
      </w:r>
      <w:r>
        <w:rPr>
          <w:rFonts w:hint="eastAsia" w:ascii="Times New Roman" w:hAnsi="Times New Roman" w:eastAsia="MyqhrxAdvTTb5929f4c"/>
          <w:b/>
          <w:bCs/>
          <w:color w:val="131413"/>
          <w:kern w:val="0"/>
          <w:sz w:val="24"/>
        </w:rPr>
        <w:t xml:space="preserve">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Scratch wound healing assays showed that miR-1200 could inhibit the migration rate of T24 and BIU87 cells (*</w:t>
      </w:r>
      <w:r>
        <w:rPr>
          <w:rFonts w:hint="eastAsia" w:ascii="Times New Roman" w:hAnsi="Times New Roman" w:eastAsia="MyqhrxAdvTTb5929f4c"/>
          <w:i/>
          <w:iCs/>
          <w:color w:val="131413"/>
          <w:kern w:val="0"/>
          <w:sz w:val="24"/>
        </w:rPr>
        <w:t>P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&lt;0.05, **</w:t>
      </w:r>
      <w:r>
        <w:rPr>
          <w:rFonts w:hint="eastAsia" w:ascii="Times New Roman" w:hAnsi="Times New Roman" w:eastAsia="MyqhrxAdvTTb5929f4c"/>
          <w:i/>
          <w:iCs/>
          <w:color w:val="131413"/>
          <w:kern w:val="0"/>
          <w:sz w:val="24"/>
        </w:rPr>
        <w:t>P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&lt;0.01, 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Student</w:t>
      </w:r>
      <w:r>
        <w:rPr>
          <w:rFonts w:ascii="Times New Roman" w:hAnsi="Times New Roman"/>
          <w:color w:val="0000FF"/>
          <w:sz w:val="24"/>
          <w:szCs w:val="24"/>
        </w:rPr>
        <w:t>’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s t-test). </w:t>
      </w:r>
      <w:r>
        <w:rPr>
          <w:rFonts w:hint="eastAsia" w:ascii="Times New Roman" w:hAnsi="Times New Roman" w:eastAsia="宋体"/>
          <w:b/>
          <w:bCs/>
          <w:color w:val="131413"/>
          <w:kern w:val="0"/>
          <w:sz w:val="24"/>
        </w:rPr>
        <w:t>B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 Transwell assays revealed that miR-1200 could suppress the migration rate of T24 and BIU87 cells (**</w:t>
      </w:r>
      <w:r>
        <w:rPr>
          <w:rFonts w:hint="eastAsia" w:ascii="Times New Roman" w:hAnsi="Times New Roman" w:eastAsia="MyqhrxAdvTTb5929f4c"/>
          <w:i/>
          <w:iCs/>
          <w:color w:val="131413"/>
          <w:kern w:val="0"/>
          <w:sz w:val="24"/>
        </w:rPr>
        <w:t>P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&lt;0.01, 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Student</w:t>
      </w:r>
      <w:r>
        <w:rPr>
          <w:rFonts w:ascii="Times New Roman" w:hAnsi="Times New Roman"/>
          <w:color w:val="0000FF"/>
          <w:sz w:val="24"/>
          <w:szCs w:val="24"/>
        </w:rPr>
        <w:t>’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s t-test).</w:t>
      </w:r>
      <w:r>
        <w:rPr>
          <w:rFonts w:hint="eastAsia" w:ascii="Times New Roman" w:hAnsi="Times New Roman" w:eastAsia="宋体"/>
          <w:color w:val="131413"/>
          <w:kern w:val="0"/>
          <w:sz w:val="24"/>
        </w:rPr>
        <w:t xml:space="preserve">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Data are mean±SD, n=3</w:t>
      </w:r>
    </w:p>
    <w:p>
      <w:pPr>
        <w:pStyle w:val="16"/>
        <w:widowControl/>
        <w:spacing w:line="480" w:lineRule="auto"/>
        <w:ind w:firstLine="0" w:firstLineChars="0"/>
        <w:rPr>
          <w:rFonts w:hint="eastAsia" w:ascii="Times New Roman" w:hAnsi="Times New Roman" w:eastAsia="宋体"/>
          <w:b/>
          <w:bCs/>
          <w:color w:val="131413"/>
          <w:kern w:val="0"/>
          <w:sz w:val="24"/>
        </w:rPr>
      </w:pPr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 w:eastAsia="宋体"/>
          <w:b/>
          <w:bCs/>
          <w:color w:val="131413"/>
          <w:kern w:val="0"/>
          <w:sz w:val="24"/>
        </w:rPr>
      </w:pPr>
      <w:r>
        <w:rPr>
          <w:rFonts w:hint="eastAsia" w:ascii="Times New Roman" w:hAnsi="Times New Roman" w:eastAsia="宋体"/>
          <w:b/>
          <w:bCs/>
          <w:color w:val="131413"/>
          <w:kern w:val="0"/>
          <w:sz w:val="24"/>
        </w:rPr>
        <w:t>Figure S5: MiR-1200 interference rescued the intensive migration induced by circZNF609 in BCa cells</w:t>
      </w:r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/>
          <w:color w:val="131413"/>
          <w:kern w:val="0"/>
          <w:sz w:val="24"/>
        </w:rPr>
      </w:pPr>
      <w:r>
        <w:rPr>
          <w:rFonts w:hint="eastAsia" w:ascii="Times New Roman" w:hAnsi="Times New Roman" w:eastAsia="宋体"/>
          <w:b/>
          <w:bCs/>
          <w:color w:val="131413"/>
          <w:kern w:val="0"/>
          <w:sz w:val="24"/>
        </w:rPr>
        <w:t>A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 Results of</w:t>
      </w:r>
      <w:r>
        <w:rPr>
          <w:rFonts w:hint="eastAsia" w:ascii="Times New Roman" w:hAnsi="Times New Roman" w:eastAsia="MyqhrxAdvTTb5929f4c"/>
          <w:b/>
          <w:bCs/>
          <w:color w:val="131413"/>
          <w:kern w:val="0"/>
          <w:sz w:val="24"/>
        </w:rPr>
        <w:t xml:space="preserve"> s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cratch wound healing assays indicated that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co-transfect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ion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with miR-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1200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mimic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could reverse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migration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promoting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function of circ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ZNF609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in T24 and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BIU87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cells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(**</w:t>
      </w:r>
      <w:r>
        <w:rPr>
          <w:rFonts w:hint="eastAsia" w:ascii="Times New Roman" w:hAnsi="Times New Roman" w:eastAsia="MyqhrxAdvTTb5929f4c"/>
          <w:i/>
          <w:iCs/>
          <w:color w:val="131413"/>
          <w:kern w:val="0"/>
          <w:sz w:val="24"/>
        </w:rPr>
        <w:t>P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&lt;0.01, </w:t>
      </w:r>
      <w:r>
        <w:rPr>
          <w:rFonts w:ascii="Times New Roman" w:hAnsi="Times New Roman"/>
          <w:sz w:val="24"/>
          <w:szCs w:val="24"/>
        </w:rPr>
        <w:t>***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&lt;0.001</w:t>
      </w:r>
      <w:r>
        <w:rPr>
          <w:rFonts w:hint="eastAsia" w:ascii="Times New Roman" w:hAnsi="Times New Roman"/>
          <w:sz w:val="24"/>
          <w:szCs w:val="24"/>
        </w:rPr>
        <w:t xml:space="preserve">,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Student</w:t>
      </w:r>
      <w:r>
        <w:rPr>
          <w:rFonts w:ascii="Times New Roman" w:hAnsi="Times New Roman"/>
          <w:color w:val="0000FF"/>
          <w:sz w:val="24"/>
          <w:szCs w:val="24"/>
        </w:rPr>
        <w:t>’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s t-test). </w:t>
      </w:r>
      <w:r>
        <w:rPr>
          <w:rFonts w:hint="eastAsia" w:ascii="Times New Roman" w:hAnsi="Times New Roman" w:eastAsia="宋体"/>
          <w:b/>
          <w:bCs/>
          <w:color w:val="131413"/>
          <w:kern w:val="0"/>
          <w:sz w:val="24"/>
        </w:rPr>
        <w:t>B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 Transwell assays showed that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co-transfection with miR-1200 mimics could reverse the enhanced migration rate induced by circZNF609 in T24 and BIU87 cells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(**</w:t>
      </w:r>
      <w:r>
        <w:rPr>
          <w:rFonts w:hint="eastAsia" w:ascii="Times New Roman" w:hAnsi="Times New Roman" w:eastAsia="MyqhrxAdvTTb5929f4c"/>
          <w:i/>
          <w:iCs/>
          <w:color w:val="131413"/>
          <w:kern w:val="0"/>
          <w:sz w:val="24"/>
        </w:rPr>
        <w:t>P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&lt;0.01, 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***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&lt;0.001</w:t>
      </w:r>
      <w:r>
        <w:rPr>
          <w:rFonts w:hint="eastAsia" w:ascii="Times New Roman" w:hAnsi="Times New Roman"/>
          <w:sz w:val="24"/>
          <w:szCs w:val="24"/>
        </w:rPr>
        <w:t xml:space="preserve">,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Student</w:t>
      </w:r>
      <w:r>
        <w:rPr>
          <w:rFonts w:ascii="Times New Roman" w:hAnsi="Times New Roman"/>
          <w:color w:val="0000FF"/>
          <w:sz w:val="24"/>
          <w:szCs w:val="24"/>
        </w:rPr>
        <w:t>’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s t-test). Data are mean±SD, n=3</w:t>
      </w:r>
    </w:p>
    <w:p>
      <w:pPr>
        <w:pStyle w:val="16"/>
        <w:widowControl/>
        <w:spacing w:line="480" w:lineRule="auto"/>
        <w:ind w:firstLine="0" w:firstLineChars="0"/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 w:eastAsia="MyqhrxAdvTTb5929f4c"/>
          <w:color w:val="131413"/>
          <w:kern w:val="0"/>
          <w:sz w:val="24"/>
        </w:rPr>
      </w:pP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Figure S6: MiR-1200 inhibited the expression of CDC25B</w:t>
      </w:r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/>
          <w:color w:val="131413"/>
          <w:kern w:val="0"/>
          <w:sz w:val="24"/>
        </w:rPr>
      </w:pPr>
      <w:r>
        <w:rPr>
          <w:rFonts w:hint="eastAsia" w:ascii="Times New Roman" w:hAnsi="Times New Roman" w:eastAsia="宋体"/>
          <w:b/>
          <w:bCs/>
          <w:color w:val="131413"/>
          <w:kern w:val="0"/>
          <w:sz w:val="24"/>
        </w:rPr>
        <w:t>A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Overexpression of miR-1200 could inhibit the mRNA level of CDC25B in T24 and BIU87 cells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</w:t>
      </w:r>
      <w:bookmarkStart w:id="2" w:name="OLE_LINK14"/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bookmarkEnd w:id="2"/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Student’s t-test).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Overexpression of miR-1200 could inhibit the protein level of CDC25B in T24 and BIU87 cells.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Data are mean±SD, n=3</w:t>
      </w:r>
    </w:p>
    <w:p>
      <w:pPr>
        <w:pStyle w:val="16"/>
        <w:widowControl/>
        <w:spacing w:line="480" w:lineRule="auto"/>
        <w:ind w:firstLine="0" w:firstLineChars="0"/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3" w:name="OLE_LINK18"/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Figure S</w:t>
      </w:r>
      <w:bookmarkEnd w:id="3"/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7: CDC25B promoted the progression and cisplatin resistance of BCa cells.</w:t>
      </w:r>
    </w:p>
    <w:p>
      <w:pPr>
        <w:pStyle w:val="16"/>
        <w:widowControl/>
        <w:spacing w:line="480" w:lineRule="auto"/>
        <w:ind w:firstLine="0" w:firstLineChars="0"/>
        <w:rPr>
          <w:rFonts w:ascii="Times New Roman" w:hAnsi="Times New Roman" w:eastAsia="MyqhrxAdvTTb5929f4c" w:cs="Times New Roman"/>
          <w:color w:val="131413"/>
          <w:kern w:val="0"/>
          <w:sz w:val="24"/>
        </w:rPr>
      </w:pP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A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The efficiency of CDC25B mRNA knockdown after transfection of small interfering RNA. 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The efficiency of CDC25B protein knockdown after transfection of small interfering RNA. 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CCK8 assays showed that CDC25B promoted the proliferation of T24 and BIU87 cells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(***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Student’s t-test).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Cloning formation assays indicated that CDC25B knockdown decreased the colony numbers of T24 and BIU87 cells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Student’s t-test).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Results of</w:t>
      </w:r>
      <w:r>
        <w:rPr>
          <w:rFonts w:hint="eastAsia" w:ascii="Times New Roman" w:hAnsi="Times New Roman" w:eastAsia="MyqhrxAdvTTb5929f4c"/>
          <w:b/>
          <w:bCs/>
          <w:color w:val="131413"/>
          <w:kern w:val="0"/>
          <w:sz w:val="24"/>
        </w:rPr>
        <w:t xml:space="preserve"> s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 xml:space="preserve">cratch wound healing assays indicated </w:t>
      </w:r>
      <w:r>
        <w:rPr>
          <w:rFonts w:hint="eastAsia" w:ascii="Times New Roman" w:hAnsi="Times New Roman" w:eastAsia="宋体"/>
          <w:color w:val="131413"/>
          <w:kern w:val="0"/>
          <w:sz w:val="24"/>
        </w:rPr>
        <w:t xml:space="preserve">that CDC25B promoted the migration rates of T24 and BIU87 cells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Student’s t-test).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Transwell assays confirmed that CDC25B promoted the migration rates of T24 and BIU87 cells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Student’s t-test).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More T24 cells were distributed in G1 phase and less T24 cells were dispersed in S phase when CDC25B was knockdown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Student’s t-test).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 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More BIU87 cells were distributed in G1 phase and less BIU87 cells were dispersed in S phase when CDC25B was knockdown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***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&lt;0.001,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Student’s t-test).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IC50 assays indicated that CDC25B inhibited sensitivity of T24 cells to cisplatin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(*</w:t>
      </w:r>
      <w:r>
        <w:rPr>
          <w:rFonts w:ascii="Times New Roman" w:hAnsi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&lt;0.05,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**</w:t>
      </w:r>
      <w:r>
        <w:rPr>
          <w:rFonts w:ascii="Times New Roman" w:hAnsi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&lt;0.01,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Student’s t-test)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IC50 assays indicated that CDC25B inhibited sensitivity of BIU87 cells to cisplatin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(*</w:t>
      </w:r>
      <w:r>
        <w:rPr>
          <w:rFonts w:ascii="Times New Roman" w:hAnsi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&lt;0.05,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**</w:t>
      </w:r>
      <w:r>
        <w:rPr>
          <w:rFonts w:ascii="Times New Roman" w:hAnsi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&lt;0.01,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Student’s t-test)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MyqhrxAdvTTb5929f4c"/>
          <w:color w:val="131413"/>
          <w:kern w:val="0"/>
          <w:sz w:val="24"/>
        </w:rPr>
        <w:t>Data are mean±SD, n=3</w:t>
      </w:r>
    </w:p>
    <w:p>
      <w:pPr>
        <w:spacing w:line="360" w:lineRule="auto"/>
        <w:rPr>
          <w:rFonts w:ascii="Times New Roman" w:hAnsi="Times New Roman" w:eastAsiaTheme="minorEastAsia"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Theme="minorEastAsia"/>
          <w:b/>
          <w:bCs/>
          <w:sz w:val="24"/>
          <w:szCs w:val="24"/>
        </w:rPr>
        <w:t xml:space="preserve">Supplemental Table </w:t>
      </w:r>
      <w:bookmarkStart w:id="4" w:name="_GoBack"/>
      <w:bookmarkEnd w:id="4"/>
    </w:p>
    <w:p>
      <w:pPr>
        <w:rPr>
          <w:rFonts w:hint="eastAsia" w:ascii="Times New Roman" w:hAnsi="Times New Roman" w:eastAsia="宋体" w:cs="Times New Roman"/>
          <w:b/>
          <w:bCs w:val="0"/>
          <w:caps w:val="0"/>
          <w:kern w:val="0"/>
          <w:sz w:val="24"/>
        </w:rPr>
      </w:pPr>
      <w:r>
        <w:rPr>
          <w:rFonts w:hint="eastAsia" w:ascii="Times New Roman" w:hAnsi="Times New Roman" w:eastAsia="宋体" w:cs="Times New Roman"/>
          <w:b/>
          <w:bCs w:val="0"/>
          <w:caps w:val="0"/>
          <w:kern w:val="0"/>
          <w:sz w:val="24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b/>
          <w:bCs w:val="0"/>
          <w:caps w:val="0"/>
          <w:kern w:val="0"/>
          <w:sz w:val="24"/>
        </w:rPr>
        <w:t xml:space="preserve">able </w:t>
      </w:r>
      <w:r>
        <w:rPr>
          <w:rFonts w:hint="eastAsia" w:ascii="Times New Roman" w:hAnsi="Times New Roman" w:eastAsia="宋体" w:cs="Times New Roman"/>
          <w:b/>
          <w:bCs w:val="0"/>
          <w:caps w:val="0"/>
          <w:kern w:val="0"/>
          <w:sz w:val="24"/>
          <w:lang w:val="en-US" w:eastAsia="zh-CN"/>
        </w:rPr>
        <w:t>S</w:t>
      </w:r>
      <w:r>
        <w:rPr>
          <w:rFonts w:hint="eastAsia" w:ascii="Times New Roman" w:hAnsi="Times New Roman" w:eastAsia="宋体" w:cs="Times New Roman"/>
          <w:b/>
          <w:bCs w:val="0"/>
          <w:caps w:val="0"/>
          <w:kern w:val="0"/>
          <w:sz w:val="24"/>
        </w:rPr>
        <w:t xml:space="preserve">1: </w:t>
      </w:r>
      <w:r>
        <w:rPr>
          <w:rFonts w:hint="eastAsia" w:ascii="Times New Roman" w:hAnsi="Times New Roman" w:eastAsia="宋体" w:cs="Times New Roman"/>
          <w:b w:val="0"/>
          <w:bCs/>
          <w:caps w:val="0"/>
          <w:kern w:val="0"/>
          <w:sz w:val="24"/>
        </w:rPr>
        <w:t>The sequences of primers used in this research.</w:t>
      </w:r>
    </w:p>
    <w:tbl>
      <w:tblPr>
        <w:tblStyle w:val="15"/>
        <w:tblW w:w="1414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2268"/>
        <w:gridCol w:w="9072"/>
      </w:tblGrid>
      <w:tr>
        <w:tc>
          <w:tcPr>
            <w:tcW w:w="280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b w:val="0"/>
                <w:bCs/>
                <w:caps w:val="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aps w:val="0"/>
                <w:kern w:val="0"/>
                <w:sz w:val="24"/>
              </w:rPr>
              <w:t>Primers and probes</w:t>
            </w:r>
          </w:p>
        </w:tc>
        <w:tc>
          <w:tcPr>
            <w:tcW w:w="226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b/>
                <w:bCs w:val="0"/>
                <w:caps/>
                <w:kern w:val="0"/>
                <w:sz w:val="24"/>
              </w:rPr>
            </w:pPr>
          </w:p>
        </w:tc>
        <w:tc>
          <w:tcPr>
            <w:tcW w:w="907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</w:tcPr>
          <w:p>
            <w:pPr>
              <w:ind w:firstLine="723" w:firstLineChars="300"/>
              <w:rPr>
                <w:rFonts w:ascii="Times New Roman" w:hAnsi="Times New Roman" w:eastAsia="宋体" w:cs="Times New Roman"/>
                <w:b/>
                <w:bCs w:val="0"/>
                <w:cap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aps/>
                <w:kern w:val="0"/>
                <w:sz w:val="24"/>
              </w:rPr>
              <w:t>s</w:t>
            </w:r>
            <w:r>
              <w:rPr>
                <w:rFonts w:ascii="Times New Roman" w:hAnsi="Times New Roman" w:eastAsia="宋体" w:cs="Times New Roman"/>
                <w:b/>
                <w:bCs w:val="0"/>
                <w:caps w:val="0"/>
                <w:kern w:val="0"/>
                <w:sz w:val="24"/>
              </w:rPr>
              <w:t>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80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aps/>
                <w:kern w:val="0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>Circ</w:t>
            </w:r>
            <w:r>
              <w:rPr>
                <w:rFonts w:hint="eastAsia" w:ascii="Times New Roman" w:hAnsi="Times New Roman" w:cs="Times New Roman"/>
                <w:b w:val="0"/>
                <w:bCs w:val="0"/>
                <w:caps w:val="0"/>
                <w:sz w:val="24"/>
                <w:lang w:val="en-US" w:eastAsia="zh-CN"/>
              </w:rPr>
              <w:t>ZNF609</w:t>
            </w:r>
          </w:p>
        </w:tc>
        <w:tc>
          <w:tcPr>
            <w:tcW w:w="2268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</w:p>
        </w:tc>
        <w:tc>
          <w:tcPr>
            <w:tcW w:w="907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5’-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CGCTCAATCCTTTGGGAACT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-3’</w:t>
            </w:r>
          </w:p>
          <w:p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5’-</w:t>
            </w:r>
            <w:r>
              <w:rPr>
                <w:rFonts w:hint="eastAsia" w:ascii="Times New Roman" w:hAnsi="Times New Roman" w:cs="Times New Roman"/>
                <w:sz w:val="24"/>
              </w:rPr>
              <w:t>TGCTCAAGGACATCTTAGAGTCAAC</w:t>
            </w:r>
            <w:r>
              <w:rPr>
                <w:rFonts w:ascii="Times New Roman" w:hAnsi="Times New Roman" w:cs="Times New Roman"/>
                <w:sz w:val="24"/>
              </w:rPr>
              <w:t>-3’</w:t>
            </w:r>
          </w:p>
        </w:tc>
      </w:tr>
      <w:t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b w:val="0"/>
                <w:bCs w:val="0"/>
                <w:caps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aps w:val="0"/>
                <w:sz w:val="24"/>
                <w:lang w:val="en-US" w:eastAsia="zh-CN"/>
              </w:rPr>
              <w:t>ZNF609</w:t>
            </w: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 xml:space="preserve"> 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Reverse</w:t>
            </w:r>
          </w:p>
        </w:tc>
        <w:tc>
          <w:tcPr>
            <w:tcW w:w="9072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5’-</w:t>
            </w:r>
            <w:r>
              <w:rPr>
                <w:rFonts w:hint="eastAsia" w:ascii="Times New Roman" w:hAnsi="Times New Roman" w:cs="Times New Roman"/>
                <w:sz w:val="24"/>
              </w:rPr>
              <w:t>TTGGGAACTAAACCGGAGCC</w:t>
            </w:r>
            <w:r>
              <w:rPr>
                <w:rFonts w:ascii="Times New Roman" w:hAnsi="Times New Roman" w:cs="Times New Roman"/>
                <w:sz w:val="24"/>
              </w:rPr>
              <w:t>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</w:t>
            </w:r>
            <w:r>
              <w:rPr>
                <w:rFonts w:hint="eastAsia" w:ascii="Times New Roman" w:hAnsi="Times New Roman" w:cs="Times New Roman"/>
                <w:sz w:val="24"/>
              </w:rPr>
              <w:t>CCAGTGGACAACATCATTGCTT</w:t>
            </w:r>
            <w:r>
              <w:rPr>
                <w:rFonts w:ascii="Times New Roman" w:hAnsi="Times New Roman" w:cs="Times New Roman"/>
                <w:sz w:val="24"/>
              </w:rPr>
              <w:t>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>miR-</w:t>
            </w:r>
            <w:r>
              <w:rPr>
                <w:rFonts w:hint="eastAsia" w:ascii="Times New Roman" w:hAnsi="Times New Roman" w:cs="Times New Roman"/>
                <w:b w:val="0"/>
                <w:bCs w:val="0"/>
                <w:caps w:val="0"/>
                <w:sz w:val="24"/>
                <w:lang w:val="en-US" w:eastAsia="zh-CN"/>
              </w:rPr>
              <w:t>1200</w:t>
            </w: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 xml:space="preserve"> (mimics)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>U6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</w:pP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cap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aps w:val="0"/>
                <w:sz w:val="24"/>
                <w:lang w:val="en-US" w:eastAsia="zh-CN"/>
              </w:rPr>
              <w:t>CDC25B</w:t>
            </w: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caps w:val="0"/>
                <w:sz w:val="24"/>
                <w:lang w:val="en-US" w:eastAsia="zh-CN"/>
              </w:rPr>
            </w:pPr>
          </w:p>
          <w:p>
            <w:pP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>β-Actin</w:t>
            </w:r>
          </w:p>
          <w:p>
            <w:pP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lang w:val="en-US"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Stem-loop primer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</w:p>
        </w:tc>
        <w:tc>
          <w:tcPr>
            <w:tcW w:w="907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5’-</w:t>
            </w:r>
            <w:r>
              <w:rPr>
                <w:rFonts w:hint="eastAsia" w:ascii="Times New Roman" w:hAnsi="Times New Roman" w:cs="Times New Roman"/>
                <w:sz w:val="24"/>
              </w:rPr>
              <w:t>AACAGTGCTCCTGAGCCATT</w:t>
            </w:r>
            <w:r>
              <w:rPr>
                <w:rFonts w:ascii="Times New Roman" w:hAnsi="Times New Roman" w:cs="Times New Roman"/>
                <w:sz w:val="24"/>
              </w:rPr>
              <w:t>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</w:t>
            </w:r>
            <w:r>
              <w:rPr>
                <w:rFonts w:hint="eastAsia" w:ascii="Times New Roman" w:hAnsi="Times New Roman" w:cs="Times New Roman"/>
                <w:sz w:val="24"/>
              </w:rPr>
              <w:t>GTCGTATCCAGTGCAGGGT</w:t>
            </w:r>
            <w:r>
              <w:rPr>
                <w:rFonts w:ascii="Times New Roman" w:hAnsi="Times New Roman" w:cs="Times New Roman"/>
                <w:sz w:val="24"/>
              </w:rPr>
              <w:t>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</w:t>
            </w:r>
            <w:r>
              <w:rPr>
                <w:rFonts w:hint="eastAsia" w:ascii="Times New Roman" w:hAnsi="Times New Roman" w:cs="Times New Roman"/>
                <w:sz w:val="24"/>
              </w:rPr>
              <w:t>GTCGTATCCAGTGCAGGGTCCGAGGTATTCGCACTGGATACGACGAGGCT</w:t>
            </w:r>
            <w:r>
              <w:rPr>
                <w:rFonts w:ascii="Times New Roman" w:hAnsi="Times New Roman" w:cs="Times New Roman"/>
                <w:sz w:val="24"/>
              </w:rPr>
              <w:t>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5’-AAAGCAAATCATCGGACGACC-3’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5’-GTACAACACATTGTTTCCTCGGA-3’</w:t>
            </w:r>
          </w:p>
          <w:p>
            <w:pPr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’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-ACGCACCTATCCCTGTCTC-3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’</w:t>
            </w:r>
          </w:p>
          <w:p>
            <w:pPr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’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-CTGGAAGCGTCTGATGGCAA-3</w:t>
            </w: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5’-CTCCATCCTGGCCTCGCTGT-3’</w:t>
            </w:r>
          </w:p>
          <w:p>
            <w:pPr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>5’-GCTGTCACCTTCACCGTTCC-3’</w:t>
            </w:r>
          </w:p>
        </w:tc>
      </w:tr>
    </w:tbl>
    <w:p>
      <w:pPr>
        <w:spacing w:line="360" w:lineRule="auto"/>
        <w:rPr>
          <w:rFonts w:ascii="Times New Roman" w:hAnsi="Times New Roman"/>
          <w:sz w:val="24"/>
          <w:szCs w:val="24"/>
        </w:rPr>
      </w:pPr>
    </w:p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yqhrxAdvTTb5929f4c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BF1"/>
    <w:rsid w:val="0007165D"/>
    <w:rsid w:val="0008123D"/>
    <w:rsid w:val="000C00C3"/>
    <w:rsid w:val="002E7F64"/>
    <w:rsid w:val="00351A0B"/>
    <w:rsid w:val="00493012"/>
    <w:rsid w:val="00533F42"/>
    <w:rsid w:val="00563310"/>
    <w:rsid w:val="005F3E1F"/>
    <w:rsid w:val="00731B32"/>
    <w:rsid w:val="00795133"/>
    <w:rsid w:val="00873BF1"/>
    <w:rsid w:val="00961B19"/>
    <w:rsid w:val="009A470A"/>
    <w:rsid w:val="00A05A27"/>
    <w:rsid w:val="00A21D70"/>
    <w:rsid w:val="00A44FE9"/>
    <w:rsid w:val="00C10CAD"/>
    <w:rsid w:val="00D10B4E"/>
    <w:rsid w:val="00D53BB9"/>
    <w:rsid w:val="00E268FA"/>
    <w:rsid w:val="00EF6F4E"/>
    <w:rsid w:val="00FF3524"/>
    <w:rsid w:val="06FA7910"/>
    <w:rsid w:val="0A9D519D"/>
    <w:rsid w:val="46AE5084"/>
    <w:rsid w:val="4932053E"/>
    <w:rsid w:val="56EB732C"/>
    <w:rsid w:val="6CE74323"/>
    <w:rsid w:val="7AC21831"/>
    <w:rsid w:val="7F8A4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pPr>
      <w:spacing w:after="0" w:line="240" w:lineRule="auto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rFonts w:ascii="Calibri" w:hAnsi="Calibri"/>
      <w:sz w:val="21"/>
      <w:szCs w:val="21"/>
    </w:rPr>
  </w:style>
  <w:style w:type="character" w:customStyle="1" w:styleId="13">
    <w:name w:val="批注主题 字符"/>
    <w:basedOn w:val="12"/>
    <w:link w:val="6"/>
    <w:semiHidden/>
    <w:qFormat/>
    <w:uiPriority w:val="99"/>
    <w:rPr>
      <w:rFonts w:ascii="Calibri" w:hAnsi="Calibri"/>
      <w:b/>
      <w:bCs/>
      <w:sz w:val="21"/>
      <w:szCs w:val="21"/>
    </w:rPr>
  </w:style>
  <w:style w:type="character" w:customStyle="1" w:styleId="14">
    <w:name w:val="批注框文本 字符"/>
    <w:basedOn w:val="8"/>
    <w:link w:val="3"/>
    <w:semiHidden/>
    <w:qFormat/>
    <w:uiPriority w:val="99"/>
    <w:rPr>
      <w:rFonts w:ascii="Calibri" w:hAnsi="Calibri"/>
      <w:sz w:val="18"/>
      <w:szCs w:val="18"/>
    </w:rPr>
  </w:style>
  <w:style w:type="table" w:customStyle="1" w:styleId="15">
    <w:name w:val="无格式表格 31"/>
    <w:qFormat/>
    <w:uiPriority w:val="0"/>
    <w:rPr>
      <w:rFonts w:ascii="Calibri" w:hAnsi="Calibri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cPr>
        <w:tcBorders>
          <w:bottom w:val="single" w:color="7F7F7F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F7F7F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1289</Words>
  <Characters>7353</Characters>
  <Lines>61</Lines>
  <Paragraphs>17</Paragraphs>
  <TotalTime>1</TotalTime>
  <ScaleCrop>false</ScaleCrop>
  <LinksUpToDate>false</LinksUpToDate>
  <CharactersWithSpaces>8625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2020-12-26T02:58:00Z</dcterms:created>
  <dc:creator>editor</dc:creator>
  <cp:lastModifiedBy>合抱之木、</cp:lastModifiedBy>
  <dcterms:modified xsi:type="dcterms:W3CDTF">2021-10-11T04:02:44Z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EB29F941E51A4137BE1CC8A33FCB360D</vt:lpwstr>
  </property>
</Properties>
</file>