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left"/>
        <w:rPr>
          <w:rFonts w:hint="default" w:ascii="Times New Roman" w:hAnsi="Times New Roman" w:cs="Times New Roman"/>
          <w:b/>
          <w:bCs/>
          <w:i w:val="0"/>
          <w:iCs w:val="0"/>
          <w:color w:val="002060"/>
          <w:sz w:val="36"/>
          <w:szCs w:val="36"/>
          <w:lang w:val="en-US" w:eastAsia="zh-CN"/>
        </w:rPr>
      </w:pPr>
      <w:r>
        <w:rPr>
          <w:rFonts w:hint="default" w:ascii="Times New Roman" w:hAnsi="Times New Roman" w:cs="Times New Roman"/>
          <w:b/>
          <w:bCs/>
          <w:i w:val="0"/>
          <w:iCs w:val="0"/>
          <w:color w:val="002060"/>
          <w:sz w:val="36"/>
          <w:szCs w:val="36"/>
          <w:lang w:val="en-US" w:eastAsia="zh-CN"/>
        </w:rPr>
        <w:t>Supplementary materials</w:t>
      </w:r>
    </w:p>
    <w:p>
      <w:pPr>
        <w:bidi w:val="0"/>
        <w:jc w:val="left"/>
        <w:rPr>
          <w:rFonts w:hint="default" w:ascii="Times New Roman" w:hAnsi="Times New Roman" w:cs="Times New Roman"/>
          <w:b/>
          <w:bCs/>
          <w:i w:val="0"/>
          <w:iCs w:val="0"/>
          <w:color w:val="auto"/>
          <w:sz w:val="28"/>
          <w:szCs w:val="28"/>
          <w:lang w:val="en-US" w:eastAsia="zh-CN"/>
        </w:rPr>
      </w:pPr>
      <w:r>
        <w:rPr>
          <w:rFonts w:hint="default" w:ascii="Times New Roman" w:hAnsi="Times New Roman" w:cs="Times New Roman"/>
          <w:b/>
          <w:bCs/>
          <w:i w:val="0"/>
          <w:iCs w:val="0"/>
          <w:color w:val="auto"/>
          <w:sz w:val="28"/>
          <w:szCs w:val="28"/>
          <w:lang w:val="en-US" w:eastAsia="zh-CN"/>
        </w:rPr>
        <w:t>Supplementary Table S1. Measures used in the indices and models</w:t>
      </w:r>
    </w:p>
    <w:tbl>
      <w:tblPr>
        <w:tblStyle w:val="5"/>
        <w:tblW w:w="52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18"/>
        <w:gridCol w:w="1496"/>
        <w:gridCol w:w="1331"/>
        <w:gridCol w:w="998"/>
        <w:gridCol w:w="1651"/>
        <w:gridCol w:w="1067"/>
        <w:gridCol w:w="13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blHeader/>
          <w:jc w:val="center"/>
        </w:trPr>
        <w:tc>
          <w:tcPr>
            <w:tcW w:w="466" w:type="pct"/>
            <w:shd w:val="clear" w:color="auto" w:fill="D9EAF7"/>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b/>
                <w:color w:val="000000"/>
                <w:sz w:val="24"/>
                <w:szCs w:val="24"/>
              </w:rPr>
              <w:t>Group</w:t>
            </w:r>
          </w:p>
        </w:tc>
        <w:tc>
          <w:tcPr>
            <w:tcW w:w="853" w:type="pct"/>
            <w:shd w:val="clear" w:color="auto" w:fill="D9EAF7"/>
            <w:tcMar>
              <w:top w:w="35" w:type="dxa"/>
              <w:left w:w="45" w:type="dxa"/>
              <w:bottom w:w="35" w:type="dxa"/>
              <w:right w:w="45" w:type="dxa"/>
            </w:tcMar>
            <w:vAlign w:val="center"/>
          </w:tcPr>
          <w:p>
            <w:pPr>
              <w:keepNext w:val="0"/>
              <w:keepLines w:val="0"/>
              <w:pageBreakBefore w:val="0"/>
              <w:widowControl/>
              <w:kinsoku/>
              <w:wordWrap/>
              <w:overflowPunct/>
              <w:topLinePunct/>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b/>
                <w:color w:val="000000"/>
                <w:sz w:val="24"/>
                <w:szCs w:val="24"/>
              </w:rPr>
              <w:t>Variable Code</w:t>
            </w:r>
          </w:p>
        </w:tc>
        <w:tc>
          <w:tcPr>
            <w:tcW w:w="759" w:type="pct"/>
            <w:shd w:val="clear" w:color="auto" w:fill="D9EAF7"/>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b/>
                <w:color w:val="000000"/>
                <w:sz w:val="24"/>
                <w:szCs w:val="24"/>
              </w:rPr>
              <w:t>Variable Name</w:t>
            </w:r>
          </w:p>
        </w:tc>
        <w:tc>
          <w:tcPr>
            <w:tcW w:w="569" w:type="pct"/>
            <w:shd w:val="clear" w:color="auto" w:fill="D9EAF7"/>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b/>
                <w:color w:val="000000"/>
                <w:sz w:val="24"/>
                <w:szCs w:val="24"/>
              </w:rPr>
              <w:t>Direction</w:t>
            </w:r>
          </w:p>
        </w:tc>
        <w:tc>
          <w:tcPr>
            <w:tcW w:w="942" w:type="pct"/>
            <w:shd w:val="clear" w:color="auto" w:fill="D9EAF7"/>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b/>
                <w:color w:val="000000"/>
                <w:sz w:val="24"/>
                <w:szCs w:val="24"/>
              </w:rPr>
              <w:t>Transformation</w:t>
            </w:r>
          </w:p>
        </w:tc>
        <w:tc>
          <w:tcPr>
            <w:tcW w:w="609" w:type="pct"/>
            <w:shd w:val="clear" w:color="auto" w:fill="D9EAF7"/>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b/>
                <w:color w:val="000000"/>
                <w:sz w:val="24"/>
                <w:szCs w:val="24"/>
              </w:rPr>
              <w:t>Expected Unit</w:t>
            </w:r>
          </w:p>
        </w:tc>
        <w:tc>
          <w:tcPr>
            <w:tcW w:w="797" w:type="pct"/>
            <w:shd w:val="clear" w:color="auto" w:fill="D9EAF7"/>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exact"/>
              <w:ind w:firstLine="0" w:firstLineChars="0"/>
              <w:jc w:val="center"/>
              <w:textAlignment w:val="auto"/>
              <w:rPr>
                <w:rFonts w:ascii="Times New Roman" w:hAnsi="Times New Roman" w:eastAsia="宋体" w:cs="Times New Roman"/>
                <w:color w:val="000000"/>
                <w:sz w:val="24"/>
                <w:szCs w:val="24"/>
                <w:lang w:val="en-US" w:eastAsia="en-US" w:bidi="ar-SA"/>
              </w:rPr>
            </w:pPr>
            <w:r>
              <w:rPr>
                <w:rFonts w:ascii="Times New Roman" w:hAnsi="Times New Roman" w:eastAsia="宋体" w:cs="Times New Roman"/>
                <w:b/>
                <w:color w:val="000000"/>
                <w:sz w:val="24"/>
                <w:szCs w:val="24"/>
              </w:rPr>
              <w:t>Measurement scope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6"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WEFSI</w:t>
            </w:r>
          </w:p>
        </w:tc>
        <w:tc>
          <w:tcPr>
            <w:tcW w:w="853"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ER.H2O.FWST.ZS</w:t>
            </w:r>
          </w:p>
        </w:tc>
        <w:tc>
          <w:tcPr>
            <w:tcW w:w="75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Water stress</w:t>
            </w:r>
          </w:p>
        </w:tc>
        <w:tc>
          <w:tcPr>
            <w:tcW w:w="56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cost</w:t>
            </w:r>
          </w:p>
        </w:tc>
        <w:tc>
          <w:tcPr>
            <w:tcW w:w="942"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pooled cost min-max</w:t>
            </w:r>
          </w:p>
        </w:tc>
        <w:tc>
          <w:tcPr>
            <w:tcW w:w="60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 of freshwater resources</w:t>
            </w:r>
          </w:p>
        </w:tc>
        <w:tc>
          <w:tcPr>
            <w:tcW w:w="797"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exact"/>
              <w:ind w:firstLine="0" w:firstLineChars="0"/>
              <w:jc w:val="center"/>
              <w:textAlignment w:val="auto"/>
              <w:rPr>
                <w:rFonts w:ascii="Times New Roman" w:hAnsi="Times New Roman" w:eastAsia="宋体" w:cs="Times New Roman"/>
                <w:color w:val="000000"/>
                <w:sz w:val="24"/>
                <w:szCs w:val="24"/>
                <w:lang w:val="en-US" w:eastAsia="en-US" w:bidi="ar-SA"/>
              </w:rPr>
            </w:pPr>
            <w:r>
              <w:rPr>
                <w:rFonts w:ascii="Times New Roman" w:hAnsi="Times New Roman" w:eastAsia="宋体" w:cs="Times New Roman"/>
                <w:color w:val="000000"/>
                <w:sz w:val="24"/>
                <w:szCs w:val="24"/>
              </w:rPr>
              <w:t>Freshwater pressure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6"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WEFSI</w:t>
            </w:r>
          </w:p>
        </w:tc>
        <w:tc>
          <w:tcPr>
            <w:tcW w:w="853"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AG.YLD.CREL.KG</w:t>
            </w:r>
          </w:p>
        </w:tc>
        <w:tc>
          <w:tcPr>
            <w:tcW w:w="75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Cereal yield</w:t>
            </w:r>
          </w:p>
        </w:tc>
        <w:tc>
          <w:tcPr>
            <w:tcW w:w="56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benefit</w:t>
            </w:r>
          </w:p>
        </w:tc>
        <w:tc>
          <w:tcPr>
            <w:tcW w:w="942"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pooled benefit min-max</w:t>
            </w:r>
          </w:p>
        </w:tc>
        <w:tc>
          <w:tcPr>
            <w:tcW w:w="60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kg per hectare</w:t>
            </w:r>
          </w:p>
        </w:tc>
        <w:tc>
          <w:tcPr>
            <w:tcW w:w="797"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exact"/>
              <w:ind w:firstLine="0" w:firstLineChars="0"/>
              <w:jc w:val="center"/>
              <w:textAlignment w:val="auto"/>
              <w:rPr>
                <w:rFonts w:ascii="Times New Roman" w:hAnsi="Times New Roman" w:eastAsia="宋体" w:cs="Times New Roman"/>
                <w:color w:val="000000"/>
                <w:sz w:val="24"/>
                <w:szCs w:val="24"/>
                <w:lang w:val="en-US" w:eastAsia="en-US" w:bidi="ar-SA"/>
              </w:rPr>
            </w:pPr>
            <w:r>
              <w:rPr>
                <w:rFonts w:ascii="Times New Roman" w:hAnsi="Times New Roman" w:eastAsia="宋体" w:cs="Times New Roman"/>
                <w:color w:val="000000"/>
                <w:sz w:val="24"/>
                <w:szCs w:val="24"/>
              </w:rPr>
              <w:t>Crop yield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6"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WEFSI</w:t>
            </w:r>
          </w:p>
        </w:tc>
        <w:tc>
          <w:tcPr>
            <w:tcW w:w="853"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SN.ITK.DEFC.ZS</w:t>
            </w:r>
          </w:p>
        </w:tc>
        <w:tc>
          <w:tcPr>
            <w:tcW w:w="75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Prevalence of undernourishment</w:t>
            </w:r>
          </w:p>
        </w:tc>
        <w:tc>
          <w:tcPr>
            <w:tcW w:w="56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cost</w:t>
            </w:r>
          </w:p>
        </w:tc>
        <w:tc>
          <w:tcPr>
            <w:tcW w:w="942"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pooled cost min-max</w:t>
            </w:r>
          </w:p>
        </w:tc>
        <w:tc>
          <w:tcPr>
            <w:tcW w:w="60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 of population</w:t>
            </w:r>
          </w:p>
        </w:tc>
        <w:tc>
          <w:tcPr>
            <w:tcW w:w="797"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exact"/>
              <w:ind w:firstLine="0" w:firstLineChars="0"/>
              <w:jc w:val="center"/>
              <w:textAlignment w:val="auto"/>
              <w:rPr>
                <w:rFonts w:ascii="Times New Roman" w:hAnsi="Times New Roman" w:eastAsia="宋体" w:cs="Times New Roman"/>
                <w:color w:val="000000"/>
                <w:sz w:val="24"/>
                <w:szCs w:val="24"/>
                <w:lang w:val="en-US" w:eastAsia="en-US" w:bidi="ar-SA"/>
              </w:rPr>
            </w:pPr>
            <w:r>
              <w:rPr>
                <w:rFonts w:ascii="Times New Roman" w:hAnsi="Times New Roman" w:eastAsia="宋体" w:cs="Times New Roman"/>
                <w:color w:val="000000"/>
                <w:sz w:val="24"/>
                <w:szCs w:val="24"/>
              </w:rPr>
              <w:t>Undernourishment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6"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WEFSI</w:t>
            </w:r>
          </w:p>
        </w:tc>
        <w:tc>
          <w:tcPr>
            <w:tcW w:w="853"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EG.ELC.ACCS.ZS</w:t>
            </w:r>
          </w:p>
        </w:tc>
        <w:tc>
          <w:tcPr>
            <w:tcW w:w="75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Access to electricity</w:t>
            </w:r>
          </w:p>
        </w:tc>
        <w:tc>
          <w:tcPr>
            <w:tcW w:w="56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benefit</w:t>
            </w:r>
          </w:p>
        </w:tc>
        <w:tc>
          <w:tcPr>
            <w:tcW w:w="942"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pooled benefit min-max</w:t>
            </w:r>
          </w:p>
        </w:tc>
        <w:tc>
          <w:tcPr>
            <w:tcW w:w="60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 of population</w:t>
            </w:r>
          </w:p>
        </w:tc>
        <w:tc>
          <w:tcPr>
            <w:tcW w:w="797"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exact"/>
              <w:ind w:firstLine="0" w:firstLineChars="0"/>
              <w:jc w:val="center"/>
              <w:textAlignment w:val="auto"/>
              <w:rPr>
                <w:rFonts w:ascii="Times New Roman" w:hAnsi="Times New Roman" w:eastAsia="宋体" w:cs="Times New Roman"/>
                <w:color w:val="000000"/>
                <w:sz w:val="24"/>
                <w:szCs w:val="24"/>
                <w:lang w:val="en-US" w:eastAsia="en-US" w:bidi="ar-SA"/>
              </w:rPr>
            </w:pPr>
            <w:r>
              <w:rPr>
                <w:rFonts w:ascii="Times New Roman" w:hAnsi="Times New Roman" w:eastAsia="宋体" w:cs="Times New Roman"/>
                <w:color w:val="000000"/>
                <w:sz w:val="24"/>
                <w:szCs w:val="24"/>
              </w:rPr>
              <w:t>Electricity access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6"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WEFSI</w:t>
            </w:r>
          </w:p>
        </w:tc>
        <w:tc>
          <w:tcPr>
            <w:tcW w:w="853"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EG.FEC.RNEW.ZS</w:t>
            </w:r>
          </w:p>
        </w:tc>
        <w:tc>
          <w:tcPr>
            <w:tcW w:w="75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Renewable energy consumption</w:t>
            </w:r>
          </w:p>
        </w:tc>
        <w:tc>
          <w:tcPr>
            <w:tcW w:w="56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benefit</w:t>
            </w:r>
          </w:p>
        </w:tc>
        <w:tc>
          <w:tcPr>
            <w:tcW w:w="942"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pooled benefit min-max</w:t>
            </w:r>
          </w:p>
        </w:tc>
        <w:tc>
          <w:tcPr>
            <w:tcW w:w="60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 of total final energy consumption</w:t>
            </w:r>
          </w:p>
        </w:tc>
        <w:tc>
          <w:tcPr>
            <w:tcW w:w="797"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exact"/>
              <w:ind w:firstLine="0" w:firstLineChars="0"/>
              <w:jc w:val="center"/>
              <w:textAlignment w:val="auto"/>
              <w:rPr>
                <w:rFonts w:ascii="Times New Roman" w:hAnsi="Times New Roman" w:eastAsia="宋体" w:cs="Times New Roman"/>
                <w:color w:val="000000"/>
                <w:sz w:val="24"/>
                <w:szCs w:val="24"/>
                <w:lang w:val="en-US" w:eastAsia="en-US" w:bidi="ar-SA"/>
              </w:rPr>
            </w:pPr>
            <w:r>
              <w:rPr>
                <w:rFonts w:ascii="Times New Roman" w:hAnsi="Times New Roman" w:eastAsia="宋体" w:cs="Times New Roman"/>
                <w:color w:val="000000"/>
                <w:sz w:val="24"/>
                <w:szCs w:val="24"/>
              </w:rPr>
              <w:t>Renewable share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6"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WEFSI</w:t>
            </w:r>
          </w:p>
        </w:tc>
        <w:tc>
          <w:tcPr>
            <w:tcW w:w="853"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EG.ELC.LOSS.ZS</w:t>
            </w:r>
          </w:p>
        </w:tc>
        <w:tc>
          <w:tcPr>
            <w:tcW w:w="75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Electric power transmission and distribution losses</w:t>
            </w:r>
          </w:p>
        </w:tc>
        <w:tc>
          <w:tcPr>
            <w:tcW w:w="56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cost</w:t>
            </w:r>
          </w:p>
        </w:tc>
        <w:tc>
          <w:tcPr>
            <w:tcW w:w="942"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pooled cost min-max</w:t>
            </w:r>
          </w:p>
        </w:tc>
        <w:tc>
          <w:tcPr>
            <w:tcW w:w="60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 of output</w:t>
            </w:r>
          </w:p>
        </w:tc>
        <w:tc>
          <w:tcPr>
            <w:tcW w:w="797"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exact"/>
              <w:ind w:firstLine="0" w:firstLineChars="0"/>
              <w:jc w:val="center"/>
              <w:textAlignment w:val="auto"/>
              <w:rPr>
                <w:rFonts w:ascii="Times New Roman" w:hAnsi="Times New Roman" w:eastAsia="宋体" w:cs="Times New Roman"/>
                <w:color w:val="000000"/>
                <w:sz w:val="24"/>
                <w:szCs w:val="24"/>
                <w:lang w:val="en-US" w:eastAsia="en-US" w:bidi="ar-SA"/>
              </w:rPr>
            </w:pPr>
            <w:r>
              <w:rPr>
                <w:rFonts w:ascii="Times New Roman" w:hAnsi="Times New Roman" w:eastAsia="宋体" w:cs="Times New Roman"/>
                <w:color w:val="000000"/>
                <w:sz w:val="24"/>
                <w:szCs w:val="24"/>
              </w:rPr>
              <w:t>Grid losses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6"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GMVI</w:t>
            </w:r>
          </w:p>
        </w:tc>
        <w:tc>
          <w:tcPr>
            <w:tcW w:w="853"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ER.H2O.FWAG.ZS</w:t>
            </w:r>
          </w:p>
        </w:tc>
        <w:tc>
          <w:tcPr>
            <w:tcW w:w="75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Agricultural freshwater withdrawals</w:t>
            </w:r>
          </w:p>
        </w:tc>
        <w:tc>
          <w:tcPr>
            <w:tcW w:w="56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increasing exposure score</w:t>
            </w:r>
          </w:p>
        </w:tc>
        <w:tc>
          <w:tcPr>
            <w:tcW w:w="942"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ratio to NV.AGR.TOTL.ZS, then pooled min-max</w:t>
            </w:r>
          </w:p>
        </w:tc>
        <w:tc>
          <w:tcPr>
            <w:tcW w:w="60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 of total freshwater withdrawal</w:t>
            </w:r>
          </w:p>
        </w:tc>
        <w:tc>
          <w:tcPr>
            <w:tcW w:w="797"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exact"/>
              <w:ind w:firstLine="0" w:firstLineChars="0"/>
              <w:jc w:val="center"/>
              <w:textAlignment w:val="auto"/>
              <w:rPr>
                <w:rFonts w:ascii="Times New Roman" w:hAnsi="Times New Roman" w:eastAsia="宋体" w:cs="Times New Roman"/>
                <w:color w:val="000000"/>
                <w:sz w:val="24"/>
                <w:szCs w:val="24"/>
                <w:lang w:val="en-US" w:eastAsia="en-US" w:bidi="ar-SA"/>
              </w:rPr>
            </w:pPr>
            <w:r>
              <w:rPr>
                <w:rFonts w:ascii="Times New Roman" w:hAnsi="Times New Roman" w:eastAsia="宋体" w:cs="Times New Roman"/>
                <w:color w:val="000000"/>
                <w:sz w:val="24"/>
                <w:szCs w:val="24"/>
              </w:rPr>
              <w:t>Withdrawal share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6"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GMVI</w:t>
            </w:r>
          </w:p>
        </w:tc>
        <w:tc>
          <w:tcPr>
            <w:tcW w:w="853"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NV.AGR.TOTL.ZS</w:t>
            </w:r>
          </w:p>
        </w:tc>
        <w:tc>
          <w:tcPr>
            <w:tcW w:w="75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Agriculture, forestry, and fishing, value added</w:t>
            </w:r>
          </w:p>
        </w:tc>
        <w:tc>
          <w:tcPr>
            <w:tcW w:w="56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p>
        </w:tc>
        <w:tc>
          <w:tcPr>
            <w:tcW w:w="942"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denominator in withdrawal-to-value-added intensity</w:t>
            </w:r>
          </w:p>
        </w:tc>
        <w:tc>
          <w:tcPr>
            <w:tcW w:w="60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 of GDP</w:t>
            </w:r>
          </w:p>
        </w:tc>
        <w:tc>
          <w:tcPr>
            <w:tcW w:w="797"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exact"/>
              <w:ind w:firstLine="0" w:firstLineChars="0"/>
              <w:jc w:val="center"/>
              <w:textAlignment w:val="auto"/>
              <w:rPr>
                <w:rFonts w:ascii="Times New Roman" w:hAnsi="Times New Roman" w:eastAsia="宋体" w:cs="Times New Roman"/>
                <w:color w:val="000000"/>
                <w:sz w:val="24"/>
                <w:szCs w:val="24"/>
                <w:lang w:val="en-US" w:eastAsia="en-US" w:bidi="ar-SA"/>
              </w:rPr>
            </w:pPr>
            <w:r>
              <w:rPr>
                <w:rFonts w:ascii="Times New Roman" w:hAnsi="Times New Roman" w:eastAsia="宋体" w:cs="Times New Roman"/>
                <w:color w:val="000000"/>
                <w:sz w:val="24"/>
                <w:szCs w:val="24"/>
              </w:rPr>
              <w:t>Value-added share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6"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GMVI</w:t>
            </w:r>
          </w:p>
        </w:tc>
        <w:tc>
          <w:tcPr>
            <w:tcW w:w="853"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GE.EST</w:t>
            </w:r>
          </w:p>
        </w:tc>
        <w:tc>
          <w:tcPr>
            <w:tcW w:w="75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Government Effectiveness</w:t>
            </w:r>
          </w:p>
        </w:tc>
        <w:tc>
          <w:tcPr>
            <w:tcW w:w="56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capacity</w:t>
            </w:r>
          </w:p>
        </w:tc>
        <w:tc>
          <w:tcPr>
            <w:tcW w:w="942"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pooled benefit min-max; deficit = 1-capacity</w:t>
            </w:r>
          </w:p>
        </w:tc>
        <w:tc>
          <w:tcPr>
            <w:tcW w:w="60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traditional WGI estimate</w:t>
            </w:r>
          </w:p>
        </w:tc>
        <w:tc>
          <w:tcPr>
            <w:tcW w:w="797"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exact"/>
              <w:ind w:firstLine="0" w:firstLineChars="0"/>
              <w:jc w:val="center"/>
              <w:textAlignment w:val="auto"/>
              <w:rPr>
                <w:rFonts w:ascii="Times New Roman" w:hAnsi="Times New Roman" w:eastAsia="宋体" w:cs="Times New Roman"/>
                <w:color w:val="000000"/>
                <w:sz w:val="24"/>
                <w:szCs w:val="24"/>
                <w:lang w:val="en-US" w:eastAsia="en-US" w:bidi="ar-SA"/>
              </w:rPr>
            </w:pPr>
            <w:r>
              <w:rPr>
                <w:rFonts w:ascii="Times New Roman" w:hAnsi="Times New Roman" w:eastAsia="宋体" w:cs="Times New Roman"/>
                <w:color w:val="000000"/>
                <w:sz w:val="24"/>
                <w:szCs w:val="24"/>
              </w:rPr>
              <w:t>WGI 2025 estimate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6"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GMVI</w:t>
            </w:r>
          </w:p>
        </w:tc>
        <w:tc>
          <w:tcPr>
            <w:tcW w:w="853"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RQ.EST</w:t>
            </w:r>
          </w:p>
        </w:tc>
        <w:tc>
          <w:tcPr>
            <w:tcW w:w="75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Regulatory Quality</w:t>
            </w:r>
          </w:p>
        </w:tc>
        <w:tc>
          <w:tcPr>
            <w:tcW w:w="56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capacity</w:t>
            </w:r>
          </w:p>
        </w:tc>
        <w:tc>
          <w:tcPr>
            <w:tcW w:w="942"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pooled benefit min-max; deficit = 1-capacity</w:t>
            </w:r>
          </w:p>
        </w:tc>
        <w:tc>
          <w:tcPr>
            <w:tcW w:w="60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traditional WGI estimate</w:t>
            </w:r>
          </w:p>
        </w:tc>
        <w:tc>
          <w:tcPr>
            <w:tcW w:w="797"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exact"/>
              <w:ind w:firstLine="0" w:firstLineChars="0"/>
              <w:jc w:val="center"/>
              <w:textAlignment w:val="auto"/>
              <w:rPr>
                <w:rFonts w:ascii="Times New Roman" w:hAnsi="Times New Roman" w:eastAsia="宋体" w:cs="Times New Roman"/>
                <w:color w:val="000000"/>
                <w:sz w:val="24"/>
                <w:szCs w:val="24"/>
                <w:lang w:val="en-US" w:eastAsia="en-US" w:bidi="ar-SA"/>
              </w:rPr>
            </w:pPr>
            <w:r>
              <w:rPr>
                <w:rFonts w:ascii="Times New Roman" w:hAnsi="Times New Roman" w:eastAsia="宋体" w:cs="Times New Roman"/>
                <w:color w:val="000000"/>
                <w:sz w:val="24"/>
                <w:szCs w:val="24"/>
              </w:rPr>
              <w:t>WGI 2025 estimate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6"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GMVI</w:t>
            </w:r>
          </w:p>
        </w:tc>
        <w:tc>
          <w:tcPr>
            <w:tcW w:w="853"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EG.ELC.HYRO.ZS</w:t>
            </w:r>
          </w:p>
        </w:tc>
        <w:tc>
          <w:tcPr>
            <w:tcW w:w="75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Electricity production from hydroelectric sources</w:t>
            </w:r>
          </w:p>
        </w:tc>
        <w:tc>
          <w:tcPr>
            <w:tcW w:w="56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exposure</w:t>
            </w:r>
          </w:p>
        </w:tc>
        <w:tc>
          <w:tcPr>
            <w:tcW w:w="942"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pooled increasing min-max, then geometric mean with withdrawals</w:t>
            </w:r>
          </w:p>
        </w:tc>
        <w:tc>
          <w:tcPr>
            <w:tcW w:w="60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 of total electricity production</w:t>
            </w:r>
          </w:p>
        </w:tc>
        <w:tc>
          <w:tcPr>
            <w:tcW w:w="797"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exact"/>
              <w:ind w:firstLine="0" w:firstLineChars="0"/>
              <w:jc w:val="center"/>
              <w:textAlignment w:val="auto"/>
              <w:rPr>
                <w:rFonts w:ascii="Times New Roman" w:hAnsi="Times New Roman" w:eastAsia="宋体" w:cs="Times New Roman"/>
                <w:color w:val="000000"/>
                <w:sz w:val="24"/>
                <w:szCs w:val="24"/>
                <w:lang w:val="en-US" w:eastAsia="en-US" w:bidi="ar-SA"/>
              </w:rPr>
            </w:pPr>
            <w:r>
              <w:rPr>
                <w:rFonts w:ascii="Times New Roman" w:hAnsi="Times New Roman" w:eastAsia="宋体" w:cs="Times New Roman"/>
                <w:color w:val="000000"/>
                <w:sz w:val="24"/>
                <w:szCs w:val="24"/>
              </w:rPr>
              <w:t>Hydropower share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6"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Control</w:t>
            </w:r>
          </w:p>
        </w:tc>
        <w:tc>
          <w:tcPr>
            <w:tcW w:w="853"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NY.GDP.PCAP.CD</w:t>
            </w:r>
          </w:p>
        </w:tc>
        <w:tc>
          <w:tcPr>
            <w:tcW w:w="75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GDP per capita</w:t>
            </w:r>
          </w:p>
        </w:tc>
        <w:tc>
          <w:tcPr>
            <w:tcW w:w="56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p>
        </w:tc>
        <w:tc>
          <w:tcPr>
            <w:tcW w:w="942"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natural log and one-year lag</w:t>
            </w:r>
          </w:p>
        </w:tc>
        <w:tc>
          <w:tcPr>
            <w:tcW w:w="60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current US$</w:t>
            </w:r>
          </w:p>
        </w:tc>
        <w:tc>
          <w:tcPr>
            <w:tcW w:w="797"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exact"/>
              <w:ind w:firstLine="0" w:firstLineChars="0"/>
              <w:jc w:val="center"/>
              <w:textAlignment w:val="auto"/>
              <w:rPr>
                <w:rFonts w:ascii="Times New Roman" w:hAnsi="Times New Roman" w:eastAsia="宋体" w:cs="Times New Roman"/>
                <w:color w:val="000000"/>
                <w:sz w:val="24"/>
                <w:szCs w:val="24"/>
                <w:lang w:val="en-US" w:eastAsia="en-US" w:bidi="ar-SA"/>
              </w:rPr>
            </w:pPr>
            <w:r>
              <w:rPr>
                <w:rFonts w:ascii="Times New Roman" w:hAnsi="Times New Roman" w:eastAsia="宋体" w:cs="Times New Roman"/>
                <w:color w:val="000000"/>
                <w:sz w:val="24"/>
                <w:szCs w:val="24"/>
              </w:rPr>
              <w:t>GDP per capita (current 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6"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Control</w:t>
            </w:r>
          </w:p>
        </w:tc>
        <w:tc>
          <w:tcPr>
            <w:tcW w:w="853"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EN.POP.DNST</w:t>
            </w:r>
          </w:p>
        </w:tc>
        <w:tc>
          <w:tcPr>
            <w:tcW w:w="75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Population density</w:t>
            </w:r>
          </w:p>
        </w:tc>
        <w:tc>
          <w:tcPr>
            <w:tcW w:w="56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p>
        </w:tc>
        <w:tc>
          <w:tcPr>
            <w:tcW w:w="942"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one-year lag</w:t>
            </w:r>
          </w:p>
        </w:tc>
        <w:tc>
          <w:tcPr>
            <w:tcW w:w="609"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people per sq. km of land area</w:t>
            </w:r>
          </w:p>
        </w:tc>
        <w:tc>
          <w:tcPr>
            <w:tcW w:w="797" w:type="pct"/>
            <w:shd w:val="clear" w:color="auto" w:fill="auto"/>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exact"/>
              <w:ind w:firstLine="0" w:firstLineChars="0"/>
              <w:jc w:val="center"/>
              <w:textAlignment w:val="auto"/>
              <w:rPr>
                <w:rFonts w:ascii="Times New Roman" w:hAnsi="Times New Roman" w:eastAsia="宋体" w:cs="Times New Roman"/>
                <w:color w:val="000000"/>
                <w:sz w:val="24"/>
                <w:szCs w:val="24"/>
                <w:lang w:val="en-US" w:eastAsia="en-US" w:bidi="ar-SA"/>
              </w:rPr>
            </w:pPr>
            <w:r>
              <w:rPr>
                <w:rFonts w:ascii="Times New Roman" w:hAnsi="Times New Roman" w:eastAsia="宋体" w:cs="Times New Roman"/>
                <w:color w:val="000000"/>
                <w:sz w:val="24"/>
                <w:szCs w:val="24"/>
              </w:rPr>
              <w:t>Population density</w:t>
            </w:r>
          </w:p>
        </w:tc>
      </w:tr>
    </w:tbl>
    <w:p>
      <w:pPr>
        <w:bidi w:val="0"/>
        <w:rPr>
          <w:rFonts w:hint="default" w:ascii="Times New Roman" w:hAnsi="Times New Roman" w:cs="Times New Roman"/>
          <w:i/>
          <w:iCs/>
        </w:rPr>
      </w:pPr>
      <w:r>
        <w:rPr>
          <w:rFonts w:hint="default" w:ascii="Times New Roman" w:hAnsi="Times New Roman" w:cs="Times New Roman"/>
          <w:i/>
          <w:iCs/>
        </w:rPr>
        <w:t>Note. All index bounds are pooled across the relevant construction sample. AWI is a share-based withdrawal-intensity ratio, GCD is the reversed mean of two normalised WGI dimensions, and STE is a geometric-mean exposure measure. Together they form the three dimensions of the Governance-related Multidimensional Vulnerability Index (GMVI).</w:t>
      </w:r>
    </w:p>
    <w:p>
      <w:pPr>
        <w:rPr>
          <w:rFonts w:hint="eastAsia" w:ascii="Times New Roman" w:hAnsi="Times New Roman" w:eastAsia="宋体"/>
          <w:b w:val="0"/>
          <w:bCs w:val="0"/>
          <w:i/>
          <w:iCs/>
          <w:color w:val="000000"/>
          <w:sz w:val="28"/>
          <w:szCs w:val="28"/>
        </w:rPr>
      </w:pPr>
    </w:p>
    <w:p>
      <w:pPr>
        <w:rPr>
          <w:rFonts w:hint="eastAsia" w:ascii="Times New Roman" w:hAnsi="Times New Roman" w:eastAsia="宋体"/>
          <w:b/>
          <w:bCs/>
          <w:i w:val="0"/>
          <w:iCs w:val="0"/>
          <w:color w:val="000000"/>
          <w:sz w:val="28"/>
          <w:szCs w:val="28"/>
        </w:rPr>
      </w:pPr>
      <w:r>
        <w:rPr>
          <w:rFonts w:hint="eastAsia" w:ascii="Times New Roman" w:hAnsi="Times New Roman" w:eastAsia="宋体"/>
          <w:b/>
          <w:bCs/>
          <w:i w:val="0"/>
          <w:iCs w:val="0"/>
          <w:color w:val="000000"/>
          <w:sz w:val="28"/>
          <w:szCs w:val="28"/>
          <w:lang w:val="en-US" w:eastAsia="zh-CN"/>
        </w:rPr>
        <w:t xml:space="preserve">Supplementary </w:t>
      </w:r>
      <w:r>
        <w:rPr>
          <w:rFonts w:hint="eastAsia" w:ascii="Times New Roman" w:hAnsi="Times New Roman" w:eastAsia="宋体"/>
          <w:b/>
          <w:bCs/>
          <w:i w:val="0"/>
          <w:iCs w:val="0"/>
          <w:color w:val="000000"/>
          <w:sz w:val="28"/>
          <w:szCs w:val="28"/>
        </w:rPr>
        <w:t xml:space="preserve">Table </w:t>
      </w:r>
      <w:r>
        <w:rPr>
          <w:rFonts w:hint="eastAsia" w:ascii="Times New Roman" w:hAnsi="Times New Roman" w:eastAsia="宋体"/>
          <w:b/>
          <w:bCs/>
          <w:i w:val="0"/>
          <w:iCs w:val="0"/>
          <w:color w:val="000000"/>
          <w:sz w:val="28"/>
          <w:szCs w:val="28"/>
          <w:lang w:val="en-US" w:eastAsia="zh-CN"/>
        </w:rPr>
        <w:t>S</w:t>
      </w:r>
      <w:r>
        <w:rPr>
          <w:rFonts w:hint="eastAsia" w:ascii="Times New Roman" w:hAnsi="Times New Roman" w:eastAsia="宋体"/>
          <w:b/>
          <w:bCs/>
          <w:i w:val="0"/>
          <w:iCs w:val="0"/>
          <w:color w:val="000000"/>
          <w:sz w:val="28"/>
          <w:szCs w:val="28"/>
        </w:rPr>
        <w:t>2. Data coverage and provenance status, 2002-2024</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7"/>
        <w:gridCol w:w="1895"/>
        <w:gridCol w:w="2113"/>
        <w:gridCol w:w="918"/>
        <w:gridCol w:w="943"/>
        <w:gridCol w:w="6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550" w:type="dxa"/>
            <w:shd w:val="clear" w:color="auto" w:fill="D9EAF7"/>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b/>
                <w:color w:val="000000"/>
                <w:sz w:val="24"/>
                <w:szCs w:val="24"/>
              </w:rPr>
              <w:t>Indicator</w:t>
            </w:r>
          </w:p>
        </w:tc>
        <w:tc>
          <w:tcPr>
            <w:tcW w:w="1550" w:type="dxa"/>
            <w:shd w:val="clear" w:color="auto" w:fill="D9EAF7"/>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b/>
                <w:color w:val="000000"/>
                <w:sz w:val="24"/>
                <w:szCs w:val="24"/>
              </w:rPr>
              <w:t>Author-estimated 2024 endpoint</w:t>
            </w:r>
          </w:p>
        </w:tc>
        <w:tc>
          <w:tcPr>
            <w:tcW w:w="1550" w:type="dxa"/>
            <w:shd w:val="clear" w:color="auto" w:fill="D9EAF7"/>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b/>
                <w:color w:val="000000"/>
                <w:sz w:val="24"/>
                <w:szCs w:val="24"/>
              </w:rPr>
              <w:t>Official Estimate (Source-Supported)</w:t>
            </w:r>
          </w:p>
        </w:tc>
        <w:tc>
          <w:tcPr>
            <w:tcW w:w="1550" w:type="dxa"/>
            <w:shd w:val="clear" w:color="auto" w:fill="D9EAF7"/>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b/>
                <w:color w:val="000000"/>
                <w:sz w:val="24"/>
                <w:szCs w:val="24"/>
              </w:rPr>
              <w:t>Official Series Value</w:t>
            </w:r>
          </w:p>
        </w:tc>
        <w:tc>
          <w:tcPr>
            <w:tcW w:w="1550" w:type="dxa"/>
            <w:shd w:val="clear" w:color="auto" w:fill="D9EAF7"/>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b/>
                <w:color w:val="000000"/>
                <w:sz w:val="24"/>
                <w:szCs w:val="24"/>
              </w:rPr>
              <w:t>Missing</w:t>
            </w:r>
          </w:p>
        </w:tc>
        <w:tc>
          <w:tcPr>
            <w:tcW w:w="1550" w:type="dxa"/>
            <w:shd w:val="clear" w:color="auto" w:fill="D9EAF7"/>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b/>
                <w:color w:val="000000"/>
                <w:sz w:val="24"/>
                <w:szCs w:val="24"/>
              </w:rPr>
              <w:t>Total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Agricultural freshwater withdrawals</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5</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Agriculture value added</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115</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Cereal yield</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115</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Access to electricity</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115</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Electricity transmission and distribution losses</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5</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GDP per capita</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115</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Government Effectiveness</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115</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Hydropower generation share</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5</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Population density</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115</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Regulatory Quality</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115</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Renewable energy share</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5</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Prevalence of undernourishment</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115</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Water stress</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5</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0</w:t>
            </w:r>
          </w:p>
        </w:tc>
        <w:tc>
          <w:tcPr>
            <w:tcW w:w="1550" w:type="dxa"/>
            <w:tcMar>
              <w:top w:w="35" w:type="dxa"/>
              <w:left w:w="45" w:type="dxa"/>
              <w:bottom w:w="35" w:type="dxa"/>
              <w:right w:w="45" w:type="dxa"/>
            </w:tcMar>
            <w:vAlign w:val="center"/>
          </w:tcPr>
          <w:p>
            <w:pPr>
              <w:keepNext w:val="0"/>
              <w:keepLines w:val="0"/>
              <w:pageBreakBefore w:val="0"/>
              <w:widowControl/>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sz w:val="24"/>
                <w:szCs w:val="24"/>
              </w:rPr>
            </w:pPr>
            <w:r>
              <w:rPr>
                <w:rFonts w:ascii="Times New Roman" w:hAnsi="Times New Roman" w:eastAsia="宋体"/>
                <w:color w:val="000000"/>
                <w:sz w:val="24"/>
                <w:szCs w:val="24"/>
              </w:rPr>
              <w:t>115</w:t>
            </w:r>
          </w:p>
        </w:tc>
      </w:tr>
    </w:tbl>
    <w:p>
      <w:pPr>
        <w:bidi w:val="0"/>
        <w:rPr>
          <w:rFonts w:hint="default" w:ascii="Times New Roman" w:hAnsi="Times New Roman" w:cs="Times New Roman"/>
          <w:i/>
          <w:iCs/>
        </w:rPr>
      </w:pPr>
      <w:r>
        <w:rPr>
          <w:rFonts w:hint="default" w:ascii="Times New Roman" w:hAnsi="Times New Roman" w:cs="Times New Roman"/>
          <w:i/>
          <w:iCs/>
        </w:rPr>
        <w:t>Note. Counts are country-year cells. Author-estimated values are confined to 2024 endpoints and retain model, validation, prediction-interval, and multiple-imputation provenance.</w:t>
      </w:r>
    </w:p>
    <w:p>
      <w:pPr>
        <w:bidi w:val="0"/>
        <w:jc w:val="left"/>
        <w:rPr>
          <w:rFonts w:hint="default" w:ascii="Times New Roman" w:hAnsi="Times New Roman" w:cs="Times New Roman"/>
          <w:b w:val="0"/>
          <w:bCs w:val="0"/>
          <w:color w:val="auto"/>
          <w:sz w:val="28"/>
          <w:szCs w:val="28"/>
          <w:lang w:val="en-US" w:eastAsia="zh-CN"/>
        </w:rPr>
      </w:pPr>
    </w:p>
    <w:p>
      <w:pPr>
        <w:bidi w:val="0"/>
        <w:jc w:val="left"/>
        <w:rPr>
          <w:rFonts w:hint="default" w:ascii="Times New Roman" w:hAnsi="Times New Roman" w:cs="Times New Roman"/>
          <w:b/>
          <w:bCs/>
          <w:color w:val="auto"/>
          <w:sz w:val="28"/>
          <w:szCs w:val="28"/>
          <w:lang w:val="en-US" w:eastAsia="zh-CN"/>
        </w:rPr>
      </w:pPr>
      <w:r>
        <w:rPr>
          <w:rFonts w:hint="default" w:ascii="Times New Roman" w:hAnsi="Times New Roman" w:cs="Times New Roman"/>
          <w:b/>
          <w:bCs/>
          <w:color w:val="auto"/>
          <w:sz w:val="28"/>
          <w:szCs w:val="28"/>
          <w:lang w:val="en-US" w:eastAsia="zh-CN"/>
        </w:rPr>
        <w:t>Supplementary Methods S1. Research design, data construction, temporal mapping, and endpoint estimation</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ascii="Times New Roman" w:hAnsi="Times New Roman" w:cs="Times New Roman"/>
          <w:b w:val="0"/>
          <w:bCs w:val="0"/>
          <w:color w:val="auto"/>
          <w:sz w:val="28"/>
          <w:szCs w:val="28"/>
          <w:lang w:val="en-US" w:eastAsia="zh-CN"/>
        </w:rPr>
      </w:pPr>
      <w:r>
        <w:rPr>
          <w:rFonts w:hint="default" w:ascii="Times New Roman" w:hAnsi="Times New Roman" w:cs="Times New Roman"/>
          <w:b w:val="0"/>
          <w:bCs w:val="0"/>
          <w:color w:val="auto"/>
          <w:sz w:val="28"/>
          <w:szCs w:val="28"/>
          <w:lang w:val="en-US" w:eastAsia="zh-CN"/>
        </w:rPr>
        <w:t>The analysis covers Kazakhstan, Kyrgyzstan, Tajikistan, Turkmenistan, and Uzbekistan, the five post-Soviet Central Asian states. These countries share a history of interconnected river, irrigation, and power infrastructure that continued to shape regional resource management after independence (Weinthal 2002; Hamidov et al. 2022). UNECE (2015) highlights the continuing importance of transboundary coordination in the region, and Saidmamatov et al. (2023) show that shared resource pressures remain central to nexus management. This common background, together with differences in national governance systems and policy priorities, makes the five countries a suitable basis for comparison. Data were checked for the period 2000-2024. The analysis uses the common period 2002-2024. The final panel contains 115 country-year observations, with 110 observations used in models with a one-year lag. The main data sources are the World Development Indicators (WDI; World Bank 2026) and the Worldwide Governance Indicators 2025 Revision (World Bank 2025). For indicators requiring additional comparable coverage, data are drawn from the UNSD SDG Global Database (United Nations Statistics Division 2026) and the FAOSTAT Cereals, primary yield aggregate (FAO 2026).</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ascii="Times New Roman" w:hAnsi="Times New Roman" w:cs="Times New Roman"/>
          <w:b w:val="0"/>
          <w:bCs w:val="0"/>
          <w:color w:val="auto"/>
          <w:sz w:val="28"/>
          <w:szCs w:val="28"/>
          <w:lang w:val="en-US" w:eastAsia="zh-CN"/>
        </w:rPr>
      </w:pPr>
      <w:r>
        <w:rPr>
          <w:rFonts w:hint="default" w:ascii="Times New Roman" w:hAnsi="Times New Roman" w:cs="Times New Roman"/>
          <w:b w:val="0"/>
          <w:bCs w:val="0"/>
          <w:color w:val="auto"/>
          <w:sz w:val="28"/>
          <w:szCs w:val="28"/>
          <w:lang w:val="en-US" w:eastAsia="zh-CN"/>
        </w:rPr>
        <w:t>When the same indicator is available from more than one source, priority is given to the series that best matches the definition used in the index. A series is used when its concept, denominator, unit, and time period are consistent with the variable defined in the index. For example, renewable energy consumption and installed renewable capacity measure different concepts, as do agricultural freshwater withdrawals and irrigated area. Applying the same rule across countries and years helps maintain consistent variable definitions.</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ascii="Times New Roman" w:hAnsi="Times New Roman" w:cs="Times New Roman"/>
          <w:b w:val="0"/>
          <w:bCs w:val="0"/>
          <w:color w:val="auto"/>
          <w:sz w:val="28"/>
          <w:szCs w:val="28"/>
          <w:lang w:val="en-US" w:eastAsia="zh-CN"/>
        </w:rPr>
      </w:pPr>
      <w:r>
        <w:rPr>
          <w:rFonts w:hint="default" w:ascii="Times New Roman" w:hAnsi="Times New Roman" w:cs="Times New Roman"/>
          <w:b w:val="0"/>
          <w:bCs w:val="0"/>
          <w:color w:val="auto"/>
          <w:sz w:val="28"/>
          <w:szCs w:val="28"/>
          <w:lang w:val="en-US" w:eastAsia="zh-CN"/>
        </w:rPr>
        <w:t>Author estimates are used only for values that are unavailable at the end of the series in 2024. Candidate forecasting models are compared using rolling pseudo-out-of-sample validation based on earlier observations. The best-performing model is then used to estimate the missing endpoint. To account for prediction uncertainty, 100 multiple-imputation datasets are generated. Official values, official model-based estimates, and author-estimated values are recorded separately in the data documentation and reporting tables.</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ascii="Times New Roman" w:hAnsi="Times New Roman" w:cs="Times New Roman"/>
          <w:b w:val="0"/>
          <w:bCs w:val="0"/>
          <w:color w:val="auto"/>
          <w:sz w:val="28"/>
          <w:szCs w:val="28"/>
          <w:lang w:val="en-US" w:eastAsia="zh-CN"/>
        </w:rPr>
      </w:pPr>
      <w:r>
        <w:rPr>
          <w:rFonts w:hint="default" w:ascii="Times New Roman" w:hAnsi="Times New Roman" w:cs="Times New Roman"/>
          <w:b w:val="0"/>
          <w:bCs w:val="0"/>
          <w:color w:val="auto"/>
          <w:sz w:val="28"/>
          <w:szCs w:val="28"/>
          <w:lang w:val="en-US" w:eastAsia="zh-CN"/>
        </w:rPr>
        <w:t>The prevalence-of-undernourishment series requires a separate time-mapping rule because the published values refer to three-year periods. In the UNSD series (United Nations Statistics Division 2026), the reported year is the middle year of the reference period. This study assigns the value to the final year of that period. For example, a source value labelled 2023 for the period 2022-2024 is entered in the analytical panel as 2024. Values reported as &lt;2.5 are treated as interval-censored. The point-estimate panel uses 1.25. In the imputed datasets, these values are drawn from a uniform distribution between 0 and 2.5. A value of 2.5 is used in the upper-bound sensitivity test.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ascii="Times New Roman" w:hAnsi="Times New Roman" w:cs="Times New Roman"/>
          <w:b w:val="0"/>
          <w:bCs w:val="0"/>
          <w:color w:val="auto"/>
          <w:sz w:val="28"/>
          <w:szCs w:val="28"/>
          <w:lang w:val="en-US" w:eastAsia="zh-CN"/>
        </w:rPr>
      </w:pPr>
      <w:r>
        <w:rPr>
          <w:rFonts w:hint="default" w:ascii="Times New Roman" w:hAnsi="Times New Roman" w:cs="Times New Roman"/>
          <w:b w:val="0"/>
          <w:bCs w:val="0"/>
          <w:color w:val="auto"/>
          <w:sz w:val="28"/>
          <w:szCs w:val="28"/>
          <w:lang w:val="en-US" w:eastAsia="zh-CN"/>
        </w:rPr>
        <w:t>Four rules are applied throughout data construction. Each country-year-variable combination appears only once in the dataset. Data sources and processing decisions are recorded. Indicator direction is defined before index calculation. Normalisation uses pooled sample bounds. When the source does not distinguish individual values as observed or estimated, they are recorded as official series values. WGI and PoU values are recorded as official estimates because these sources publish model-based estimates. Author-estimated 2024 endpoints are kept as a separate category.</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ascii="Times New Roman" w:hAnsi="Times New Roman" w:cs="Times New Roman"/>
          <w:b w:val="0"/>
          <w:bCs w:val="0"/>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color w:val="auto"/>
          <w:sz w:val="28"/>
          <w:szCs w:val="28"/>
          <w:lang w:val="en-US" w:eastAsia="zh-CN"/>
        </w:rPr>
      </w:pPr>
      <w:r>
        <w:rPr>
          <w:rFonts w:hint="default" w:ascii="Times New Roman" w:hAnsi="Times New Roman" w:cs="Times New Roman"/>
          <w:b/>
          <w:bCs/>
          <w:color w:val="auto"/>
          <w:sz w:val="28"/>
          <w:szCs w:val="28"/>
          <w:lang w:val="en-US" w:eastAsia="zh-CN"/>
        </w:rPr>
        <w:t>Supplementary Methods S2. Reproducibility materials</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ascii="Times New Roman" w:hAnsi="Times New Roman" w:cs="Times New Roman"/>
          <w:b w:val="0"/>
          <w:bCs w:val="0"/>
          <w:color w:val="auto"/>
          <w:sz w:val="28"/>
          <w:szCs w:val="28"/>
          <w:lang w:val="en-US" w:eastAsia="zh-CN"/>
        </w:rPr>
      </w:pPr>
      <w:r>
        <w:rPr>
          <w:rFonts w:hint="default" w:ascii="Times New Roman" w:hAnsi="Times New Roman" w:cs="Times New Roman"/>
          <w:b w:val="0"/>
          <w:bCs w:val="0"/>
          <w:color w:val="auto"/>
          <w:sz w:val="28"/>
          <w:szCs w:val="28"/>
          <w:lang w:val="en-US" w:eastAsia="zh-CN"/>
        </w:rPr>
        <w:t xml:space="preserve">The accompanying reproducibility package includes source-data snapshots, cleaned and processed datasets, the final 2002-2024 analysis panel, and 100 multiple-imputation datasets. It also contains variable definitions, data-source records, scripts for data processing and index construction, code for the fixed-effects and robustness analyses, validation outputs, and a README describing the software </w:t>
      </w:r>
      <w:bookmarkStart w:id="0" w:name="_GoBack"/>
      <w:bookmarkEnd w:id="0"/>
      <w:r>
        <w:rPr>
          <w:rFonts w:hint="default" w:ascii="Times New Roman" w:hAnsi="Times New Roman" w:cs="Times New Roman"/>
          <w:b w:val="0"/>
          <w:bCs w:val="0"/>
          <w:color w:val="auto"/>
          <w:sz w:val="28"/>
          <w:szCs w:val="28"/>
          <w:lang w:val="en-US" w:eastAsia="zh-CN"/>
        </w:rPr>
        <w:t>environment, script order, required inputs, and expected outputs.</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before="80" w:after="0" w:line="360" w:lineRule="auto"/>
        <w:ind w:firstLine="0" w:firstLineChars="0"/>
        <w:jc w:val="both"/>
        <w:textAlignment w:val="auto"/>
        <w:rPr>
          <w:rFonts w:ascii="Times New Roman" w:hAnsi="Times New Roman" w:eastAsia="宋体" w:cs="Times New Roman"/>
          <w:b/>
          <w:bCs/>
          <w:i w:val="0"/>
          <w:iCs/>
          <w:color w:val="4F81BD"/>
          <w:sz w:val="28"/>
          <w:szCs w:val="28"/>
          <w:lang w:val="en-US" w:eastAsia="en-US" w:bidi="ar-SA"/>
        </w:rPr>
      </w:pPr>
      <w:r>
        <w:rPr>
          <w:rFonts w:hint="eastAsia" w:ascii="Times New Roman" w:hAnsi="Times New Roman" w:eastAsia="宋体" w:cs="Times New Roman"/>
          <w:b/>
          <w:bCs/>
          <w:i w:val="0"/>
          <w:iCs/>
          <w:color w:val="000000"/>
          <w:sz w:val="28"/>
          <w:szCs w:val="28"/>
          <w:lang w:val="en-US" w:eastAsia="zh-CN" w:bidi="ar-SA"/>
        </w:rPr>
        <w:t>Supplementary Table S3</w:t>
      </w:r>
      <w:r>
        <w:rPr>
          <w:rFonts w:ascii="Times New Roman" w:hAnsi="Times New Roman" w:eastAsia="宋体" w:cs="Times New Roman"/>
          <w:b/>
          <w:bCs/>
          <w:i w:val="0"/>
          <w:iCs/>
          <w:color w:val="000000"/>
          <w:sz w:val="28"/>
          <w:szCs w:val="28"/>
          <w:lang w:val="en-US" w:eastAsia="en-US" w:bidi="ar-SA"/>
        </w:rPr>
        <w:t>. Robustness and alternative-weighting estimates</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4"/>
        <w:gridCol w:w="1581"/>
        <w:gridCol w:w="1054"/>
        <w:gridCol w:w="917"/>
        <w:gridCol w:w="664"/>
        <w:gridCol w:w="653"/>
        <w:gridCol w:w="672"/>
        <w:gridCol w:w="1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162" w:type="dxa"/>
            <w:shd w:val="clear" w:color="auto" w:fill="D9EAF7"/>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b/>
                <w:color w:val="000000"/>
                <w:kern w:val="0"/>
                <w:sz w:val="24"/>
                <w:szCs w:val="24"/>
                <w:lang w:eastAsia="en-US"/>
              </w:rPr>
              <w:t>Specification</w:t>
            </w:r>
          </w:p>
        </w:tc>
        <w:tc>
          <w:tcPr>
            <w:tcW w:w="1162" w:type="dxa"/>
            <w:shd w:val="clear" w:color="auto" w:fill="D9EAF7"/>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b/>
                <w:color w:val="000000"/>
                <w:kern w:val="0"/>
                <w:sz w:val="24"/>
                <w:szCs w:val="24"/>
                <w:lang w:eastAsia="en-US"/>
              </w:rPr>
              <w:t>Focal Predictor</w:t>
            </w:r>
          </w:p>
        </w:tc>
        <w:tc>
          <w:tcPr>
            <w:tcW w:w="1162" w:type="dxa"/>
            <w:shd w:val="clear" w:color="auto" w:fill="D9EAF7"/>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b/>
                <w:color w:val="000000"/>
                <w:kern w:val="0"/>
                <w:sz w:val="24"/>
                <w:szCs w:val="24"/>
                <w:lang w:eastAsia="en-US"/>
              </w:rPr>
              <w:t>Coefficient</w:t>
            </w:r>
          </w:p>
        </w:tc>
        <w:tc>
          <w:tcPr>
            <w:tcW w:w="1162" w:type="dxa"/>
            <w:shd w:val="clear" w:color="auto" w:fill="D9EAF7"/>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b/>
                <w:color w:val="000000"/>
                <w:kern w:val="0"/>
                <w:sz w:val="24"/>
                <w:szCs w:val="24"/>
                <w:lang w:eastAsia="en-US"/>
              </w:rPr>
              <w:t>Standard Error</w:t>
            </w:r>
          </w:p>
        </w:tc>
        <w:tc>
          <w:tcPr>
            <w:tcW w:w="1162" w:type="dxa"/>
            <w:shd w:val="clear" w:color="auto" w:fill="D9EAF7"/>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b/>
                <w:color w:val="000000"/>
                <w:kern w:val="0"/>
                <w:sz w:val="24"/>
                <w:szCs w:val="24"/>
                <w:lang w:eastAsia="en-US"/>
              </w:rPr>
              <w:t>95% CI Lower</w:t>
            </w:r>
          </w:p>
        </w:tc>
        <w:tc>
          <w:tcPr>
            <w:tcW w:w="1162" w:type="dxa"/>
            <w:shd w:val="clear" w:color="auto" w:fill="D9EAF7"/>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b/>
                <w:color w:val="000000"/>
                <w:kern w:val="0"/>
                <w:sz w:val="24"/>
                <w:szCs w:val="24"/>
                <w:lang w:eastAsia="en-US"/>
              </w:rPr>
              <w:t>95% CI Upper</w:t>
            </w:r>
          </w:p>
        </w:tc>
        <w:tc>
          <w:tcPr>
            <w:tcW w:w="1162" w:type="dxa"/>
            <w:shd w:val="clear" w:color="auto" w:fill="D9EAF7"/>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b/>
                <w:color w:val="000000"/>
                <w:kern w:val="0"/>
                <w:sz w:val="24"/>
                <w:szCs w:val="24"/>
                <w:lang w:eastAsia="en-US"/>
              </w:rPr>
              <w:t>p value</w:t>
            </w:r>
          </w:p>
        </w:tc>
        <w:tc>
          <w:tcPr>
            <w:tcW w:w="1162" w:type="dxa"/>
            <w:shd w:val="clear" w:color="auto" w:fill="D9EAF7"/>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b/>
                <w:color w:val="000000"/>
                <w:kern w:val="0"/>
                <w:sz w:val="24"/>
                <w:szCs w:val="24"/>
                <w:lang w:eastAsia="en-US"/>
              </w:rPr>
              <w:t>Observations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Lagged population density</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GMVI, t-1</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0.032</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0.048</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-0.063</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0.127</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0.508</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Lagged GDP and population density</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GMVI, t-1</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0.035</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0.051</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-0.065</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0.135</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0.489</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Country-specific linear trends</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GMVI, t-1</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-0.135</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0.091</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-0.312</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0.043</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0.137</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Contemporaneous GMVI</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GMVI, t</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-0.205</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0.079</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-0.359</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-0.051</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0.009</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Two-year lag GMVI</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GMVI, t-2</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-0.148</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0.075</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-0.295</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-0.001</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0.048</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First-difference model</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Change in GMVI</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-0.211</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0.087</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-0.381</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-0.041</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0.015</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WEFSI excluding renewable energy</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GMVI, t-1</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-0.174</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0.090</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-0.350</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0.002</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0.053</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Drop 2024</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GMVI, t-1</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-0.164</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0.075</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-0.312</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-0.017</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0.029</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PoU censored values set to published upper bound 2.5</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GMVI, t-1</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-0.156</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0.074</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-0.301</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-0.011</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0.035</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PCA weighting</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PCA-weighted GMVI, t-1</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-0.183</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0.066</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-0.313</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-0.052</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0.006</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Entropy weighting</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Entropy-weighted GMVI, t-1</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-0.194</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0.052</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-0.296</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-0.092</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&lt;0.001</w:t>
            </w:r>
          </w:p>
        </w:tc>
        <w:tc>
          <w:tcPr>
            <w:tcW w:w="1162"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110</w:t>
            </w:r>
          </w:p>
        </w:tc>
      </w:tr>
    </w:tbl>
    <w:p>
      <w:pPr>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ascii="Times New Roman" w:hAnsi="Times New Roman" w:eastAsia="宋体" w:cs="Times New Roman"/>
          <w:i/>
          <w:sz w:val="28"/>
          <w:szCs w:val="28"/>
          <w:lang w:val="en-US" w:eastAsia="en-US" w:bidi="ar-SA"/>
        </w:rPr>
      </w:pPr>
      <w:r>
        <w:rPr>
          <w:rFonts w:ascii="Times New Roman" w:hAnsi="Times New Roman" w:eastAsia="宋体" w:cs="Times New Roman"/>
          <w:i/>
          <w:color w:val="000000"/>
          <w:sz w:val="28"/>
          <w:szCs w:val="28"/>
          <w:lang w:val="en-US" w:eastAsia="en-US" w:bidi="ar-SA"/>
        </w:rPr>
        <w:t>Note. HC3 intervals are shown. The full workbook also contains leave-one-country-out, single-estimate influence, variation, VIF, and Monte Carlo diagnostics.</w:t>
      </w:r>
    </w:p>
    <w:p>
      <w:pPr>
        <w:keepNext w:val="0"/>
        <w:keepLines w:val="0"/>
        <w:pageBreakBefore w:val="0"/>
        <w:widowControl w:val="0"/>
        <w:kinsoku/>
        <w:wordWrap/>
        <w:overflowPunct/>
        <w:topLinePunct w:val="0"/>
        <w:autoSpaceDE/>
        <w:autoSpaceDN/>
        <w:bidi w:val="0"/>
        <w:adjustRightInd/>
        <w:snapToGrid/>
        <w:spacing w:before="80" w:after="0" w:line="360" w:lineRule="auto"/>
        <w:ind w:firstLine="0" w:firstLineChars="0"/>
        <w:jc w:val="left"/>
        <w:textAlignment w:val="auto"/>
        <w:rPr>
          <w:rFonts w:ascii="Times New Roman" w:hAnsi="Times New Roman" w:eastAsia="宋体" w:cs="Times New Roman"/>
          <w:b/>
          <w:bCs/>
          <w:i/>
          <w:color w:val="000000"/>
          <w:sz w:val="28"/>
          <w:szCs w:val="28"/>
          <w:lang w:val="en-US" w:eastAsia="en-US" w:bidi="ar-SA"/>
        </w:rPr>
      </w:pPr>
    </w:p>
    <w:p>
      <w:pPr>
        <w:keepNext w:val="0"/>
        <w:keepLines w:val="0"/>
        <w:pageBreakBefore w:val="0"/>
        <w:widowControl w:val="0"/>
        <w:kinsoku/>
        <w:wordWrap/>
        <w:overflowPunct/>
        <w:topLinePunct w:val="0"/>
        <w:autoSpaceDE/>
        <w:autoSpaceDN/>
        <w:bidi w:val="0"/>
        <w:adjustRightInd/>
        <w:snapToGrid/>
        <w:spacing w:before="80" w:after="0" w:line="360" w:lineRule="auto"/>
        <w:ind w:firstLine="0" w:firstLineChars="0"/>
        <w:jc w:val="left"/>
        <w:textAlignment w:val="auto"/>
        <w:rPr>
          <w:rFonts w:ascii="Times New Roman" w:hAnsi="Times New Roman" w:eastAsia="宋体" w:cs="Times New Roman"/>
          <w:b/>
          <w:bCs/>
          <w:i w:val="0"/>
          <w:iCs/>
          <w:color w:val="4F81BD"/>
          <w:sz w:val="28"/>
          <w:szCs w:val="28"/>
          <w:lang w:val="en-US" w:eastAsia="en-US" w:bidi="ar-SA"/>
        </w:rPr>
      </w:pPr>
      <w:r>
        <w:rPr>
          <w:rFonts w:hint="eastAsia" w:ascii="Times New Roman" w:hAnsi="Times New Roman" w:eastAsia="宋体" w:cs="Times New Roman"/>
          <w:b/>
          <w:bCs/>
          <w:i w:val="0"/>
          <w:iCs/>
          <w:color w:val="000000"/>
          <w:sz w:val="28"/>
          <w:szCs w:val="28"/>
          <w:lang w:val="en-US" w:eastAsia="zh-CN" w:bidi="ar-SA"/>
        </w:rPr>
        <w:t xml:space="preserve">Supplementary </w:t>
      </w:r>
      <w:r>
        <w:rPr>
          <w:rFonts w:ascii="Times New Roman" w:hAnsi="Times New Roman" w:eastAsia="宋体" w:cs="Times New Roman"/>
          <w:b/>
          <w:bCs/>
          <w:i w:val="0"/>
          <w:iCs/>
          <w:color w:val="000000"/>
          <w:sz w:val="28"/>
          <w:szCs w:val="28"/>
          <w:lang w:val="en-US" w:eastAsia="en-US" w:bidi="ar-SA"/>
        </w:rPr>
        <w:t xml:space="preserve">Table </w:t>
      </w:r>
      <w:r>
        <w:rPr>
          <w:rFonts w:hint="eastAsia" w:ascii="Times New Roman" w:hAnsi="Times New Roman" w:eastAsia="宋体" w:cs="Times New Roman"/>
          <w:b/>
          <w:bCs/>
          <w:i w:val="0"/>
          <w:iCs/>
          <w:color w:val="000000"/>
          <w:sz w:val="28"/>
          <w:szCs w:val="28"/>
          <w:lang w:val="en-US" w:eastAsia="zh-CN" w:bidi="ar-SA"/>
        </w:rPr>
        <w:t>S4</w:t>
      </w:r>
      <w:r>
        <w:rPr>
          <w:rFonts w:ascii="Times New Roman" w:hAnsi="Times New Roman" w:eastAsia="宋体" w:cs="Times New Roman"/>
          <w:b/>
          <w:bCs/>
          <w:i w:val="0"/>
          <w:iCs/>
          <w:color w:val="000000"/>
          <w:sz w:val="28"/>
          <w:szCs w:val="28"/>
          <w:lang w:val="en-US" w:eastAsia="en-US" w:bidi="ar-SA"/>
        </w:rPr>
        <w:t>. Sensitivity of the main estimate to 2024 end-of-series uncertainty</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0"/>
        <w:gridCol w:w="1261"/>
        <w:gridCol w:w="1172"/>
        <w:gridCol w:w="1006"/>
        <w:gridCol w:w="998"/>
        <w:gridCol w:w="938"/>
        <w:gridCol w:w="14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328" w:type="dxa"/>
            <w:shd w:val="clear" w:color="auto" w:fill="D9EAF7"/>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b/>
                <w:color w:val="000000"/>
                <w:kern w:val="0"/>
                <w:sz w:val="24"/>
                <w:szCs w:val="24"/>
                <w:lang w:eastAsia="en-US"/>
              </w:rPr>
              <w:t>Scenario</w:t>
            </w:r>
          </w:p>
        </w:tc>
        <w:tc>
          <w:tcPr>
            <w:tcW w:w="1328" w:type="dxa"/>
            <w:shd w:val="clear" w:color="auto" w:fill="D9EAF7"/>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b/>
                <w:color w:val="000000"/>
                <w:kern w:val="0"/>
                <w:sz w:val="24"/>
                <w:szCs w:val="24"/>
                <w:lang w:eastAsia="en-US"/>
              </w:rPr>
              <w:t>Coefficient</w:t>
            </w:r>
          </w:p>
        </w:tc>
        <w:tc>
          <w:tcPr>
            <w:tcW w:w="1328" w:type="dxa"/>
            <w:shd w:val="clear" w:color="auto" w:fill="D9EAF7"/>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b/>
                <w:color w:val="000000"/>
                <w:kern w:val="0"/>
                <w:sz w:val="24"/>
                <w:szCs w:val="24"/>
                <w:lang w:eastAsia="en-US"/>
              </w:rPr>
              <w:t>Standard Error</w:t>
            </w:r>
          </w:p>
        </w:tc>
        <w:tc>
          <w:tcPr>
            <w:tcW w:w="1328" w:type="dxa"/>
            <w:shd w:val="clear" w:color="auto" w:fill="D9EAF7"/>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b/>
                <w:color w:val="000000"/>
                <w:kern w:val="0"/>
                <w:sz w:val="24"/>
                <w:szCs w:val="24"/>
                <w:lang w:eastAsia="en-US"/>
              </w:rPr>
              <w:t>95% CI Lower</w:t>
            </w:r>
          </w:p>
        </w:tc>
        <w:tc>
          <w:tcPr>
            <w:tcW w:w="1328" w:type="dxa"/>
            <w:shd w:val="clear" w:color="auto" w:fill="D9EAF7"/>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b/>
                <w:color w:val="000000"/>
                <w:kern w:val="0"/>
                <w:sz w:val="24"/>
                <w:szCs w:val="24"/>
                <w:lang w:eastAsia="en-US"/>
              </w:rPr>
              <w:t>95% CI Upper</w:t>
            </w:r>
          </w:p>
        </w:tc>
        <w:tc>
          <w:tcPr>
            <w:tcW w:w="1328" w:type="dxa"/>
            <w:shd w:val="clear" w:color="auto" w:fill="D9EAF7"/>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b/>
                <w:color w:val="000000"/>
                <w:kern w:val="0"/>
                <w:sz w:val="24"/>
                <w:szCs w:val="24"/>
                <w:lang w:eastAsia="en-US"/>
              </w:rPr>
              <w:t>p value</w:t>
            </w:r>
          </w:p>
        </w:tc>
        <w:tc>
          <w:tcPr>
            <w:tcW w:w="1328" w:type="dxa"/>
            <w:shd w:val="clear" w:color="auto" w:fill="D9EAF7"/>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b/>
                <w:color w:val="000000"/>
                <w:kern w:val="0"/>
                <w:sz w:val="24"/>
                <w:szCs w:val="24"/>
                <w:lang w:eastAsia="en-US"/>
              </w:rPr>
              <w:t>Observations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100-imputation Rubin pooled</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-0.153</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0.073</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-0.299</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-0.007</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0.041</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Drop 2024</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-0.164</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0.075</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-0.312</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-0.017</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0.029</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Single point-estimate panel, 2002-2024</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-0.155</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0.072</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-0.297</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-0.013</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0.032</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All prediction lower bounds</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-0.175</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0.074</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-0.321</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-0.029</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0.019</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All prediction upper bounds</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-0.150</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0.077</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-0.302</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0.001</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0.052</w:t>
            </w:r>
          </w:p>
        </w:tc>
        <w:tc>
          <w:tcPr>
            <w:tcW w:w="1328" w:type="dxa"/>
            <w:tcMar>
              <w:top w:w="35" w:type="dxa"/>
              <w:left w:w="45" w:type="dxa"/>
              <w:bottom w:w="35" w:type="dxa"/>
              <w:right w:w="45" w:type="dxa"/>
            </w:tcMar>
            <w:vAlign w:val="center"/>
          </w:tcPr>
          <w:p>
            <w:pPr>
              <w:keepNext w:val="0"/>
              <w:keepLines w:val="0"/>
              <w:pageBreakBefore w:val="0"/>
              <w:widowControl w:val="0"/>
              <w:kinsoku/>
              <w:wordWrap/>
              <w:overflowPunct/>
              <w:topLinePunct w:val="0"/>
              <w:autoSpaceDE/>
              <w:autoSpaceDN/>
              <w:bidi w:val="0"/>
              <w:adjustRightInd/>
              <w:snapToGrid/>
              <w:spacing w:after="0" w:line="240" w:lineRule="exact"/>
              <w:ind w:firstLine="0" w:firstLineChars="0"/>
              <w:jc w:val="center"/>
              <w:textAlignment w:val="auto"/>
              <w:rPr>
                <w:rFonts w:ascii="Times New Roman" w:hAnsi="Times New Roman" w:eastAsia="宋体" w:cs="Times New Roman"/>
                <w:kern w:val="0"/>
                <w:sz w:val="24"/>
                <w:szCs w:val="24"/>
                <w:lang w:eastAsia="en-US"/>
              </w:rPr>
            </w:pPr>
            <w:r>
              <w:rPr>
                <w:rFonts w:ascii="Times New Roman" w:hAnsi="Times New Roman" w:eastAsia="宋体" w:cs="Times New Roman"/>
                <w:color w:val="000000"/>
                <w:kern w:val="0"/>
                <w:sz w:val="24"/>
                <w:szCs w:val="24"/>
                <w:lang w:eastAsia="en-US"/>
              </w:rPr>
              <w:t>110</w:t>
            </w:r>
          </w:p>
        </w:tc>
      </w:tr>
    </w:tbl>
    <w:p>
      <w:pPr>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ascii="Times New Roman" w:hAnsi="Times New Roman" w:eastAsia="宋体" w:cs="Times New Roman"/>
          <w:i/>
          <w:sz w:val="28"/>
          <w:szCs w:val="28"/>
          <w:lang w:val="en-US" w:eastAsia="en-US" w:bidi="ar-SA"/>
        </w:rPr>
      </w:pPr>
      <w:r>
        <w:rPr>
          <w:rFonts w:ascii="Times New Roman" w:hAnsi="Times New Roman" w:eastAsia="宋体" w:cs="Times New Roman"/>
          <w:i/>
          <w:color w:val="000000"/>
          <w:sz w:val="28"/>
          <w:szCs w:val="28"/>
          <w:lang w:val="en-US" w:eastAsia="en-US" w:bidi="ar-SA"/>
        </w:rPr>
        <w:t>Note. The Rubin-pooled row combines 100 imputations. Bound scenarios move all 25 author-estimated endpoints simultaneously to their lower or upper prediction limits.</w:t>
      </w:r>
    </w:p>
    <w:p>
      <w:pPr>
        <w:bidi w:val="0"/>
        <w:jc w:val="left"/>
        <w:rPr>
          <w:rFonts w:hint="default" w:ascii="Times New Roman" w:hAnsi="Times New Roman" w:cs="Times New Roman"/>
          <w:b w:val="0"/>
          <w:bCs w:val="0"/>
          <w:color w:val="auto"/>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wYmU1YWU2OTE0YWYxN2M4ZTMyMjAxNmM5OTM0ZTUifQ=="/>
  </w:docVars>
  <w:rsids>
    <w:rsidRoot w:val="00000000"/>
    <w:rsid w:val="527B51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6">
    <w:name w:val="Default Paragraph Font"/>
    <w:semiHidden/>
    <w:uiPriority w:val="0"/>
  </w:style>
  <w:style w:type="table" w:default="1" w:styleId="4">
    <w:name w:val="Normal Table"/>
    <w:autoRedefine/>
    <w:semiHidden/>
    <w:qFormat/>
    <w:uiPriority w:val="0"/>
    <w:tblPr>
      <w:tblCellMar>
        <w:top w:w="0" w:type="dxa"/>
        <w:left w:w="108" w:type="dxa"/>
        <w:bottom w:w="0" w:type="dxa"/>
        <w:right w:w="108" w:type="dxa"/>
      </w:tblCellMar>
    </w:tbl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Table Note"/>
    <w:autoRedefine/>
    <w:qFormat/>
    <w:uiPriority w:val="0"/>
    <w:pPr>
      <w:spacing w:after="100" w:line="276" w:lineRule="auto"/>
    </w:pPr>
    <w:rPr>
      <w:rFonts w:ascii="Times New Roman" w:hAnsi="Times New Roman" w:eastAsia="Times New Roman" w:cstheme="minorBidi"/>
      <w:i/>
      <w:sz w:val="17"/>
      <w:szCs w:val="22"/>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2026-09-12T12:44:18Z</dcterms:created>
  <dc:creator>86131</dc:creator>
  <cp:lastModifiedBy>ohni</cp:lastModifiedBy>
  <dcterms:modified xsi:type="dcterms:W3CDTF">2026-09-12T13:28:34Z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B39BA252131747D1BA4DDB03911535C9_12</vt:lpwstr>
  </property>
</Properties>
</file>