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  <w:color w:val="000000"/>
          <w:sz w:val="24"/>
        </w:rPr>
        <w:t>Supplementary Material</w:t>
      </w:r>
    </w:p>
    <w:p>
      <w:pPr/>
      <w:r>
        <w:rPr>
          <w:rFonts w:ascii="Times New Roman" w:hAnsi="Times New Roman" w:eastAsia="Times New Roman"/>
          <w:color w:val="000000"/>
          <w:sz w:val="24"/>
        </w:rPr>
        <w:t>Regional inequalities in concurrent anaemia and overweight/obesity among women in Ghana: a nationally representative analysis of the 2022 Ghana Demographic and Health Survey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  <w:sz w:val="24"/>
        </w:rPr>
        <w:t>Supplementary Table S1. Regional prevalence and precision diagnostics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Region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n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Clusters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Anaemia %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Overweight/obesity %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Concurrent %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95% CI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RSE %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Western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292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46.62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54.28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26.88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20.99-32.78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11.2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Central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43.73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56.32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21.87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17.71-26.03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9.7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Greater Accra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397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48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37.29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62.02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22.32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17.72-26.93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10.5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Volta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296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39.66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51.55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17.80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12.97-22.62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13.8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Eastern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324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41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36.46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55.33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18.06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13.12-23.01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14.0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Ashanti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449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48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37.21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59.09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19.26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14.98-23.55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11.4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Western North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279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34.70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50.69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15.91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11.75-20.06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13.3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Ahafo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324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32.97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50.06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15.87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11.92-19.82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12.7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Bono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321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28.16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50.20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11.67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6.75-16.59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21.5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Bono East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355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37.60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39.25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10.69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7.19-14.18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16.7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Oti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319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49.14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32.27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13.05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7.76-18.34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20.7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Northern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449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46.65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27.39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11.63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7.92-15.35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16.3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Savannah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363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41.82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30.65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11.57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8.27-14.86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14.5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North East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323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41.77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18.43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6.10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3.24-8.96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23.9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Upper East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389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44.81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27.70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8.13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4.76-11.50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21.2</w:t>
            </w:r>
          </w:p>
        </w:tc>
      </w:tr>
      <w:tr>
        <w:trPr>
          <w:cantSplit/>
        </w:trPr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Upper West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355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37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43.20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25.74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9.28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6.01-12.56</w:t>
            </w:r>
          </w:p>
        </w:tc>
        <w:tc>
          <w:tcPr>
            <w:tcW w:type="dxa" w:w="117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18.0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  <w:sz w:val="24"/>
        </w:rPr>
        <w:t>Supplementary Table S2. Complete adjusted prevalence-ratio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Model term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aPR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95% CI lower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95% CI upper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p value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Intercept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0.071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0.046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0.112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0.0000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C(v024)[T.2]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0.862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0.658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1.129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0.2815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C(v024)[T.3]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0.699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0.524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0.933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0.0150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C(v024)[T.4]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0.700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0.506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0.966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0.0302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C(v024)[T.5]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0.680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0.491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0.941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0.0201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C(v024)[T.6]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0.716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0.537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0.954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0.0227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C(v024)[T.7]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0.709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0.516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0.973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0.0332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C(v024)[T.8]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0.774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0.553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1.085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0.1368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C(v024)[T.9]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0.487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0.309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0.769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0.0020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C(v024)[T.10]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0.505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0.343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0.745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0.0006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C(v024)[T.11]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0.702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0.450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1.094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0.1185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C(v024)[T.12]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0.630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0.431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0.921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0.0172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C(v024)[T.13]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0.735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0.511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1.058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0.0974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C(v024)[T.14]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0.439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0.264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0.731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0.0016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C(v024)[T.15]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0.509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0.337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0.770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0.0014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C(v024)[T.16]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0.542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0.358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0.822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0.0039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C(agegrp)[T.30–39]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1.576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1.288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1.930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0.0000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C(agegrp)[T.40–49]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2.078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1.692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2.552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0.0000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C(v106)[T.1]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1.177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0.871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1.590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0.2890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C(v106)[T.2]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1.165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0.905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1.500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0.2346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C(v106)[T.3]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1.198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0.866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1.656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0.2754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C(v190)[T.2]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1.699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1.213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2.379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0.0020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C(v190)[T.3]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1.914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1.319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2.778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0.0006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C(v190)[T.4]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2.561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1.804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3.636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0.0000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C(v190)[T.5]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2.843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1.947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4.150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0.0000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C(v025)[T.2]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0.918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0.753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1.118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0.3946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mdd_w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0.985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0.858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1.132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0.8354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sweet_bev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1.053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0.904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1.226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0.5083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unhealthy_food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0.971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0.816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1.156</w:t>
            </w:r>
          </w:p>
        </w:tc>
        <w:tc>
          <w:tcPr>
            <w:tcW w:type="dxa" w:w="1872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0.7388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  <w:sz w:val="24"/>
        </w:rPr>
        <w:t>Supplementary Table S3. Composition-adjusted regional prevalence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Region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Adjusted prevalence %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95% CI lower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95% CI upper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Western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24.95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20.00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29.90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Central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21.39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17.31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25.46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Greater Accra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17.37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13.55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21.18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Volta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17.37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12.88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21.86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Eastern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16.88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12.40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21.37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Ashanti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17.80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13.92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21.67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Western North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17.61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13.27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21.96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Ahafo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19.18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14.15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24.22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Bono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12.18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7.23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17.14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Bono East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12.68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8.54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16.82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Oti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17.54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10.95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24.12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Northern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15.85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10.95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20.74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Savannah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18.29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13.20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23.39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North East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11.45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6.46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16.45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Upper East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12.96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8.51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17.41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Upper West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13.75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9.01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18.49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  <w:sz w:val="24"/>
        </w:rPr>
        <w:t>Supplementary Table S4. Survey-design diagnostics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Metric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Value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Analytical N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5611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Unique PSUs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618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Unique strata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32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Lonely-PSU strata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0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  <w:sz w:val="24"/>
        </w:rPr>
        <w:t>Supplementary Table S5. Operational definitions and coding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Construct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Operational definition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Analytical population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Non-pregnant women aged 20-49 years with valid BMI and anaemia measurements.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Anaemia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DHS haemoglobin classification: mild, moderate or severe anaemia versus no anaemia.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Overweight/obesity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BMI &gt;=25.0 kg/m².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Concurrent burden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Anaemia and overweight/obesity present in the same woman.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MDD-W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Consumption from at least 5 of 10 standard food groups in the previous 24 hours.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Sweet beverages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Binary indicator representing recent reported sweet-beverage consumption from available GDHS items.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Sentinel unhealthy foods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Binary indicator representing recent consumption of selected sentinel unhealthy foods.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Survey weight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v005/1,000,000.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PSU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v021.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Sampling stratum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v022.</w:t>
            </w:r>
          </w:p>
        </w:tc>
      </w:tr>
      <w:tr>
        <w:trPr>
          <w:cantSplit/>
        </w:trPr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Region</w:t>
            </w:r>
          </w:p>
        </w:tc>
        <w:tc>
          <w:tcPr>
            <w:tcW w:type="dxa" w:w="468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v024.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color w:val="00000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color w:val="000000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 w:eastAsia="Times New Roman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/>
      <w:color w:val="000000"/>
      <w:sz w:val="24"/>
    </w:rPr>
  </w:style>
  <w:style w:type="table" w:default="1" w:styleId="TableNormal">
    <w:name w:val="Normal Table"/>
    <w:uiPriority w:val="99"/>
    <w:semiHidden/>
    <w:unhideWhenUsed/>
    <w:rPr>
      <w:rFonts w:ascii="Times New Roman" w:hAnsi="Times New Roman" w:eastAsia="Times New Roman"/>
      <w:color w:val="000000"/>
      <w:sz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2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/>
      <w:color w:val="000000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/>
      <w:color w:val="000000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/>
      <w:color w:val="000000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/>
      <w:color w:val="000000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/>
      <w:color w:val="000000"/>
      <w:sz w:val="24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/>
      <w:color w:val="000000"/>
      <w:sz w:val="24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/>
      <w:color w:val="000000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/>
      <w:color w:val="000000"/>
      <w:sz w:val="24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/>
      <w:i/>
      <w:iCs/>
      <w:color w:val="000000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/>
      <w:i/>
      <w:iCs/>
      <w:color w:val="000000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/>
      <w:b/>
      <w:bCs/>
      <w:color w:val="000000"/>
      <w:sz w:val="24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/>
      <w:b/>
      <w:bCs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/>
      <w:i/>
      <w:iCs/>
      <w:color w:val="000000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/>
      <w:b/>
      <w:bCs/>
      <w:i/>
      <w:iCs/>
      <w:color w:val="000000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/>
      <w:b/>
      <w:bCs/>
      <w:i/>
      <w:iCs/>
      <w:color w:val="000000"/>
      <w:sz w:val="24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/>
      <w:i/>
      <w:iCs/>
      <w:color w:val="000000"/>
      <w:sz w:val="24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/>
      <w:b/>
      <w:bCs/>
      <w:i/>
      <w:iCs/>
      <w:color w:val="000000"/>
      <w:sz w:val="24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/>
      <w:smallCaps/>
      <w:color w:val="000000"/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/>
      <w:b/>
      <w:bCs/>
      <w:smallCaps/>
      <w:color w:val="000000"/>
      <w:spacing w:val="5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/>
      <w:b/>
      <w:bCs/>
      <w:smallCaps/>
      <w:color w:val="000000"/>
      <w:spacing w:val="5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/>
      <w:color w:val="000000"/>
      <w:sz w:val="2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