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BF7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0" w:afterAutospacing="0" w:line="260" w:lineRule="atLeast"/>
        <w:ind w:left="0" w:right="0" w:firstLine="0"/>
        <w:jc w:val="left"/>
        <w:textAlignment w:val="baseline"/>
        <w:rPr>
          <w:rFonts w:hint="default" w:ascii="Times New Roman" w:hAnsi="Times New Roman" w:cs="Times New Roman"/>
        </w:rPr>
      </w:pPr>
    </w:p>
    <w:p w14:paraId="46849A0E">
      <w:pPr>
        <w:keepNext/>
        <w:spacing w:before="240" w:after="120" w:line="480" w:lineRule="auto"/>
        <w:jc w:val="left"/>
      </w:pPr>
      <w:r>
        <w:rPr>
          <w:rFonts w:ascii="Times New Roman" w:hAnsi="Times New Roman" w:eastAsia="Times New Roman"/>
          <w:b/>
          <w:i w:val="0"/>
          <w:sz w:val="28"/>
        </w:rPr>
        <w:t>Tables</w:t>
      </w:r>
    </w:p>
    <w:p w14:paraId="2B01C02E">
      <w:pPr>
        <w:keepNext/>
        <w:spacing w:before="160" w:after="80" w:line="480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Table 1. Baseline characteristics of the study population according to sarcopenia status</w:t>
      </w:r>
    </w:p>
    <w:tbl>
      <w:tblPr>
        <w:tblStyle w:val="6"/>
        <w:tblW w:w="623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7"/>
        <w:gridCol w:w="2575"/>
        <w:gridCol w:w="2418"/>
        <w:gridCol w:w="995"/>
        <w:gridCol w:w="1907"/>
      </w:tblGrid>
      <w:tr w14:paraId="583D0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38AB5AF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12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70BF87F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Without sarcopenia (n=144)</w:t>
            </w:r>
          </w:p>
        </w:tc>
        <w:tc>
          <w:tcPr>
            <w:tcW w:w="113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37995C9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Sarcopenia (n=65)</w:t>
            </w:r>
          </w:p>
        </w:tc>
        <w:tc>
          <w:tcPr>
            <w:tcW w:w="46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404DAE9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t/Z/χ²</w:t>
            </w:r>
          </w:p>
        </w:tc>
        <w:tc>
          <w:tcPr>
            <w:tcW w:w="89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7C6DC76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697A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3" w:type="pct"/>
            <w:gridSpan w:val="4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32095E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Demographic and clinical characteristics</w:t>
            </w:r>
          </w:p>
        </w:tc>
        <w:tc>
          <w:tcPr>
            <w:tcW w:w="896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1517751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218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D4B993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Sex, male, n (%)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09AEE1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81 (56.3)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8A206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30 (46.2)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86C547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1.833*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A93E3E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0.176</w:t>
            </w:r>
          </w:p>
        </w:tc>
      </w:tr>
      <w:tr w14:paraId="3FD3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F0A2E8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A71BE3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62.00(56.00,69.75)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1F1822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71.00(68.00,77.00)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285465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-6.856†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25CF58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28D2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26B449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Age ≥ 65 years, n (%)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A24F9D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61 (42.4)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A232FA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59 (90.8)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1036A9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—‡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0F7CE6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C13A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8DA41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6C3019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67 (46.5)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49A799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26 (40.0)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00EDFA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0.773*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07BD17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0.379</w:t>
            </w:r>
          </w:p>
        </w:tc>
      </w:tr>
      <w:tr w14:paraId="1A472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D74505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BMI (kg/m²)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7B3758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24.20(21.97,26.70)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A558A3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23.12(20.94,24.92)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C150A5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-2.393†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A716A2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0.017</w:t>
            </w:r>
          </w:p>
        </w:tc>
      </w:tr>
      <w:tr w14:paraId="2C5D6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1CEF17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Diabetes duration, n (%)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87AA2B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A54CBB5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D2E300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0.183*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CC1D38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0.669</w:t>
            </w:r>
          </w:p>
        </w:tc>
      </w:tr>
      <w:tr w14:paraId="545AE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8F860F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≥5 years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86586B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96 (66.7)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D02C6C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46 (70.8)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353802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DEB0820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2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9EA055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&lt;5 years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D600FC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48 (33.3)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BAD4CD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19 (29.2)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430AAC2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93706B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0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03" w:type="pct"/>
            <w:gridSpan w:val="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FFE8CF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Ultrasonographic parameters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673565A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90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8C8E5DE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STD-RFthick (mm/m)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EF0332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8.03±0.95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F1EFF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6.58±0.88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F83A311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-10.710¶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422ED0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0D506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C5A19D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STD-RFc (mm/m)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C5551F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6.62(6.18,7.33)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42ED72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6.55(5.98,7.23)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8929FB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-1.193†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22BED6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0.233</w:t>
            </w:r>
          </w:p>
        </w:tc>
      </w:tr>
      <w:tr w14:paraId="35A8E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AE663C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STD-RF</w:t>
            </w:r>
            <w:r>
              <w:rPr>
                <w:rStyle w:val="13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 xml:space="preserve">csa 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(cm</w:t>
            </w:r>
            <w:r>
              <w:rPr>
                <w:rStyle w:val="13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²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/m)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C23B6B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3.12(2.84,3.48)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08A479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2.47(2.29,2.75)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DB1E86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-8.221†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C49180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1449F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70253F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SWEmean (kPa)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1C7C3F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14.36±2.28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040C11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9.84±1.81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166DB67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-15.395¶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654ECE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4A76B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30FC14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EI (AU)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40678F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71.07±13.84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CE936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91.27±14.53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CEDB85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9.438¶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8814D7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53DD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1813AA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Serum biomarkers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5822ED5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F3E79D7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E05EA52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D037609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E9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B93F04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WBC (×10⁹/L)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E4B936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5.92(4.90,7.01)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F2D80E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6.47(5.31,7.72)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4E4236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-1.974†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7F87D1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0.048</w:t>
            </w:r>
          </w:p>
        </w:tc>
      </w:tr>
      <w:tr w14:paraId="0A2F2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5836A7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Neutrophil count (×10⁹/L)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91B0D2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3.30(2.65,4.00)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482D1D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3.90(3.10,4.70)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3E1B3A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-3.327†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29B402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5BAF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97F92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Lymphocyte count (×10⁹/L)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61C400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1.80(1.40,2.20)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1FBF1C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1.50(1.20,2.00)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093941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-2.625†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DAA55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0.009</w:t>
            </w:r>
          </w:p>
        </w:tc>
      </w:tr>
      <w:tr w14:paraId="7F36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7B4AB3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Platelet count (×10⁹/L)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140F06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177.00(144.50,219.00)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9D2AE5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202.00(175.00,231.00)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51FC5D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-3.237†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A7072D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7734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E344E6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FPG (mmol/L)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7B0872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7.79(6.37,10.51)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1D3633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10.16(8.18,13.16)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65C22D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-4.402†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BF80B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693AA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1577E9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HbA1c (%)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B72418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9.20 (7.80, 11.10)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3BD7BD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8.70(7.15,10.75)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2FF0ED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-1.079†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8F5C1E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0.281</w:t>
            </w:r>
          </w:p>
        </w:tc>
      </w:tr>
      <w:tr w14:paraId="23EFC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537ACD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TC (mmol/L)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29588C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4.29(3.70,5.23)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ABB687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4.11(3.35,4.75)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6551A9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-1.879†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928B8F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0.06</w:t>
            </w:r>
          </w:p>
        </w:tc>
      </w:tr>
      <w:tr w14:paraId="169D2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6E40AA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HDL-C (mmol/L)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80EFC1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1.18(0.99,1.40)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7E5887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1.21(0.99,1.37)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4039A3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-0.570†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3342BA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0.569</w:t>
            </w:r>
          </w:p>
        </w:tc>
      </w:tr>
      <w:tr w14:paraId="447F4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FF0C89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LDL-C (mmol/L)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7848D6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2.92±0.86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C4AC1A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2.71±0.76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F7E334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-1.734¶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710513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0.10 </w:t>
            </w:r>
          </w:p>
        </w:tc>
      </w:tr>
      <w:tr w14:paraId="781B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20FC57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TG (mmol/L)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A7F828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1.43(1.06,1.84)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23A039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1.79(1.45,2.05)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861699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-4.377†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DC8A71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3DFB0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D10417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TyG index (original value)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E2E0DD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9.07(8.75,9.49)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6965D2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9.60(9.37,9.81)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BCFB8E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-6.899†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5D9F66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C05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C5BCC4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TyG_Z (standardized score)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1D1858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-0.35(-1.02,0.52)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69CA03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0.76(0.27,1.20)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36E009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—§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45C697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—§</w:t>
            </w:r>
          </w:p>
        </w:tc>
      </w:tr>
      <w:tr w14:paraId="74C1A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A21DDE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SII (original value)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7A1706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323.15(235.71,445.55)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52D42A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499.20(431.20,574.66)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807A00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-6.97†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E74A86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003DD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noWrap/>
            <w:vAlign w:val="center"/>
          </w:tcPr>
          <w:p w14:paraId="7C00203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SII_Z (standardized score)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noWrap/>
            <w:vAlign w:val="center"/>
          </w:tcPr>
          <w:p w14:paraId="409F0DF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-0.50(-1.02,0.22)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noWrap/>
            <w:vAlign w:val="center"/>
          </w:tcPr>
          <w:p w14:paraId="3E34386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0.54(0.14,0.99)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noWrap/>
            <w:vAlign w:val="center"/>
          </w:tcPr>
          <w:p w14:paraId="6496374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—§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noWrap/>
            <w:vAlign w:val="center"/>
          </w:tcPr>
          <w:p w14:paraId="1F214BD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—§</w:t>
            </w:r>
          </w:p>
        </w:tc>
      </w:tr>
      <w:tr w14:paraId="1AB2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7275A7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Muscle strength and physical performance</w:t>
            </w:r>
          </w:p>
        </w:tc>
      </w:tr>
      <w:tr w14:paraId="2E0E1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66B115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Handgrip strength (kg)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BCFD93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25.00(20.00,30.00)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8EA325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17.00(14.20,22.25)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870411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-6.453†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1148B2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62D38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BE84D3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6-meter gait speed (m/s)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5E4D7E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1.17(1.00,1.32)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246DA0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0.86(0.70,0.96)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E071FF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-8.175†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964F44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3409D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F01462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Five-time chair stand (s)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AD54E7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11.14(9.20,12.60)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6B1FBD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14.20(13.10,16.10)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7C3D00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-7.371†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69DDE0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  <w:tr w14:paraId="38F4C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7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84D0F2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ASMI (kg/m²)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EDDF68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7.26(6.16,7.80)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C22316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5.15(4.57,5.91)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E948D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-9.220†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AD9B67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&lt;</w:t>
            </w:r>
            <w:r>
              <w:rPr>
                <w:rStyle w:val="12"/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 w:bidi="ar"/>
              </w:rPr>
              <w:t>0.001</w:t>
            </w:r>
          </w:p>
        </w:tc>
      </w:tr>
    </w:tbl>
    <w:p w14:paraId="3E518FB1">
      <w:pPr>
        <w:spacing w:before="0" w:after="80" w:line="480" w:lineRule="auto"/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Notes: Data are presented as mean ± standard deviation, median (interquartile range), or number (percentage). P values were calculated using Welch's t test for variables presented as mean ± SD, the Mann–Whitney U test for variables presented as median (IQR), and Pearson chi-square or Fisher's exact test for categorical variables, as appropriate. * Pearson's chi-square test; ¶ Welch's t test; † Mann–Whitney U test; ‡ Fisher's exact test; § not applicable (standardized Z-scores were derived from the cohort distribution and were not compared between groups).</w:t>
      </w:r>
    </w:p>
    <w:p w14:paraId="612C0978">
      <w:pPr>
        <w:spacing w:before="0" w:after="80" w:line="480" w:lineRule="auto"/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Abbreviations: ASMI, appendicular skeletal muscle mass index; AU, arbitrary units; BMI, body mass index; EI, echogenicity index; FPG, fasting plasma glucose; HbA1c, glycated hemoglobin; HDL-C, high-density lipoprotein cholesterol; LDL-C, low-density lipoprotein cholesterol; RFc, rectus femoris circumference; RFcsa, rectus femoris cross-sectional area; RFthick, rectus femoris thickness; SII, systemic immune-inflammation index; STD, standardized; SWEmean, mean shear-wave elastography value; TC, total cholesterol; TG, triglycerides; TyG, triglyceride-glucose; WBC, white blood cell count.</w:t>
      </w:r>
    </w:p>
    <w:p w14:paraId="385BB19E">
      <w:pPr>
        <w:keepNext/>
        <w:spacing w:before="160" w:after="80" w:line="480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Table 2. Intra-observer and inter-observer reproducibility of ultrasound measurements</w:t>
      </w:r>
    </w:p>
    <w:tbl>
      <w:tblPr>
        <w:tblStyle w:val="6"/>
        <w:tblW w:w="91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1"/>
        <w:gridCol w:w="3272"/>
        <w:gridCol w:w="3480"/>
      </w:tblGrid>
      <w:tr w14:paraId="71DE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3D5AB0C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Parameter</w:t>
            </w:r>
          </w:p>
        </w:tc>
        <w:tc>
          <w:tcPr>
            <w:tcW w:w="32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6455A9F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Intraobserver ICC (95% CI)</w:t>
            </w:r>
          </w:p>
        </w:tc>
        <w:tc>
          <w:tcPr>
            <w:tcW w:w="34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16679E9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Interobserver ICC (95% CI)</w:t>
            </w:r>
          </w:p>
        </w:tc>
      </w:tr>
      <w:tr w14:paraId="00160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18B1E75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STD-RFthick (mm/m)</w:t>
            </w:r>
          </w:p>
        </w:tc>
        <w:tc>
          <w:tcPr>
            <w:tcW w:w="3272" w:type="dxa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4BA805C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0.922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(bootstrap 0.865-0.953)</w:t>
            </w:r>
          </w:p>
        </w:tc>
        <w:tc>
          <w:tcPr>
            <w:tcW w:w="3480" w:type="dxa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C54136F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0.917 (bootstrap 0.862-0.948)</w:t>
            </w:r>
          </w:p>
        </w:tc>
      </w:tr>
      <w:tr w14:paraId="12051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976C27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STD-RFc (mm/m)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656A22C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0.883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(bootstrap 0.786-0.932)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F2BA07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0.901 (bootstrap 0.815-0.942)</w:t>
            </w:r>
          </w:p>
        </w:tc>
      </w:tr>
      <w:tr w14:paraId="6F4FC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5F0879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STD-RFcsa (cm²/m)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D25C69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0.878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(bootstrap 0.756-0.936)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7462E1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0.869 (bootstrap 0.737-0.926)</w:t>
            </w:r>
          </w:p>
        </w:tc>
      </w:tr>
      <w:tr w14:paraId="28D4F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A5DBA7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SWEmean (kPa)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8E1D0F7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0.874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(bootstrap 0.805-0.915)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322BBC0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0.897 (bootstrap 0.847-0.932)</w:t>
            </w:r>
          </w:p>
        </w:tc>
      </w:tr>
      <w:tr w14:paraId="0AD3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3D65D1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EI (AU)</w:t>
            </w:r>
          </w:p>
        </w:tc>
        <w:tc>
          <w:tcPr>
            <w:tcW w:w="327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523CF73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0.883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(bootstrap 0.811-0.927)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58C431C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  <w:szCs w:val="22"/>
              </w:rPr>
              <w:t>0.921 (bootstrap 0.874-0.949)</w:t>
            </w:r>
          </w:p>
        </w:tc>
      </w:tr>
    </w:tbl>
    <w:p w14:paraId="1B86B418">
      <w:pPr>
        <w:spacing w:before="0" w:after="80" w:line="480" w:lineRule="auto"/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Footnote: CI, confidence interval; ICC, intraclass correlation coefficient. ICC(2,1) values are reported separately for 60 paired records in each group. Group 0 represents intra-observer/test–retest repeatability, and Group 1 represents inter-observer agreement. Bootstrap intervals are percentile intervals from 2,000 resamples.</w:t>
      </w:r>
    </w:p>
    <w:p w14:paraId="7EE795ED">
      <w:pPr>
        <w:keepNext/>
        <w:spacing w:before="160" w:after="80" w:line="480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Table 3. Univariable and multivariable logistic regression analyses of sarcopenia</w:t>
      </w:r>
    </w:p>
    <w:tbl>
      <w:tblPr>
        <w:tblStyle w:val="6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297"/>
        <w:gridCol w:w="622"/>
        <w:gridCol w:w="966"/>
        <w:gridCol w:w="610"/>
        <w:gridCol w:w="1032"/>
        <w:gridCol w:w="610"/>
        <w:gridCol w:w="1099"/>
        <w:gridCol w:w="611"/>
      </w:tblGrid>
      <w:tr w14:paraId="4543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44F1AEF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116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1DBA82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Univariate analysis</w:t>
            </w:r>
          </w:p>
        </w:tc>
        <w:tc>
          <w:tcPr>
            <w:tcW w:w="104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>
            <w:r>
              <w:t>Model 1</w:t>
              <w:br/>
              <w:t>(Age + ultrasound)</w:t>
            </w:r>
          </w:p>
        </w:tc>
        <w:tc>
          <w:tcPr>
            <w:tcW w:w="943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>
            <w:r>
              <w:t>Model 2</w:t>
              <w:br/>
              <w:t>(Age + serum)</w:t>
            </w:r>
          </w:p>
        </w:tc>
        <w:tc>
          <w:tcPr>
            <w:tcW w:w="1035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6DEAC15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Model 3 (Combined)</w:t>
            </w:r>
          </w:p>
        </w:tc>
      </w:tr>
      <w:tr w14:paraId="07A1B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A586945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3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54508A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365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6B87E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707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0C15FA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336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148234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609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BA28F2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333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4994D9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651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FFEF45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384" w:type="pct"/>
            <w:tcBorders>
              <w:top w:val="single" w:color="000000" w:sz="6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DC3D49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708A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62944C4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Age (years)</w:t>
            </w:r>
          </w:p>
        </w:tc>
        <w:tc>
          <w:tcPr>
            <w:tcW w:w="803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B0C5406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1.178 (1.119–1.241)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3721429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707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D521120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1.143 (1.025–1.275)</w:t>
            </w:r>
          </w:p>
        </w:tc>
        <w:tc>
          <w:tcPr>
            <w:tcW w:w="336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6914A59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0.017</w:t>
            </w:r>
          </w:p>
        </w:tc>
        <w:tc>
          <w:tcPr>
            <w:tcW w:w="609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4B410B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1.206 (1.125–1.292)</w:t>
            </w:r>
          </w:p>
        </w:tc>
        <w:tc>
          <w:tcPr>
            <w:tcW w:w="333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1537373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651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C318ECF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1.221 (1.041–1.432)</w:t>
            </w:r>
          </w:p>
        </w:tc>
        <w:tc>
          <w:tcPr>
            <w:tcW w:w="384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6449E64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0.014</w:t>
            </w:r>
          </w:p>
        </w:tc>
      </w:tr>
      <w:tr w14:paraId="2A52A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F745E4A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STD-RFthick (mm/m)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65A10219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0.202 (0.129–0.316)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0FEEC0F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8BC580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0.155 (0.058–0.412)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15D5FE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A3FE237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1D7534C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28A71A8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0.063 (0.011–0.359)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7C8DEA0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0.002</w:t>
            </w:r>
          </w:p>
        </w:tc>
      </w:tr>
      <w:tr w14:paraId="128D4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D3556E9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SWEmean (kPa)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542A7362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0.319 (0.228–0.447)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1D9DD9C1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6DC2DF6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0.326 (0.199–0.535)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66869A4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1CCA64B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F0DBA69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3C86875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0.127 (0.031–0.519)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69344B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0.004</w:t>
            </w:r>
          </w:p>
        </w:tc>
      </w:tr>
      <w:tr w14:paraId="67D12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85F7DD6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EI (AU)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5D53704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1.108 (1.075–1.142)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3BBE3297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B110A4A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1.175 (1.083–1.275)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2B1689A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832B93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FC5CAA4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F65B2B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1.202 (1.055–1.370)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9072EE6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0.006</w:t>
            </w:r>
          </w:p>
        </w:tc>
      </w:tr>
      <w:tr w14:paraId="334A2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E50E6EC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TyG_Z (per 1-SD increase)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2092D8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4.239 (2.653–6.774)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42D8FAC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8434AAB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9D2F69C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405E5B9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5.770 (3.039–10.955)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4F71F67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9938FA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26.490 (3.012–232.982)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72EDCA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0.003</w:t>
            </w:r>
          </w:p>
        </w:tc>
      </w:tr>
      <w:tr w14:paraId="5102E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7C8E9A68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SII_Z (per 1-SD increase)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025758AD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2.605 (1.825–3.718)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A99B09F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707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E5A8E46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1968E8B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—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1E0C178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2.341 (1.490–3.679)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E45C2B1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&lt; 0.001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5F04B3A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5.180 (1.457–18.411)</w:t>
            </w:r>
          </w:p>
        </w:tc>
        <w:tc>
          <w:tcPr>
            <w:tcW w:w="384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7232165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0.011</w:t>
            </w:r>
          </w:p>
        </w:tc>
      </w:tr>
    </w:tbl>
    <w:p w14:paraId="6F832B7B">
      <w:pPr>
        <w:spacing w:before="0" w:after="80" w:line="480" w:lineRule="auto"/>
        <w:jc w:val="left"/>
        <w:rPr>
          <w:rFonts w:ascii="Times New Roman" w:hAnsi="Times New Roman" w:eastAsia="Times New Roman"/>
          <w:b w:val="0"/>
          <w:i w:val="0"/>
          <w:sz w:val="20"/>
        </w:rPr>
      </w:pPr>
      <w:r>
        <w:rPr>
          <w:rFonts w:ascii="Times New Roman" w:hAnsi="Times New Roman" w:eastAsia="Times New Roman"/>
          <w:b w:val="0"/>
          <w:i w:val="0"/>
          <w:sz w:val="20"/>
        </w:rPr>
        <w:t>Footnote: CI, confidence interval; OR, odds ratio; -, not included in the model. Model 1 (age + ultrasound) included age, STD-RFthick, SWEmean, and EI. Model 2 (age + serum) included age, TyG_Z, and SII_Z. Model 3 (combined) included all six predictors. TyG_Z and SII_Z represent standardized Z-scores. Estimates in this table are from conventional maximum-likelihood logistic regression; OR confidence intervals and P values are based on Wald inference. Firth penalized sensitivity estimates for Model 3 are provided in Supplementary Table S1.</w:t>
      </w:r>
    </w:p>
    <w:p w14:paraId="13BB0D93">
      <w:pPr>
        <w:spacing w:before="0" w:after="80" w:line="480" w:lineRule="auto"/>
        <w:jc w:val="left"/>
        <w:rPr>
          <w:rFonts w:ascii="Times New Roman" w:hAnsi="Times New Roman" w:eastAsia="Times New Roman"/>
          <w:b w:val="0"/>
          <w:i w:val="0"/>
          <w:sz w:val="20"/>
        </w:rPr>
      </w:pPr>
    </w:p>
    <w:p w14:paraId="22A9DAAE">
      <w:pPr>
        <w:spacing w:before="0" w:after="80" w:line="480" w:lineRule="auto"/>
        <w:jc w:val="left"/>
        <w:rPr>
          <w:rFonts w:ascii="Times New Roman" w:hAnsi="Times New Roman" w:eastAsia="Times New Roman"/>
          <w:b w:val="0"/>
          <w:i w:val="0"/>
          <w:sz w:val="20"/>
        </w:rPr>
      </w:pPr>
    </w:p>
    <w:p w14:paraId="051178EF">
      <w:pPr>
        <w:keepNext/>
        <w:spacing w:before="160" w:after="80" w:line="480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Table 4. Diagnostic performance of the three models</w:t>
      </w:r>
    </w:p>
    <w:tbl>
      <w:tblPr>
        <w:tblStyle w:val="6"/>
        <w:tblW w:w="509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567"/>
        <w:gridCol w:w="1101"/>
        <w:gridCol w:w="1900"/>
        <w:gridCol w:w="1898"/>
        <w:gridCol w:w="924"/>
      </w:tblGrid>
      <w:tr w14:paraId="5FEAC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55BB6CBE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21"/>
              </w:rPr>
              <w:t>Model</w:t>
            </w:r>
          </w:p>
        </w:tc>
        <w:tc>
          <w:tcPr>
            <w:tcW w:w="90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24D834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F1115"/>
                <w:kern w:val="0"/>
                <w:sz w:val="21"/>
                <w:szCs w:val="22"/>
                <w:u w:val="none"/>
                <w:lang w:val="en-US" w:eastAsia="zh-CN" w:bidi="ar"/>
              </w:rPr>
              <w:t>AUC (95% CI)</w:t>
            </w:r>
          </w:p>
        </w:tc>
        <w:tc>
          <w:tcPr>
            <w:tcW w:w="63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5864E811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21"/>
              </w:rPr>
              <w:t>Youden index</w:t>
            </w:r>
          </w:p>
        </w:tc>
        <w:tc>
          <w:tcPr>
            <w:tcW w:w="109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75693402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21"/>
              </w:rPr>
              <w:t>Sensitivity (95% CI)</w:t>
            </w:r>
          </w:p>
        </w:tc>
        <w:tc>
          <w:tcPr>
            <w:tcW w:w="109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2B6CBFAB">
            <w:pPr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21"/>
              </w:rPr>
              <w:t>Specificity (95% CI)</w:t>
            </w:r>
          </w:p>
        </w:tc>
        <w:tc>
          <w:tcPr>
            <w:tcW w:w="53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H w:val="nil"/>
              <w:insideV w:val="nil"/>
            </w:tcBorders>
            <w:shd w:val="clear" w:color="auto" w:fill="D9D9D9"/>
            <w:noWrap/>
            <w:vAlign w:val="center"/>
          </w:tcPr>
          <w:p w14:paraId="48A52B9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AIC</w:t>
            </w:r>
          </w:p>
        </w:tc>
      </w:tr>
      <w:tr w14:paraId="3F95D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0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>
            <w:r>
              <w:t>Model 1</w:t>
              <w:br/>
              <w:t>(Age + ultrasound)</w:t>
            </w:r>
          </w:p>
        </w:tc>
        <w:tc>
          <w:tcPr>
            <w:tcW w:w="903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457A32B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0.986 (0.976–0.997)</w:t>
            </w:r>
          </w:p>
        </w:tc>
        <w:tc>
          <w:tcPr>
            <w:tcW w:w="634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3768B8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</w:t>
            </w:r>
          </w:p>
        </w:tc>
        <w:tc>
          <w:tcPr>
            <w:tcW w:w="1095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D1B286B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93.8% (85.0–98.3%)</w:t>
            </w:r>
          </w:p>
        </w:tc>
        <w:tc>
          <w:tcPr>
            <w:tcW w:w="1094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52BC95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93.8% (88.5–97.1%)</w:t>
            </w:r>
          </w:p>
        </w:tc>
        <w:tc>
          <w:tcPr>
            <w:tcW w:w="532" w:type="pct"/>
            <w:tcBorders>
              <w:top w:val="single" w:color="000000" w:sz="8" w:space="0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7A3337D4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65.44</w:t>
            </w:r>
          </w:p>
        </w:tc>
      </w:tr>
      <w:tr w14:paraId="08759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0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>
            <w:r>
              <w:t>Model 2</w:t>
              <w:br/>
              <w:t>(Age + serum)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339ED9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0.932 (0.900–0.965)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170A952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0.748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3CC338C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90.8% (81.0–96.5%)</w:t>
            </w: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491F229E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84.0% (77.0–89.6%)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BA00BF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138.216</w:t>
            </w:r>
          </w:p>
        </w:tc>
      </w:tr>
      <w:tr w14:paraId="48FC2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0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noWrap/>
            <w:vAlign w:val="center"/>
          </w:tcPr>
          <w:p w14:paraId="2AFAB7F3">
            <w:pPr>
              <w:spacing w:before="0" w:after="0" w:line="240" w:lineRule="auto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21"/>
              </w:rPr>
              <w:t>Model 3 (Combined)</w:t>
            </w:r>
          </w:p>
        </w:tc>
        <w:tc>
          <w:tcPr>
            <w:tcW w:w="903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139B280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 (0.990–1.000)</w:t>
            </w:r>
          </w:p>
        </w:tc>
        <w:tc>
          <w:tcPr>
            <w:tcW w:w="634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41744E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0.935</w:t>
            </w:r>
          </w:p>
        </w:tc>
        <w:tc>
          <w:tcPr>
            <w:tcW w:w="1095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0E379715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96.9% (89.3–99.6%)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63BE205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96.5% (92.1–98.9%)</w:t>
            </w:r>
          </w:p>
        </w:tc>
        <w:tc>
          <w:tcPr>
            <w:tcW w:w="532" w:type="pct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shd w:val="clear" w:color="auto" w:fill="auto"/>
            <w:vAlign w:val="center"/>
          </w:tcPr>
          <w:p w14:paraId="50D834A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45.727</w:t>
            </w:r>
          </w:p>
        </w:tc>
      </w:tr>
    </w:tbl>
    <w:p w14:paraId="7D43C2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0" w:afterAutospacing="0" w:line="260" w:lineRule="atLeast"/>
        <w:ind w:left="0" w:right="0" w:firstLine="0"/>
        <w:jc w:val="left"/>
        <w:textAlignment w:val="baseline"/>
        <w:rPr>
          <w:rFonts w:hint="default" w:ascii="Times New Roman" w:hAnsi="Times New Roman" w:eastAsia="Times New Roman"/>
          <w:b w:val="0"/>
          <w:i w:val="0"/>
          <w:sz w:val="20"/>
        </w:rPr>
      </w:pPr>
      <w:r>
        <w:rPr>
          <w:rFonts w:ascii="Times New Roman" w:hAnsi="Times New Roman" w:eastAsia="Times New Roman"/>
          <w:b w:val="0"/>
          <w:i w:val="0"/>
          <w:sz w:val="20"/>
        </w:rPr>
        <w:t>Footnote: AIC, Akaike information criterion; AUC, area under the receiver operating characteristic curve; CI, confidence interval. Sensitivity and specificity were calculated at cutoffs selected within the present cohort by maximizing the Youden index; the column reports the resulting Youden index, not the cutoff value. Pairwise AUC comparisons by the DeLong test were: Model 3 versus Model 1, ΔAUC = 0.0089 (95% CI, 0.0002-0.0176), P = 0.0447; Model 1 versus Model 2, P = 0.0013; and Model 3 versus Model 2, P = 6.8 × 10⁻⁵. The cohort-derived cutoffs and associated sensitivity/specificity should not be transferred to external populations without validation.</w:t>
      </w:r>
      <w:r>
        <w:rPr>
          <w:rFonts w:hint="default" w:ascii="Times New Roman" w:hAnsi="Times New Roman" w:eastAsia="Times New Roman"/>
          <w:b w:val="0"/>
          <w:i w:val="0"/>
          <w:sz w:val="20"/>
        </w:rPr>
      </w:r>
      <w:bookmarkStart w:id="0" w:name="_GoBack"/>
      <w:r>
        <w:rPr>
          <w:rFonts w:hint="default" w:ascii="Times New Roman" w:hAnsi="Times New Roman" w:eastAsia="Times New Roman"/>
          <w:b w:val="0"/>
          <w:i w:val="0"/>
          <w:sz w:val="20"/>
          <w:highlight w:val="green"/>
        </w:rPr>
      </w:r>
      <w:r>
        <w:rPr>
          <w:rFonts w:hint="eastAsia" w:eastAsia="宋体"/>
          <w:b w:val="0"/>
          <w:i w:val="0"/>
          <w:sz w:val="20"/>
          <w:highlight w:val="green"/>
          <w:lang w:val="en-US" w:eastAsia="zh-CN"/>
        </w:rPr>
      </w:r>
      <w:bookmarkEnd w:id="0"/>
      <w:r>
        <w:rPr>
          <w:rFonts w:hint="default" w:ascii="Times New Roman" w:hAnsi="Times New Roman" w:eastAsia="Times New Roman"/>
          <w:b w:val="0"/>
          <w:i w:val="0"/>
          <w:sz w:val="20"/>
        </w:rPr>
      </w:r>
    </w:p>
    <w:p w14:paraId="6A90F0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0" w:afterAutospacing="0" w:line="260" w:lineRule="atLeast"/>
        <w:ind w:left="0" w:right="0" w:firstLine="0"/>
        <w:jc w:val="left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566CBBFB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>
      <w:pPr>
        <w:pageBreakBefore/>
      </w:pPr>
      <w:r>
        <w:rPr>
          <w:b/>
        </w:rPr>
        <w:t>Table 5. Internal validation, calibration, and overall accuracy of the models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4"/>
        <w:gridCol w:w="1384"/>
        <w:gridCol w:w="1384"/>
        <w:gridCol w:w="1384"/>
        <w:gridCol w:w="1384"/>
        <w:gridCol w:w="1384"/>
      </w:tblGrid>
      <w:tr>
        <w:trPr>
          <w:tblHeader w:val="true"/>
        </w:trPr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Model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Apparent AUC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Optimism-corrected AUC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Repeated 10-fold CV AUC,</w:t>
              <w:br/>
              <w:t>mean (SD)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Optimism-corrected</w:t>
              <w:br/>
              <w:t>calibration slope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Optimism-corrected</w:t>
              <w:br/>
              <w:t>Brier score</w:t>
            </w:r>
          </w:p>
        </w:tc>
      </w:tr>
      <w:tr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Age only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0.796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0.798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0.794 (0.0131)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1.008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0.167</w:t>
            </w:r>
          </w:p>
        </w:tc>
      </w:tr>
      <w:tr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Model 1 (age + ultrasound)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0.986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0.983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0.983 (0.0049)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0.825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0.052</w:t>
            </w:r>
          </w:p>
        </w:tc>
      </w:tr>
      <w:tr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Model 1 without age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0.984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0.982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0.982 (0.0043)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0.903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0.056</w:t>
            </w:r>
          </w:p>
        </w:tc>
      </w:tr>
      <w:tr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Model 2 (age + serum)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0.932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0.928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0.928 (0.0079)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0.951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0.105</w:t>
            </w:r>
          </w:p>
        </w:tc>
      </w:tr>
      <w:tr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Model 3 (combined)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0.995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0.987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0.991 (0.0040)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0.484</w:t>
            </w:r>
          </w:p>
        </w:tc>
        <w:tc>
          <w:tcPr>
            <w:tcW w:type="dxa" w:w="138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0.038</w:t>
            </w:r>
          </w:p>
        </w:tc>
      </w:tr>
    </w:tbl>
    <w:p>
      <w:r>
        <w:rPr>
          <w:sz w:val="18"/>
        </w:rPr>
        <w:t>Footnote: AUC, area under the receiver operating characteristic curve; CV, cross-validation; SD, standard deviation. Optimism-corrected AUC, calibration slope, and Brier score were obtained by bootstrap internal validation. Repeated CV values are means from repeated 10-fold cross-validation with 100 repetitions. All values are internal estimates from the development cohort and do not constitute external validation.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6431D"/>
    <w:rsid w:val="02254895"/>
    <w:rsid w:val="02AF383B"/>
    <w:rsid w:val="03BD5FED"/>
    <w:rsid w:val="04B62533"/>
    <w:rsid w:val="057A1088"/>
    <w:rsid w:val="05E27A84"/>
    <w:rsid w:val="05F376C1"/>
    <w:rsid w:val="07EA0E72"/>
    <w:rsid w:val="0CB15D55"/>
    <w:rsid w:val="0E9614FF"/>
    <w:rsid w:val="0F6C3FD2"/>
    <w:rsid w:val="0F9022FF"/>
    <w:rsid w:val="114824FA"/>
    <w:rsid w:val="117F0C00"/>
    <w:rsid w:val="1189112B"/>
    <w:rsid w:val="140E1078"/>
    <w:rsid w:val="158E5532"/>
    <w:rsid w:val="15D373E9"/>
    <w:rsid w:val="167F55FE"/>
    <w:rsid w:val="17224E02"/>
    <w:rsid w:val="199C7819"/>
    <w:rsid w:val="1A5A036E"/>
    <w:rsid w:val="1B46240B"/>
    <w:rsid w:val="1BEB3CCC"/>
    <w:rsid w:val="1CC17B23"/>
    <w:rsid w:val="1D083E1C"/>
    <w:rsid w:val="1EA10E04"/>
    <w:rsid w:val="1FEF2B62"/>
    <w:rsid w:val="20333484"/>
    <w:rsid w:val="20631369"/>
    <w:rsid w:val="20B56069"/>
    <w:rsid w:val="24D6667D"/>
    <w:rsid w:val="24FD72AC"/>
    <w:rsid w:val="25725879"/>
    <w:rsid w:val="26350A43"/>
    <w:rsid w:val="2711178A"/>
    <w:rsid w:val="280B47C0"/>
    <w:rsid w:val="28920A3E"/>
    <w:rsid w:val="28CA52F9"/>
    <w:rsid w:val="292F2E7A"/>
    <w:rsid w:val="29852351"/>
    <w:rsid w:val="2A68414C"/>
    <w:rsid w:val="2B0D0850"/>
    <w:rsid w:val="2BE912BD"/>
    <w:rsid w:val="2C117E1B"/>
    <w:rsid w:val="2D406CBA"/>
    <w:rsid w:val="2DCF0129"/>
    <w:rsid w:val="2FB05EAE"/>
    <w:rsid w:val="2FDB0F1C"/>
    <w:rsid w:val="308D6D00"/>
    <w:rsid w:val="30A6777C"/>
    <w:rsid w:val="30F84A95"/>
    <w:rsid w:val="33D64BF4"/>
    <w:rsid w:val="362E5AF0"/>
    <w:rsid w:val="384C2463"/>
    <w:rsid w:val="3A4D0C68"/>
    <w:rsid w:val="3ACB4B1D"/>
    <w:rsid w:val="3C0F66B7"/>
    <w:rsid w:val="3C3D69D1"/>
    <w:rsid w:val="3C782A27"/>
    <w:rsid w:val="3CE703AD"/>
    <w:rsid w:val="3D984ADC"/>
    <w:rsid w:val="3F027B6D"/>
    <w:rsid w:val="3F297A2D"/>
    <w:rsid w:val="3F2D1CB6"/>
    <w:rsid w:val="3F6213BA"/>
    <w:rsid w:val="4026570D"/>
    <w:rsid w:val="41614020"/>
    <w:rsid w:val="41C6300E"/>
    <w:rsid w:val="42091F04"/>
    <w:rsid w:val="42A879DF"/>
    <w:rsid w:val="42D77C69"/>
    <w:rsid w:val="43291B47"/>
    <w:rsid w:val="46121D9A"/>
    <w:rsid w:val="46760E44"/>
    <w:rsid w:val="47685334"/>
    <w:rsid w:val="47E36768"/>
    <w:rsid w:val="48272AF9"/>
    <w:rsid w:val="49A563CB"/>
    <w:rsid w:val="4CA47BF0"/>
    <w:rsid w:val="4CC21042"/>
    <w:rsid w:val="4FF370A5"/>
    <w:rsid w:val="5351758E"/>
    <w:rsid w:val="53D17D30"/>
    <w:rsid w:val="557A17BE"/>
    <w:rsid w:val="567726B1"/>
    <w:rsid w:val="56F40992"/>
    <w:rsid w:val="57A557E8"/>
    <w:rsid w:val="57AF428B"/>
    <w:rsid w:val="590E7907"/>
    <w:rsid w:val="5AB81CD6"/>
    <w:rsid w:val="5BA8726B"/>
    <w:rsid w:val="5BAC6295"/>
    <w:rsid w:val="5CB14C2F"/>
    <w:rsid w:val="5E5B3B59"/>
    <w:rsid w:val="5E742B1C"/>
    <w:rsid w:val="5F677820"/>
    <w:rsid w:val="6102706E"/>
    <w:rsid w:val="64823A4D"/>
    <w:rsid w:val="649371CA"/>
    <w:rsid w:val="65A610A9"/>
    <w:rsid w:val="6666618F"/>
    <w:rsid w:val="66EA17C0"/>
    <w:rsid w:val="68976CCA"/>
    <w:rsid w:val="6A8B4D12"/>
    <w:rsid w:val="6ADD1595"/>
    <w:rsid w:val="6B4319AF"/>
    <w:rsid w:val="6B5C4430"/>
    <w:rsid w:val="6D3C0545"/>
    <w:rsid w:val="6D4A2C62"/>
    <w:rsid w:val="72407246"/>
    <w:rsid w:val="731C64B4"/>
    <w:rsid w:val="742C4E6F"/>
    <w:rsid w:val="74D87387"/>
    <w:rsid w:val="76590821"/>
    <w:rsid w:val="76650B0D"/>
    <w:rsid w:val="76C42C45"/>
    <w:rsid w:val="76DA5E99"/>
    <w:rsid w:val="77165FA5"/>
    <w:rsid w:val="792C1059"/>
    <w:rsid w:val="7A04063C"/>
    <w:rsid w:val="7B424F78"/>
    <w:rsid w:val="7E9034C8"/>
    <w:rsid w:val="7FE2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spacing w:before="0" w:after="0" w:line="480" w:lineRule="auto"/>
      <w:ind w:firstLine="0"/>
      <w:jc w:val="left"/>
    </w:pPr>
    <w:rPr>
      <w:rFonts w:ascii="Times New Roman" w:hAnsi="Times New Roman" w:eastAsia="Times New Roman" w:cstheme="minorBidi"/>
      <w:sz w:val="24"/>
      <w:szCs w:val="24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TML Code"/>
    <w:basedOn w:val="7"/>
    <w:qFormat/>
    <w:uiPriority w:val="0"/>
    <w:rPr>
      <w:rFonts w:ascii="Courier New" w:hAnsi="Courier New"/>
      <w:sz w:val="20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Segoe UI" w:hAnsi="Segoe UI" w:eastAsia="Segoe UI" w:cs="Segoe UI"/>
      <w:color w:val="000000"/>
      <w:sz w:val="22"/>
      <w:szCs w:val="22"/>
      <w:u w:val="none"/>
    </w:rPr>
  </w:style>
  <w:style w:type="character" w:customStyle="1" w:styleId="13">
    <w:name w:val="font61"/>
    <w:basedOn w:val="7"/>
    <w:qFormat/>
    <w:uiPriority w:val="0"/>
    <w:rPr>
      <w:rFonts w:hint="default" w:ascii="Segoe UI" w:hAnsi="Segoe UI" w:eastAsia="Segoe UI" w:cs="Segoe UI"/>
      <w:color w:val="000000"/>
      <w:sz w:val="18"/>
      <w:szCs w:val="18"/>
      <w:u w:val="none"/>
    </w:rPr>
  </w:style>
  <w:style w:type="character" w:customStyle="1" w:styleId="14">
    <w:name w:val="font31"/>
    <w:basedOn w:val="7"/>
    <w:qFormat/>
    <w:uiPriority w:val="0"/>
    <w:rPr>
      <w:rFonts w:hint="default" w:ascii="Segoe UI" w:hAnsi="Segoe UI" w:eastAsia="Segoe UI" w:cs="Segoe UI"/>
      <w:color w:val="000000"/>
      <w:sz w:val="18"/>
      <w:szCs w:val="18"/>
      <w:u w:val="none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89a4bc5d-bb85-4cc7-9b0a-401493314ef1</errorID>
      <errorWord>elevate</errorWord>
      <group>L1_English</group>
      <groupName>英文问题</groupName>
      <ability>L2_Noun_Number</ability>
      <abilityName>名词单复数问题</abilityName>
      <candidateList>
        <item>elevates</item>
      </candidateList>
      <explain>疑似名词单复数使用错误，建议将elevate修改为elevates</explain>
      <paraID>52121D12</paraID>
      <start>709</start>
      <end>717</end>
      <status>modified</status>
      <modifiedWord>elevates</modifiedWord>
      <trackRevisions>false</trackRevisions>
    </reviewItem>
    <reviewItem>
      <errorID>0fad5bf6-f35b-45eb-a93c-df7a18e81513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3AA47446</paraID>
      <start>102</start>
      <end>103</end>
      <status>ignored</status>
      <modifiedWord/>
      <trackRevisions>false</trackRevisions>
    </reviewItem>
    <reviewItem>
      <errorID>b13bd047-74d7-4aea-99ae-3c067890d0f7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60C55D17</paraID>
      <start>90</start>
      <end>91</end>
      <status>ignored</status>
      <modifiedWord/>
      <trackRevisions>false</trackRevisions>
    </reviewItem>
    <reviewItem>
      <errorID>b4e350c4-26f9-428e-9d24-9bb8252f0fa7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5647B53C</paraID>
      <start>342</start>
      <end>343</end>
      <status>ignored</status>
      <modifiedWord/>
      <trackRevisions>false</trackRevisions>
    </reviewItem>
    <reviewItem>
      <errorID>6e11a50c-0cca-4a56-ae66-e17920229ade</errorID>
      <errorWord>wer</errorWord>
      <group>L1_English</group>
      <groupName>英文问题</groupName>
      <ability>L2_Spell</ability>
      <abilityName>拼写问题</abilityName>
      <candidateList>
        <item>were</item>
      </candidateList>
      <explain>疑似单词拼写有误，建议将wer修改为were</explain>
      <paraID>643E7128</paraID>
      <start>161</start>
      <end>165</end>
      <status>modified</status>
      <modifiedWord>were</modifiedWord>
      <trackRevisions>false</trackRevisions>
    </reviewItem>
    <reviewItem>
      <errorID>102ccb83-b9cf-4d57-a5bc-9e4e4da42e2b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7D84F88B</paraID>
      <start>178</start>
      <end>179</end>
      <status>ignored</status>
      <modifiedWord/>
      <trackRevisions>false</trackRevisions>
    </reviewItem>
    <reviewItem>
      <errorID>4f7e5934-4aa0-4d2e-a919-c9514d4ff1ed</errorID>
      <errorWord>definit</errorWord>
      <group>L1_English</group>
      <groupName>英文问题</groupName>
      <ability>L2_Other_Grammar</ability>
      <abilityName>其他语法问题</abilityName>
      <candidateList>
        <item>definition.</item>
      </candidateList>
      <explain>疑似单词/词组使用不当, 建议将definit修改为definition.</explain>
      <paraID>2EB31BBC</paraID>
      <start>485</start>
      <end>496</end>
      <status>modified</status>
      <modifiedWord>definition.</modifiedWord>
      <trackRevisions>false</trackRevisions>
    </reviewItem>
    <reviewItem>
      <errorID>db6452f2-c2e3-437f-885b-01e40f44fcfe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5CCBA252</paraID>
      <start>460</start>
      <end>461</end>
      <status>ignored</status>
      <modifiedWord/>
      <trackRevisions>false</trackRevisions>
    </reviewItem>
    <reviewItem>
      <errorID>175c0416-b623-4bb5-8550-4a3e1616df07</errorID>
      <errorWord>overinterpreted.n</errorWord>
      <group>L1_English</group>
      <groupName>英文问题</groupName>
      <ability>L2_Other_Grammar</ability>
      <abilityName>其他语法问题</abilityName>
      <candidateList>
        <item>overinterpreted.</item>
      </candidateList>
      <explain>疑似单词/词组使用不当, 建议将overinterpreted.n修改为overinterpreted.</explain>
      <paraID> 3A811A2</paraID>
      <start>315</start>
      <end>331</end>
      <status>modified</status>
      <modifiedWord>overinterpreted.</modifiedWord>
      <trackRevisions>false</trackRevisions>
    </reviewItem>
    <reviewItem>
      <errorID>78f929c6-4bef-4c0e-91e2-ea5e49b2734a</errorID>
      <errorWord>(</errorWord>
      <group>L1_Punc</group>
      <groupName>标点问题</groupName>
      <ability>L2_Punc_EN</ability>
      <abilityName>标点符号问题</abilityName>
      <candidateList/>
      <explain>此处标点可能未正确匹配，建议检查，规范书写格式</explain>
      <paraID>7691EEC3</paraID>
      <start>186</start>
      <end>187</end>
      <status>ignored</status>
      <modifiedWord/>
      <trackRevisions>false</trackRevisions>
    </reviewItem>
    <reviewItem>
      <errorID>6d68722d-b1be-4f0c-a00c-34dbb5c6f3a4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5FD6FB85</paraID>
      <start>147</start>
      <end>148</end>
      <status>ignored</status>
      <modifiedWord/>
      <trackRevisions>false</trackRevisions>
    </reviewItem>
    <reviewItem>
      <errorID>f3c8a6bb-42f2-4021-b37a-dd3d0c834171</errorID>
      <errorWord>underly</errorWord>
      <group>L1_English</group>
      <groupName>英文问题</groupName>
      <ability>L2_Spell</ability>
      <abilityName>拼写问题</abilityName>
      <candidateList>
        <item>underlying</item>
      </candidateList>
      <explain>疑似单词拼写有误，建议将underly修改为underlying</explain>
      <paraID>395953A0</paraID>
      <start>335</start>
      <end>345</end>
      <status>modified</status>
      <modifiedWord>underlying</modifiedWord>
      <trackRevisions>false</trackRevisions>
    </reviewItem>
    <reviewItem>
      <errorID>0776de3f-1a14-4428-93e7-a09f89a2402f</errorID>
      <errorWord>‘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775E875C</paraID>
      <start>181</start>
      <end>182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429449-42b6-4bea-942e-de7913faa4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510</Words>
  <Characters>3745</Characters>
  <Lines>0</Lines>
  <Paragraphs>0</Paragraphs>
  <TotalTime>0</TotalTime>
  <ScaleCrop>false</ScaleCrop>
  <LinksUpToDate>false</LinksUpToDate>
  <CharactersWithSpaces>4072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2026-08-27T15:24:00Z</dcterms:created>
  <dc:creator>admin</dc:creator>
  <cp:lastModifiedBy>马金凤</cp:lastModifiedBy>
  <dcterms:modified xsi:type="dcterms:W3CDTF">2026-10-01T15:46:15Z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eyJoZGlkIjoiMTE2MGQ1ZmRjYzRkMWRjMmYwOTZhZDQxOThiMzVhMjciLCJ1c2VySWQiOiI0ODEyMzUxMzUifQ==</vt:lpwstr>
  </property>
  <property fmtid="{D5CDD505-2E9C-101B-9397-08002B2CF9AE}" pid="4" name="ICV">
    <vt:lpwstr>D1F12433E9EB48428648A499512F9F5C_13</vt:lpwstr>
  </property>
</Properties>
</file>