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C9E73" w14:textId="77777777" w:rsidR="003C1022" w:rsidRPr="003C1022" w:rsidRDefault="003C1022" w:rsidP="003C1022">
      <w:pPr>
        <w:rPr>
          <w:lang w:val="en-US"/>
        </w:rPr>
      </w:pPr>
      <w:r w:rsidRPr="003C1022">
        <w:rPr>
          <w:b/>
          <w:lang w:val="en-US"/>
        </w:rPr>
        <w:t>Appendix B: Data Construction Details</w:t>
      </w:r>
    </w:p>
    <w:p w14:paraId="6C178C66" w14:textId="77777777" w:rsidR="003C1022" w:rsidRPr="003C1022" w:rsidRDefault="003C1022" w:rsidP="003C1022">
      <w:pPr>
        <w:rPr>
          <w:lang w:val="en-US"/>
        </w:rPr>
      </w:pPr>
      <w:r w:rsidRPr="003C1022">
        <w:rPr>
          <w:b/>
          <w:lang w:val="en-US"/>
        </w:rPr>
        <w:t>B1. Policy Coding Decision Rules</w:t>
      </w:r>
    </w:p>
    <w:p w14:paraId="5E72112D" w14:textId="77777777" w:rsidR="003C1022" w:rsidRPr="003C1022" w:rsidRDefault="003C1022" w:rsidP="003C1022">
      <w:pPr>
        <w:rPr>
          <w:lang w:val="en-US"/>
        </w:rPr>
      </w:pPr>
      <w:r w:rsidRPr="003C1022">
        <w:rPr>
          <w:lang w:val="en-US"/>
        </w:rPr>
        <w:t>Immigration policy indicators are coded at the country level based on the dominant policy regime during the observation period of each study. The coding draws on institutional histories, the MIPEX (Migrant Integration Policy Index) database, and the immigration policy typology of Bjerre et al. (2015). Three binary indicators capture distinct dimensions of the policy architecture:</w:t>
      </w:r>
    </w:p>
    <w:p w14:paraId="5909C962" w14:textId="77777777" w:rsidR="003C1022" w:rsidRPr="003C1022" w:rsidRDefault="003C1022" w:rsidP="003C1022">
      <w:pPr>
        <w:rPr>
          <w:lang w:val="en-US"/>
        </w:rPr>
      </w:pPr>
      <w:r w:rsidRPr="003C1022">
        <w:rPr>
          <w:lang w:val="en-US"/>
        </w:rPr>
        <w:t>Selection (= 1 for Australia, Canada): Countries operating formal points-based or economic-priority immigration systems that weight education, language proficiency, work experience, and age in admission decisions. Canada's Immigration and Refugee Protection Act (2002) and Australia's General Skilled Migration program are the canonical examples. The United States, despite its H-1B and employment-based visa categories, is coded as 0 because family reunification has historically dominated admissions.</w:t>
      </w:r>
    </w:p>
    <w:p w14:paraId="677F8CDD" w14:textId="77777777" w:rsidR="003C1022" w:rsidRPr="003C1022" w:rsidRDefault="003C1022" w:rsidP="003C1022">
      <w:pPr>
        <w:rPr>
          <w:lang w:val="en-US"/>
        </w:rPr>
      </w:pPr>
      <w:r w:rsidRPr="003C1022">
        <w:rPr>
          <w:lang w:val="en-US"/>
        </w:rPr>
        <w:t>Stabilization (= 1 for Denmark, Finland, Norway, Sweden): Countries providing relatively easy and rapid access to permanent residence and citizenship. Nordic countries are characterized by short qualifying periods for permanent residence (typically 3–5 years), streamlined naturalization processes, and strong protections against deportation of long-term residents.</w:t>
      </w:r>
    </w:p>
    <w:p w14:paraId="234BF971" w14:textId="77777777" w:rsidR="003C1022" w:rsidRPr="003C1022" w:rsidRDefault="003C1022" w:rsidP="003C1022">
      <w:pPr>
        <w:rPr>
          <w:lang w:val="en-US"/>
        </w:rPr>
      </w:pPr>
      <w:r w:rsidRPr="003C1022">
        <w:rPr>
          <w:lang w:val="en-US"/>
        </w:rPr>
        <w:t xml:space="preserve">Establishment (= 1 for Canada, Denmark, Finland, Netherlands, Norway, Sweden): Countries with comprehensive, publicly funded settlement and integration programs. Key features </w:t>
      </w:r>
      <w:proofErr w:type="gramStart"/>
      <w:r w:rsidRPr="003C1022">
        <w:rPr>
          <w:lang w:val="en-US"/>
        </w:rPr>
        <w:t>include:</w:t>
      </w:r>
      <w:proofErr w:type="gramEnd"/>
      <w:r w:rsidRPr="003C1022">
        <w:rPr>
          <w:lang w:val="en-US"/>
        </w:rPr>
        <w:t xml:space="preserve"> government-funded language instruction (e.g., Canada's LINC program, Denmark's 3-year integration program), formal credential recognition systems, structured labor market integration services, and in some cases dedicated early childhood support for immigrant families. Countries are coded as 1 only when such programs were operational during the observation period of the study.</w:t>
      </w:r>
    </w:p>
    <w:p w14:paraId="34AD20E5" w14:textId="77777777" w:rsidR="003C1022" w:rsidRPr="003C1022" w:rsidRDefault="003C1022" w:rsidP="003C1022">
      <w:pPr>
        <w:rPr>
          <w:lang w:val="en-US"/>
        </w:rPr>
      </w:pPr>
      <w:r w:rsidRPr="003C1022">
        <w:rPr>
          <w:lang w:val="en-US"/>
        </w:rPr>
        <w:t>The implicit (default) category comprises countries without prominent expression of any of the three policy dimensions (e.g., the United States, United Kingdom, France, Germany, Italy for most observation periods). We note that policy regimes are not mutually exclusive: Canada is coded as 1 on all three dimensions, reflecting its comprehensive approach combining selection, accessible permanent residence, and extensive settlement services.</w:t>
      </w:r>
    </w:p>
    <w:p w14:paraId="70D3B78C" w14:textId="77777777" w:rsidR="003C1022" w:rsidRPr="003C1022" w:rsidRDefault="003C1022" w:rsidP="003C1022">
      <w:pPr>
        <w:rPr>
          <w:lang w:val="en-US"/>
        </w:rPr>
      </w:pPr>
      <w:r w:rsidRPr="003C1022">
        <w:rPr>
          <w:b/>
          <w:lang w:val="en-US"/>
        </w:rPr>
        <w:t>B2. Gini Coefficient Matching Procedure</w:t>
      </w:r>
    </w:p>
    <w:p w14:paraId="05356535" w14:textId="77777777" w:rsidR="003C1022" w:rsidRPr="003C1022" w:rsidRDefault="003C1022" w:rsidP="003C1022">
      <w:pPr>
        <w:rPr>
          <w:lang w:val="en-US"/>
        </w:rPr>
      </w:pPr>
      <w:r w:rsidRPr="003C1022">
        <w:rPr>
          <w:lang w:val="en-US"/>
        </w:rPr>
        <w:t xml:space="preserve">National income inequality is measured by the Gini coefficient for disposable household income. Primary data sources are the OECD Income Distribution Database (IDD) and the World Bank's Development Indicators. For each observation, we match the Gini value to the country-decade corresponding to the median observation year of </w:t>
      </w:r>
      <w:r w:rsidRPr="003C1022">
        <w:rPr>
          <w:lang w:val="en-US"/>
        </w:rPr>
        <w:lastRenderedPageBreak/>
        <w:t>the study. For example, an observation with a median year of 1995 is matched to the country's Gini for the 1990s decade.</w:t>
      </w:r>
    </w:p>
    <w:p w14:paraId="6C7852BB" w14:textId="77777777" w:rsidR="003C1022" w:rsidRPr="003C1022" w:rsidRDefault="003C1022" w:rsidP="003C1022">
      <w:pPr>
        <w:rPr>
          <w:lang w:val="en-US"/>
        </w:rPr>
      </w:pPr>
      <w:r w:rsidRPr="003C1022">
        <w:rPr>
          <w:lang w:val="en-US"/>
        </w:rPr>
        <w:t>Where decade-level data are unavailable (e.g., for early observation periods), we use the earliest available Gini value for that country. Gini coefficients are expressed on the 0–100 scale. In all regressions, the Gini is mean-centered (subtracted from the sample mean of 31.0) to facilitate interpretation of main effects as effects at the average level of inequality.</w:t>
      </w:r>
    </w:p>
    <w:p w14:paraId="5F0ABDC7" w14:textId="77777777" w:rsidR="003C1022" w:rsidRPr="003C1022" w:rsidRDefault="003C1022" w:rsidP="003C1022">
      <w:pPr>
        <w:rPr>
          <w:lang w:val="en-US"/>
        </w:rPr>
      </w:pPr>
      <w:r w:rsidRPr="003C1022">
        <w:rPr>
          <w:b/>
          <w:lang w:val="en-US"/>
        </w:rPr>
        <w:t xml:space="preserve">B3. Methodological </w:t>
      </w:r>
      <w:proofErr w:type="gramStart"/>
      <w:r w:rsidRPr="003C1022">
        <w:rPr>
          <w:b/>
          <w:lang w:val="en-US"/>
        </w:rPr>
        <w:t>Control</w:t>
      </w:r>
      <w:proofErr w:type="gramEnd"/>
      <w:r w:rsidRPr="003C1022">
        <w:rPr>
          <w:b/>
          <w:lang w:val="en-US"/>
        </w:rPr>
        <w:t xml:space="preserve"> Variable Definitions</w:t>
      </w:r>
    </w:p>
    <w:p w14:paraId="3A1F6039" w14:textId="77777777" w:rsidR="003C1022" w:rsidRPr="003C1022" w:rsidRDefault="003C1022" w:rsidP="003C1022">
      <w:pPr>
        <w:rPr>
          <w:lang w:val="en-US"/>
        </w:rPr>
      </w:pPr>
      <w:r w:rsidRPr="003C1022">
        <w:rPr>
          <w:lang w:val="en-US"/>
        </w:rPr>
        <w:t xml:space="preserve">Data source type: Binary indicator equal to 1 for studies using administrative data (tax records, social security files, population registers) and 0 for survey-based data (PSID, SOEP, PIAAC, etc.). Administrative data typically </w:t>
      </w:r>
      <w:proofErr w:type="gramStart"/>
      <w:r w:rsidRPr="003C1022">
        <w:rPr>
          <w:lang w:val="en-US"/>
        </w:rPr>
        <w:t>provide</w:t>
      </w:r>
      <w:proofErr w:type="gramEnd"/>
      <w:r w:rsidRPr="003C1022">
        <w:rPr>
          <w:lang w:val="en-US"/>
        </w:rPr>
        <w:t xml:space="preserve"> larger samples and more accurate income measures, potentially yielding different mobility estimates than surveys.</w:t>
      </w:r>
    </w:p>
    <w:p w14:paraId="60BB37E2" w14:textId="77777777" w:rsidR="003C1022" w:rsidRPr="003C1022" w:rsidRDefault="003C1022" w:rsidP="003C1022">
      <w:pPr>
        <w:rPr>
          <w:lang w:val="en-US"/>
        </w:rPr>
      </w:pPr>
      <w:r w:rsidRPr="003C1022">
        <w:rPr>
          <w:lang w:val="en-US"/>
        </w:rPr>
        <w:t>Lifecycle correction: Binary indicator equal to 1 when the study applies age-based corrections to mitigate lifecycle bias, the tendency for income measured at different ages to yield different estimates of intergenerational persistence (Haider and Solon 2006). Common approaches include restricting the sample to prime-age workers (30–55) or controlling for age polynomials in the regression.</w:t>
      </w:r>
    </w:p>
    <w:p w14:paraId="095BB664" w14:textId="77777777" w:rsidR="003C1022" w:rsidRPr="003C1022" w:rsidRDefault="003C1022" w:rsidP="003C1022">
      <w:pPr>
        <w:rPr>
          <w:lang w:val="en-US"/>
        </w:rPr>
      </w:pPr>
      <w:r w:rsidRPr="003C1022">
        <w:rPr>
          <w:lang w:val="en-US"/>
        </w:rPr>
        <w:t>Measurement error correction: Binary indicator equal to 1 when the study applies corrections for measurement error in parental income, such as instrumental variables approaches, multi-year income averaging, or errors-in-variables estimators.</w:t>
      </w:r>
    </w:p>
    <w:p w14:paraId="1E70D347" w14:textId="77777777" w:rsidR="003C1022" w:rsidRPr="003C1022" w:rsidRDefault="003C1022" w:rsidP="003C1022">
      <w:pPr>
        <w:rPr>
          <w:lang w:val="en-US"/>
        </w:rPr>
      </w:pPr>
      <w:r w:rsidRPr="003C1022">
        <w:rPr>
          <w:lang w:val="en-US"/>
        </w:rPr>
        <w:br w:type="page"/>
      </w:r>
    </w:p>
    <w:p w14:paraId="69660011" w14:textId="77777777" w:rsidR="003C1022" w:rsidRPr="003C1022" w:rsidRDefault="003C1022" w:rsidP="003C1022">
      <w:pPr>
        <w:rPr>
          <w:lang w:val="en-US"/>
        </w:rPr>
      </w:pPr>
      <w:r w:rsidRPr="003C1022">
        <w:rPr>
          <w:b/>
          <w:lang w:val="en-US"/>
        </w:rPr>
        <w:lastRenderedPageBreak/>
        <w:t>Appendix C: Complete Study List with Extracted Data</w:t>
      </w:r>
    </w:p>
    <w:p w14:paraId="091D6BA3" w14:textId="77777777" w:rsidR="003C1022" w:rsidRPr="003C1022" w:rsidRDefault="003C1022" w:rsidP="003C1022">
      <w:pPr>
        <w:rPr>
          <w:lang w:val="en-US"/>
        </w:rPr>
      </w:pPr>
      <w:r w:rsidRPr="003C1022">
        <w:rPr>
          <w:lang w:val="en-US"/>
        </w:rPr>
        <w:t xml:space="preserve">The complete database of 51 observations from 31 studies is available in the supplementary materials file (meta_analysis_final_database.csv). Each observation </w:t>
      </w:r>
      <w:proofErr w:type="gramStart"/>
      <w:r w:rsidRPr="003C1022">
        <w:rPr>
          <w:lang w:val="en-US"/>
        </w:rPr>
        <w:t>includes:</w:t>
      </w:r>
      <w:proofErr w:type="gramEnd"/>
      <w:r w:rsidRPr="003C1022">
        <w:rPr>
          <w:lang w:val="en-US"/>
        </w:rPr>
        <w:t xml:space="preserve"> study identifier, authors, publication year, country, observation period, data source and type, sample size, population (immigrant children, general population, or native comparison), mobility estimate and standard error, effect-size family, policy category, Gini coefficient, and all methodological control variables. The database is structured for full reproducibility of all analyses presented in this paper.</w:t>
      </w:r>
    </w:p>
    <w:p w14:paraId="48B70F6D" w14:textId="77777777" w:rsidR="003C1022" w:rsidRPr="003C1022" w:rsidRDefault="003C1022" w:rsidP="003C1022">
      <w:pPr>
        <w:rPr>
          <w:lang w:val="en-US"/>
        </w:rPr>
      </w:pPr>
      <w:r w:rsidRPr="003C1022">
        <w:rPr>
          <w:lang w:val="en-US"/>
        </w:rPr>
        <w:t>Key observations include:</w:t>
      </w:r>
    </w:p>
    <w:p w14:paraId="31D79FD1" w14:textId="77777777" w:rsidR="003C1022" w:rsidRPr="003C1022" w:rsidRDefault="003C1022" w:rsidP="003C1022">
      <w:pPr>
        <w:rPr>
          <w:lang w:val="en-US"/>
        </w:rPr>
      </w:pPr>
      <w:r w:rsidRPr="003C1022">
        <w:rPr>
          <w:lang w:val="en-US"/>
        </w:rPr>
        <w:t>• Chetty et al. (2014): Rank-rank slope of 0.34 from U.S. tax records, N = 10,000,000, the largest-sample estimate in the database.</w:t>
      </w:r>
    </w:p>
    <w:p w14:paraId="381AD8E3" w14:textId="77777777" w:rsidR="003C1022" w:rsidRPr="003C1022" w:rsidRDefault="003C1022" w:rsidP="003C1022">
      <w:pPr>
        <w:rPr>
          <w:lang w:val="en-US"/>
        </w:rPr>
      </w:pPr>
      <w:r w:rsidRPr="003C1022">
        <w:rPr>
          <w:lang w:val="en-US"/>
        </w:rPr>
        <w:t xml:space="preserve">• </w:t>
      </w:r>
      <w:proofErr w:type="spellStart"/>
      <w:r w:rsidRPr="003C1022">
        <w:rPr>
          <w:lang w:val="en-US"/>
        </w:rPr>
        <w:t>Abramitzky</w:t>
      </w:r>
      <w:proofErr w:type="spellEnd"/>
      <w:r w:rsidRPr="003C1022">
        <w:rPr>
          <w:lang w:val="en-US"/>
        </w:rPr>
        <w:t xml:space="preserve"> et al. (2021): Two observations (historical and modern cohorts) providing rank-rank slopes for U.S. immigrant children, demonstrating stability of the immigrant advantage across more than a century.</w:t>
      </w:r>
    </w:p>
    <w:p w14:paraId="78FF4CA3" w14:textId="77777777" w:rsidR="003C1022" w:rsidRPr="003C1022" w:rsidRDefault="003C1022" w:rsidP="003C1022">
      <w:pPr>
        <w:rPr>
          <w:lang w:val="en-US"/>
        </w:rPr>
      </w:pPr>
      <w:r w:rsidRPr="003C1022">
        <w:rPr>
          <w:lang w:val="en-US"/>
        </w:rPr>
        <w:t>• Adnan, Zhang, and Zheng (2023): Two observations distinguishing refugee (0.25) and economic immigrant (0.27) children in Canada, providing the first direct comparison of mobility by admission class.</w:t>
      </w:r>
    </w:p>
    <w:p w14:paraId="752BF0B0" w14:textId="77777777" w:rsidR="003C1022" w:rsidRPr="003C1022" w:rsidRDefault="003C1022" w:rsidP="003C1022">
      <w:pPr>
        <w:rPr>
          <w:lang w:val="en-US"/>
        </w:rPr>
      </w:pPr>
      <w:r w:rsidRPr="003C1022">
        <w:rPr>
          <w:lang w:val="en-US"/>
        </w:rPr>
        <w:t xml:space="preserve">• </w:t>
      </w:r>
      <w:proofErr w:type="spellStart"/>
      <w:r w:rsidRPr="003C1022">
        <w:rPr>
          <w:lang w:val="en-US"/>
        </w:rPr>
        <w:t>Boustan</w:t>
      </w:r>
      <w:proofErr w:type="spellEnd"/>
      <w:r w:rsidRPr="003C1022">
        <w:rPr>
          <w:lang w:val="en-US"/>
        </w:rPr>
        <w:t xml:space="preserve"> et al. (2025): Eight observations across destination countries (US, Canada, Australia, Denmark, Norway, Sweden, UK, Netherlands) from a single comparative study, providing the most internally consistent cross-country estimates.</w:t>
      </w:r>
    </w:p>
    <w:p w14:paraId="31BD8A4C" w14:textId="77777777" w:rsidR="003C1022" w:rsidRPr="003C1022" w:rsidRDefault="003C1022" w:rsidP="003C1022">
      <w:pPr>
        <w:rPr>
          <w:lang w:val="en-US"/>
        </w:rPr>
      </w:pPr>
      <w:r w:rsidRPr="003C1022">
        <w:rPr>
          <w:lang w:val="en-US"/>
        </w:rPr>
        <w:t xml:space="preserve">• Jäntti et al. (2006): IGE of 0.08 for Denmark, the lowest persistence </w:t>
      </w:r>
      <w:proofErr w:type="gramStart"/>
      <w:r w:rsidRPr="003C1022">
        <w:rPr>
          <w:lang w:val="en-US"/>
        </w:rPr>
        <w:t>estimate</w:t>
      </w:r>
      <w:proofErr w:type="gramEnd"/>
      <w:r w:rsidRPr="003C1022">
        <w:rPr>
          <w:lang w:val="en-US"/>
        </w:rPr>
        <w:t xml:space="preserve"> in the database, reflecting both genuine high mobility and the comprehensive welfare and settlement infrastructure.</w:t>
      </w:r>
    </w:p>
    <w:p w14:paraId="4F6F50E9" w14:textId="77777777" w:rsidR="003C1022" w:rsidRPr="003C1022" w:rsidRDefault="003C1022" w:rsidP="003C1022">
      <w:pPr>
        <w:rPr>
          <w:lang w:val="en-US"/>
        </w:rPr>
      </w:pPr>
    </w:p>
    <w:p w14:paraId="7C7FE989" w14:textId="77777777" w:rsidR="003C1022" w:rsidRPr="003C1022" w:rsidRDefault="003C1022" w:rsidP="003C1022">
      <w:pPr>
        <w:rPr>
          <w:lang w:val="en-US"/>
        </w:rPr>
      </w:pPr>
    </w:p>
    <w:p w14:paraId="522F2661" w14:textId="77777777" w:rsidR="003C1022" w:rsidRPr="003C1022" w:rsidRDefault="003C1022" w:rsidP="003C1022">
      <w:pPr>
        <w:rPr>
          <w:lang w:val="en-US"/>
        </w:rPr>
      </w:pPr>
      <w:r w:rsidRPr="003C1022">
        <w:rPr>
          <w:lang w:val="en-US"/>
        </w:rPr>
        <w:tab/>
      </w:r>
    </w:p>
    <w:p w14:paraId="173E1566" w14:textId="77777777" w:rsidR="00767E38" w:rsidRDefault="00767E38"/>
    <w:sectPr w:rsidR="00767E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022"/>
    <w:rsid w:val="003C1022"/>
    <w:rsid w:val="00767E38"/>
    <w:rsid w:val="00866F7D"/>
    <w:rsid w:val="00DF334F"/>
    <w:rsid w:val="00EE5C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75186"/>
  <w15:chartTrackingRefBased/>
  <w15:docId w15:val="{B7159150-914D-4CB5-AA00-5284DC2EC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10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10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10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10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10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10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10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10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10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10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10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10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10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10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10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10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10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1022"/>
    <w:rPr>
      <w:rFonts w:eastAsiaTheme="majorEastAsia" w:cstheme="majorBidi"/>
      <w:color w:val="272727" w:themeColor="text1" w:themeTint="D8"/>
    </w:rPr>
  </w:style>
  <w:style w:type="paragraph" w:styleId="Title">
    <w:name w:val="Title"/>
    <w:basedOn w:val="Normal"/>
    <w:next w:val="Normal"/>
    <w:link w:val="TitleChar"/>
    <w:uiPriority w:val="10"/>
    <w:qFormat/>
    <w:rsid w:val="003C10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10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10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10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1022"/>
    <w:pPr>
      <w:spacing w:before="160"/>
      <w:jc w:val="center"/>
    </w:pPr>
    <w:rPr>
      <w:i/>
      <w:iCs/>
      <w:color w:val="404040" w:themeColor="text1" w:themeTint="BF"/>
    </w:rPr>
  </w:style>
  <w:style w:type="character" w:customStyle="1" w:styleId="QuoteChar">
    <w:name w:val="Quote Char"/>
    <w:basedOn w:val="DefaultParagraphFont"/>
    <w:link w:val="Quote"/>
    <w:uiPriority w:val="29"/>
    <w:rsid w:val="003C1022"/>
    <w:rPr>
      <w:i/>
      <w:iCs/>
      <w:color w:val="404040" w:themeColor="text1" w:themeTint="BF"/>
    </w:rPr>
  </w:style>
  <w:style w:type="paragraph" w:styleId="ListParagraph">
    <w:name w:val="List Paragraph"/>
    <w:basedOn w:val="Normal"/>
    <w:uiPriority w:val="34"/>
    <w:qFormat/>
    <w:rsid w:val="003C1022"/>
    <w:pPr>
      <w:ind w:left="720"/>
      <w:contextualSpacing/>
    </w:pPr>
  </w:style>
  <w:style w:type="character" w:styleId="IntenseEmphasis">
    <w:name w:val="Intense Emphasis"/>
    <w:basedOn w:val="DefaultParagraphFont"/>
    <w:uiPriority w:val="21"/>
    <w:qFormat/>
    <w:rsid w:val="003C1022"/>
    <w:rPr>
      <w:i/>
      <w:iCs/>
      <w:color w:val="0F4761" w:themeColor="accent1" w:themeShade="BF"/>
    </w:rPr>
  </w:style>
  <w:style w:type="paragraph" w:styleId="IntenseQuote">
    <w:name w:val="Intense Quote"/>
    <w:basedOn w:val="Normal"/>
    <w:next w:val="Normal"/>
    <w:link w:val="IntenseQuoteChar"/>
    <w:uiPriority w:val="30"/>
    <w:qFormat/>
    <w:rsid w:val="003C10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1022"/>
    <w:rPr>
      <w:i/>
      <w:iCs/>
      <w:color w:val="0F4761" w:themeColor="accent1" w:themeShade="BF"/>
    </w:rPr>
  </w:style>
  <w:style w:type="character" w:styleId="IntenseReference">
    <w:name w:val="Intense Reference"/>
    <w:basedOn w:val="DefaultParagraphFont"/>
    <w:uiPriority w:val="32"/>
    <w:qFormat/>
    <w:rsid w:val="003C102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875</Words>
  <Characters>4990</Characters>
  <Application>Microsoft Office Word</Application>
  <DocSecurity>0</DocSecurity>
  <Lines>41</Lines>
  <Paragraphs>11</Paragraphs>
  <ScaleCrop>false</ScaleCrop>
  <Company/>
  <LinksUpToDate>false</LinksUpToDate>
  <CharactersWithSpaces>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Bhushan Tandale</dc:creator>
  <cp:keywords/>
  <dc:description/>
  <cp:lastModifiedBy>Bhushan Tandale</cp:lastModifiedBy>
  <cp:revision>1</cp:revision>
  <dcterms:created xsi:type="dcterms:W3CDTF">2026-09-30T12:11:00Z</dcterms:created>
  <dcterms:modified xsi:type="dcterms:W3CDTF">2026-09-30T12:11:00Z</dcterms:modified>
</cp:coreProperties>
</file>