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5400AC" w14:textId="77777777" w:rsidR="001D52FF" w:rsidRDefault="001D52FF" w:rsidP="001D52FF">
      <w:pPr>
        <w:contextualSpacing/>
        <w:jc w:val="center"/>
        <w:rPr>
          <w:rFonts w:ascii="Times" w:hAnsi="Times" w:cs="Times"/>
          <w:b/>
          <w:u w:val="single"/>
        </w:rPr>
      </w:pPr>
      <w:r>
        <w:rPr>
          <w:rFonts w:ascii="Times New Roman" w:hAnsi="Times New Roman" w:cs="Times New Roman"/>
          <w:b/>
        </w:rPr>
        <w:t>A</w:t>
      </w:r>
      <w:r w:rsidRPr="00015E4A">
        <w:rPr>
          <w:rFonts w:ascii="Times New Roman" w:hAnsi="Times New Roman" w:cs="Times New Roman"/>
          <w:b/>
        </w:rPr>
        <w:t xml:space="preserve"> Consensus Definition of Supratotal Resection for Anatomically Distinct Primary Glioblastoma</w:t>
      </w:r>
      <w:r>
        <w:rPr>
          <w:rFonts w:ascii="Times New Roman" w:hAnsi="Times New Roman" w:cs="Times New Roman"/>
          <w:b/>
        </w:rPr>
        <w:t>: An AANS/CNS Section on Tumors Survey of</w:t>
      </w:r>
      <w:r w:rsidRPr="00015E4A">
        <w:rPr>
          <w:rFonts w:ascii="Times New Roman" w:hAnsi="Times New Roman" w:cs="Times New Roman"/>
          <w:b/>
        </w:rPr>
        <w:t xml:space="preserve"> Neurosurgical Oncologists</w:t>
      </w:r>
    </w:p>
    <w:p w14:paraId="1D02389D" w14:textId="77777777" w:rsidR="00161294" w:rsidRPr="00161294" w:rsidRDefault="00161294" w:rsidP="00161294">
      <w:pPr>
        <w:jc w:val="center"/>
        <w:rPr>
          <w:rFonts w:ascii="Times New Roman" w:hAnsi="Times New Roman" w:cs="Times New Roman"/>
          <w:b/>
        </w:rPr>
      </w:pPr>
    </w:p>
    <w:p w14:paraId="624EA601" w14:textId="767E1BD6" w:rsidR="00BA693F" w:rsidRDefault="00161294">
      <w:pPr>
        <w:rPr>
          <w:rFonts w:ascii="Times New Roman" w:hAnsi="Times New Roman" w:cs="Times New Roman"/>
          <w:b/>
          <w:u w:val="single"/>
        </w:rPr>
      </w:pPr>
      <w:r w:rsidRPr="00161294">
        <w:rPr>
          <w:rFonts w:ascii="Times New Roman" w:hAnsi="Times New Roman" w:cs="Times New Roman"/>
          <w:b/>
          <w:u w:val="single"/>
        </w:rPr>
        <w:t>Supplementary Content</w:t>
      </w:r>
    </w:p>
    <w:p w14:paraId="0B1DD034" w14:textId="77777777" w:rsidR="00161294" w:rsidRDefault="00161294">
      <w:pPr>
        <w:rPr>
          <w:rFonts w:ascii="Times New Roman" w:hAnsi="Times New Roman" w:cs="Times New Roman"/>
          <w:b/>
          <w:u w:val="single"/>
        </w:rPr>
      </w:pPr>
    </w:p>
    <w:p w14:paraId="15E478C0" w14:textId="3B7DD9C6" w:rsidR="003D79B1" w:rsidRDefault="003D79B1">
      <w:pPr>
        <w:rPr>
          <w:rFonts w:ascii="Times New Roman" w:hAnsi="Times New Roman" w:cs="Times New Roman"/>
        </w:rPr>
      </w:pPr>
      <w:proofErr w:type="spellStart"/>
      <w:r w:rsidRPr="003D79B1">
        <w:rPr>
          <w:rFonts w:ascii="Times New Roman" w:hAnsi="Times New Roman" w:cs="Times New Roman"/>
          <w:b/>
        </w:rPr>
        <w:t>eMethods</w:t>
      </w:r>
      <w:proofErr w:type="spellEnd"/>
      <w:r w:rsidRPr="003D79B1">
        <w:rPr>
          <w:rFonts w:ascii="Times New Roman" w:hAnsi="Times New Roman" w:cs="Times New Roman"/>
          <w:b/>
        </w:rPr>
        <w:t xml:space="preserve"> 1.</w:t>
      </w:r>
      <w:r>
        <w:rPr>
          <w:rFonts w:ascii="Times New Roman" w:hAnsi="Times New Roman" w:cs="Times New Roman"/>
        </w:rPr>
        <w:t xml:space="preserve"> </w:t>
      </w:r>
      <w:r w:rsidR="001D52FF">
        <w:rPr>
          <w:rFonts w:ascii="Times New Roman" w:hAnsi="Times New Roman" w:cs="Times New Roman"/>
        </w:rPr>
        <w:t>Survey Creation</w:t>
      </w:r>
    </w:p>
    <w:p w14:paraId="66184FFA" w14:textId="77777777" w:rsidR="001D52FF" w:rsidRDefault="001D52FF">
      <w:pPr>
        <w:rPr>
          <w:rFonts w:ascii="Times New Roman" w:hAnsi="Times New Roman" w:cs="Times New Roman"/>
        </w:rPr>
      </w:pPr>
    </w:p>
    <w:p w14:paraId="78F91E69" w14:textId="0430A651" w:rsidR="003D79B1" w:rsidRDefault="003D79B1">
      <w:pPr>
        <w:rPr>
          <w:rFonts w:ascii="Times New Roman" w:hAnsi="Times New Roman" w:cs="Times New Roman"/>
        </w:rPr>
      </w:pPr>
      <w:proofErr w:type="spellStart"/>
      <w:r>
        <w:rPr>
          <w:rFonts w:ascii="Times New Roman" w:hAnsi="Times New Roman" w:cs="Times New Roman"/>
          <w:b/>
        </w:rPr>
        <w:t>eMethods</w:t>
      </w:r>
      <w:proofErr w:type="spellEnd"/>
      <w:r>
        <w:rPr>
          <w:rFonts w:ascii="Times New Roman" w:hAnsi="Times New Roman" w:cs="Times New Roman"/>
          <w:b/>
        </w:rPr>
        <w:t xml:space="preserve"> 2. </w:t>
      </w:r>
      <w:r w:rsidR="001D52FF">
        <w:rPr>
          <w:rFonts w:ascii="Times New Roman" w:hAnsi="Times New Roman" w:cs="Times New Roman"/>
        </w:rPr>
        <w:t>Survey Distribution and Data Collection</w:t>
      </w:r>
    </w:p>
    <w:p w14:paraId="4CDCAE4B" w14:textId="77777777" w:rsidR="003D79B1" w:rsidRDefault="003D79B1">
      <w:pPr>
        <w:rPr>
          <w:rFonts w:ascii="Times New Roman" w:hAnsi="Times New Roman" w:cs="Times New Roman"/>
        </w:rPr>
      </w:pPr>
    </w:p>
    <w:p w14:paraId="2448AD3F" w14:textId="4F6A14E4" w:rsidR="00E12AB2" w:rsidRDefault="003D79B1">
      <w:pPr>
        <w:rPr>
          <w:rFonts w:ascii="Times New Roman" w:hAnsi="Times New Roman" w:cs="Times New Roman"/>
        </w:rPr>
      </w:pPr>
      <w:proofErr w:type="spellStart"/>
      <w:r>
        <w:rPr>
          <w:rFonts w:ascii="Times New Roman" w:hAnsi="Times New Roman" w:cs="Times New Roman"/>
          <w:b/>
        </w:rPr>
        <w:t>eMethods</w:t>
      </w:r>
      <w:proofErr w:type="spellEnd"/>
      <w:r>
        <w:rPr>
          <w:rFonts w:ascii="Times New Roman" w:hAnsi="Times New Roman" w:cs="Times New Roman"/>
          <w:b/>
        </w:rPr>
        <w:t xml:space="preserve"> 3. </w:t>
      </w:r>
      <w:r>
        <w:rPr>
          <w:rFonts w:ascii="Times New Roman" w:hAnsi="Times New Roman" w:cs="Times New Roman"/>
        </w:rPr>
        <w:t>Statistical Analysis</w:t>
      </w:r>
    </w:p>
    <w:p w14:paraId="1859F1D7" w14:textId="77777777" w:rsidR="001F295F" w:rsidRDefault="001F295F">
      <w:pPr>
        <w:rPr>
          <w:rFonts w:ascii="Times New Roman" w:hAnsi="Times New Roman" w:cs="Times New Roman"/>
        </w:rPr>
      </w:pPr>
    </w:p>
    <w:p w14:paraId="15244E96" w14:textId="77777777" w:rsidR="00A96296" w:rsidRDefault="001F295F">
      <w:pPr>
        <w:rPr>
          <w:rFonts w:ascii="Times New Roman" w:hAnsi="Times New Roman" w:cs="Times New Roman"/>
        </w:rPr>
      </w:pPr>
      <w:proofErr w:type="spellStart"/>
      <w:r>
        <w:rPr>
          <w:rFonts w:ascii="Times New Roman" w:hAnsi="Times New Roman" w:cs="Times New Roman"/>
          <w:b/>
          <w:bCs/>
        </w:rPr>
        <w:t>eTable</w:t>
      </w:r>
      <w:proofErr w:type="spellEnd"/>
      <w:r>
        <w:rPr>
          <w:rFonts w:ascii="Times New Roman" w:hAnsi="Times New Roman" w:cs="Times New Roman"/>
          <w:b/>
          <w:bCs/>
        </w:rPr>
        <w:t xml:space="preserve"> 1. </w:t>
      </w:r>
      <w:r>
        <w:rPr>
          <w:rFonts w:ascii="Times New Roman" w:hAnsi="Times New Roman" w:cs="Times New Roman"/>
        </w:rPr>
        <w:t>Selection of SpTR as a Treatment Plan for Anatomically Distinct GBMs by SpTR Experts and General Neurosurgical Oncologists</w:t>
      </w:r>
    </w:p>
    <w:p w14:paraId="4A737F1C" w14:textId="77777777" w:rsidR="00A96296" w:rsidRDefault="00A96296">
      <w:pPr>
        <w:rPr>
          <w:rFonts w:ascii="Times New Roman" w:hAnsi="Times New Roman" w:cs="Times New Roman"/>
        </w:rPr>
      </w:pPr>
    </w:p>
    <w:p w14:paraId="3BAF0B49" w14:textId="716AC167" w:rsidR="00A96296" w:rsidRPr="00A96296" w:rsidRDefault="00A96296">
      <w:pPr>
        <w:rPr>
          <w:rFonts w:ascii="Times New Roman" w:hAnsi="Times New Roman" w:cs="Times New Roman"/>
        </w:rPr>
      </w:pPr>
      <w:proofErr w:type="spellStart"/>
      <w:r w:rsidRPr="00A96296">
        <w:rPr>
          <w:rFonts w:ascii="Times New Roman" w:hAnsi="Times New Roman" w:cs="Times New Roman"/>
          <w:b/>
          <w:bCs/>
        </w:rPr>
        <w:t>eFigure</w:t>
      </w:r>
      <w:proofErr w:type="spellEnd"/>
      <w:r w:rsidRPr="00A96296">
        <w:rPr>
          <w:rFonts w:ascii="Times New Roman" w:hAnsi="Times New Roman" w:cs="Times New Roman"/>
          <w:b/>
          <w:bCs/>
        </w:rPr>
        <w:t xml:space="preserve"> 1.</w:t>
      </w:r>
      <w:r>
        <w:rPr>
          <w:rFonts w:ascii="Times New Roman" w:hAnsi="Times New Roman" w:cs="Times New Roman"/>
          <w:b/>
          <w:bCs/>
        </w:rPr>
        <w:t xml:space="preserve"> </w:t>
      </w:r>
      <w:r>
        <w:rPr>
          <w:rFonts w:ascii="Times New Roman" w:hAnsi="Times New Roman" w:cs="Times New Roman"/>
        </w:rPr>
        <w:t>Adjunctive Tools and Methods Preferred During Resection of Anatomically Distinct GBM</w:t>
      </w:r>
    </w:p>
    <w:p w14:paraId="381A4242" w14:textId="03C8714B" w:rsidR="003D79B1" w:rsidRPr="00A96296" w:rsidRDefault="003D79B1">
      <w:pPr>
        <w:rPr>
          <w:rFonts w:ascii="Times New Roman" w:hAnsi="Times New Roman" w:cs="Times New Roman"/>
          <w:b/>
          <w:bCs/>
        </w:rPr>
      </w:pPr>
      <w:r w:rsidRPr="00A96296">
        <w:rPr>
          <w:rFonts w:ascii="Times New Roman" w:hAnsi="Times New Roman" w:cs="Times New Roman"/>
          <w:b/>
          <w:bCs/>
        </w:rPr>
        <w:br w:type="page"/>
      </w:r>
    </w:p>
    <w:p w14:paraId="6E658316" w14:textId="77777777" w:rsidR="00161294" w:rsidRDefault="00161294">
      <w:pPr>
        <w:rPr>
          <w:rFonts w:ascii="Times New Roman" w:hAnsi="Times New Roman" w:cs="Times New Roman"/>
        </w:rPr>
      </w:pPr>
    </w:p>
    <w:p w14:paraId="4453EB56" w14:textId="77777777" w:rsidR="003D79B1" w:rsidRDefault="003D79B1">
      <w:pPr>
        <w:rPr>
          <w:rFonts w:ascii="Times New Roman" w:hAnsi="Times New Roman" w:cs="Times New Roman"/>
        </w:rPr>
      </w:pPr>
    </w:p>
    <w:p w14:paraId="62782392" w14:textId="3100BE2C" w:rsidR="003D79B1" w:rsidRPr="004A3A6A" w:rsidRDefault="003D79B1">
      <w:pPr>
        <w:rPr>
          <w:rFonts w:ascii="Times New Roman" w:hAnsi="Times New Roman" w:cs="Times New Roman"/>
          <w:b/>
        </w:rPr>
      </w:pPr>
      <w:proofErr w:type="spellStart"/>
      <w:r w:rsidRPr="003D79B1">
        <w:rPr>
          <w:rFonts w:ascii="Times New Roman" w:hAnsi="Times New Roman" w:cs="Times New Roman"/>
          <w:b/>
        </w:rPr>
        <w:t>eMethods</w:t>
      </w:r>
      <w:proofErr w:type="spellEnd"/>
      <w:r w:rsidRPr="003D79B1">
        <w:rPr>
          <w:rFonts w:ascii="Times New Roman" w:hAnsi="Times New Roman" w:cs="Times New Roman"/>
          <w:b/>
        </w:rPr>
        <w:t xml:space="preserve"> 1.</w:t>
      </w:r>
      <w:r>
        <w:rPr>
          <w:rFonts w:ascii="Times New Roman" w:hAnsi="Times New Roman" w:cs="Times New Roman"/>
          <w:b/>
        </w:rPr>
        <w:t xml:space="preserve"> </w:t>
      </w:r>
      <w:r w:rsidR="001D52FF">
        <w:rPr>
          <w:rFonts w:ascii="Times New Roman" w:hAnsi="Times New Roman" w:cs="Times New Roman"/>
          <w:b/>
        </w:rPr>
        <w:t>Survey Creation</w:t>
      </w:r>
    </w:p>
    <w:p w14:paraId="74C27C9A" w14:textId="77777777" w:rsidR="003D79B1" w:rsidRDefault="003D79B1">
      <w:pPr>
        <w:rPr>
          <w:rFonts w:ascii="Times New Roman" w:hAnsi="Times New Roman" w:cs="Times New Roman"/>
        </w:rPr>
      </w:pPr>
    </w:p>
    <w:p w14:paraId="00EFDF76" w14:textId="0B370B5F" w:rsidR="003D79B1" w:rsidRPr="001D52FF" w:rsidRDefault="003D79B1" w:rsidP="001D52FF">
      <w:pPr>
        <w:ind w:firstLine="720"/>
        <w:rPr>
          <w:rFonts w:ascii="Times New Roman" w:hAnsi="Times New Roman" w:cs="Times New Roman"/>
          <w:sz w:val="20"/>
          <w:szCs w:val="20"/>
        </w:rPr>
      </w:pPr>
      <w:r w:rsidRPr="004A3A6A">
        <w:rPr>
          <w:rFonts w:ascii="Times New Roman" w:hAnsi="Times New Roman" w:cs="Times New Roman"/>
          <w:sz w:val="20"/>
          <w:szCs w:val="20"/>
        </w:rPr>
        <w:t>In</w:t>
      </w:r>
      <w:r w:rsidRPr="004A3A6A">
        <w:rPr>
          <w:rFonts w:ascii="Times New Roman" w:hAnsi="Times New Roman" w:cs="Times New Roman"/>
          <w:b/>
          <w:sz w:val="20"/>
          <w:szCs w:val="20"/>
        </w:rPr>
        <w:t xml:space="preserve"> </w:t>
      </w:r>
      <w:r w:rsidRPr="004A3A6A">
        <w:rPr>
          <w:rFonts w:ascii="Times New Roman" w:hAnsi="Times New Roman" w:cs="Times New Roman"/>
          <w:sz w:val="20"/>
          <w:szCs w:val="20"/>
        </w:rPr>
        <w:t>order to identify the definitions of SpTR that have previously been used in studies involving GBM, a comprehensive literature search was performed utilizing six databases including PubMed (pubmed.gov), Excerpta Medica Database (Embase, embase.com), The Cochrane Library via Wiley, Web of Science via Clarivate, Scopus via Elsevier, and clinicaltrials.gov from their inception through August 16, 2018.</w:t>
      </w:r>
      <w:r w:rsidR="001D52FF">
        <w:rPr>
          <w:rFonts w:ascii="Times New Roman" w:hAnsi="Times New Roman" w:cs="Times New Roman"/>
          <w:sz w:val="20"/>
          <w:szCs w:val="20"/>
        </w:rPr>
        <w:t xml:space="preserve"> </w:t>
      </w:r>
      <w:r w:rsidR="001D52FF" w:rsidRPr="001D52FF">
        <w:rPr>
          <w:rFonts w:ascii="Times New Roman" w:hAnsi="Times New Roman" w:cs="Times New Roman"/>
          <w:sz w:val="20"/>
          <w:szCs w:val="20"/>
        </w:rPr>
        <w:t>The definitions of eloquence that have previously been used to characterize cortical and subcortical regions of the brain were also identified through a literature search.</w:t>
      </w:r>
    </w:p>
    <w:p w14:paraId="0816A616" w14:textId="77777777" w:rsidR="001D52FF" w:rsidRDefault="003D79B1" w:rsidP="003D79B1">
      <w:pPr>
        <w:ind w:firstLine="720"/>
        <w:contextualSpacing/>
        <w:rPr>
          <w:rFonts w:ascii="Times New Roman" w:hAnsi="Times New Roman" w:cs="Times New Roman"/>
          <w:sz w:val="20"/>
          <w:szCs w:val="20"/>
        </w:rPr>
      </w:pPr>
      <w:r w:rsidRPr="004A3A6A">
        <w:rPr>
          <w:rFonts w:ascii="Times New Roman" w:hAnsi="Times New Roman" w:cs="Times New Roman"/>
          <w:sz w:val="20"/>
          <w:szCs w:val="20"/>
        </w:rPr>
        <w:t xml:space="preserve">Preoperative MRI data was sourced from </w:t>
      </w:r>
      <w:r w:rsidR="001D52FF">
        <w:rPr>
          <w:rFonts w:ascii="Times New Roman" w:hAnsi="Times New Roman" w:cs="Times New Roman"/>
          <w:sz w:val="20"/>
          <w:szCs w:val="20"/>
        </w:rPr>
        <w:t>10</w:t>
      </w:r>
      <w:r w:rsidRPr="004A3A6A">
        <w:rPr>
          <w:rFonts w:ascii="Times New Roman" w:hAnsi="Times New Roman" w:cs="Times New Roman"/>
          <w:sz w:val="20"/>
          <w:szCs w:val="20"/>
        </w:rPr>
        <w:t xml:space="preserve"> de-identified adult (≥18 years) patients diagnosed with primary GBM and treated surgically at a single, quaternary care, academic medical center between the years 2016 and 2019. Initially, 191 GBM patients were identified from an existing dataset, and the final </w:t>
      </w:r>
      <w:r w:rsidR="001D52FF">
        <w:rPr>
          <w:rFonts w:ascii="Times New Roman" w:hAnsi="Times New Roman" w:cs="Times New Roman"/>
          <w:sz w:val="20"/>
          <w:szCs w:val="20"/>
        </w:rPr>
        <w:t>10</w:t>
      </w:r>
      <w:r w:rsidRPr="004A3A6A">
        <w:rPr>
          <w:rFonts w:ascii="Times New Roman" w:hAnsi="Times New Roman" w:cs="Times New Roman"/>
          <w:sz w:val="20"/>
          <w:szCs w:val="20"/>
        </w:rPr>
        <w:t xml:space="preserve"> patients were selected to represent lesions involving a variety of anatomical locations. Each patient was younger than 65 years of age and had a </w:t>
      </w:r>
      <w:proofErr w:type="spellStart"/>
      <w:r w:rsidRPr="004A3A6A">
        <w:rPr>
          <w:rFonts w:ascii="Times New Roman" w:hAnsi="Times New Roman" w:cs="Times New Roman"/>
          <w:sz w:val="20"/>
          <w:szCs w:val="20"/>
        </w:rPr>
        <w:t>Karnofsky</w:t>
      </w:r>
      <w:proofErr w:type="spellEnd"/>
      <w:r w:rsidRPr="004A3A6A">
        <w:rPr>
          <w:rFonts w:ascii="Times New Roman" w:hAnsi="Times New Roman" w:cs="Times New Roman"/>
          <w:sz w:val="20"/>
          <w:szCs w:val="20"/>
        </w:rPr>
        <w:t xml:space="preserve"> Performance Status (KPS) score greater than 70.</w:t>
      </w:r>
    </w:p>
    <w:p w14:paraId="3A4D1B38" w14:textId="77777777" w:rsidR="001D52FF" w:rsidRPr="00E12AB2" w:rsidRDefault="001D52FF" w:rsidP="003D79B1">
      <w:pPr>
        <w:ind w:firstLine="720"/>
        <w:contextualSpacing/>
        <w:rPr>
          <w:rFonts w:ascii="Times New Roman" w:hAnsi="Times New Roman" w:cs="Times New Roman"/>
        </w:rPr>
      </w:pPr>
    </w:p>
    <w:p w14:paraId="5ADBA1A8" w14:textId="6C76CACA" w:rsidR="00E12AB2" w:rsidRPr="004A3A6A" w:rsidRDefault="00E12AB2" w:rsidP="00E12AB2">
      <w:pPr>
        <w:rPr>
          <w:rFonts w:ascii="Times New Roman" w:hAnsi="Times New Roman" w:cs="Times New Roman"/>
          <w:b/>
        </w:rPr>
      </w:pPr>
      <w:proofErr w:type="spellStart"/>
      <w:r w:rsidRPr="003D79B1">
        <w:rPr>
          <w:rFonts w:ascii="Times New Roman" w:hAnsi="Times New Roman" w:cs="Times New Roman"/>
          <w:b/>
        </w:rPr>
        <w:t>eMethods</w:t>
      </w:r>
      <w:proofErr w:type="spellEnd"/>
      <w:r w:rsidRPr="003D79B1">
        <w:rPr>
          <w:rFonts w:ascii="Times New Roman" w:hAnsi="Times New Roman" w:cs="Times New Roman"/>
          <w:b/>
        </w:rPr>
        <w:t xml:space="preserve"> </w:t>
      </w:r>
      <w:r>
        <w:rPr>
          <w:rFonts w:ascii="Times New Roman" w:hAnsi="Times New Roman" w:cs="Times New Roman"/>
          <w:b/>
        </w:rPr>
        <w:t>2</w:t>
      </w:r>
      <w:r w:rsidRPr="003D79B1">
        <w:rPr>
          <w:rFonts w:ascii="Times New Roman" w:hAnsi="Times New Roman" w:cs="Times New Roman"/>
          <w:b/>
        </w:rPr>
        <w:t>.</w:t>
      </w:r>
      <w:r>
        <w:rPr>
          <w:rFonts w:ascii="Times New Roman" w:hAnsi="Times New Roman" w:cs="Times New Roman"/>
          <w:b/>
        </w:rPr>
        <w:t xml:space="preserve"> Survey Distribution and Data Collection</w:t>
      </w:r>
    </w:p>
    <w:p w14:paraId="64B77654" w14:textId="77777777" w:rsidR="001D52FF" w:rsidRDefault="001D52FF" w:rsidP="00E12AB2">
      <w:pPr>
        <w:contextualSpacing/>
        <w:rPr>
          <w:rFonts w:ascii="Times New Roman" w:hAnsi="Times New Roman" w:cs="Times New Roman"/>
          <w:sz w:val="20"/>
          <w:szCs w:val="20"/>
        </w:rPr>
      </w:pPr>
    </w:p>
    <w:p w14:paraId="1368920C" w14:textId="77777777" w:rsidR="00E12AB2" w:rsidRDefault="00E12AB2" w:rsidP="003D79B1">
      <w:pPr>
        <w:ind w:firstLine="720"/>
        <w:contextualSpacing/>
        <w:rPr>
          <w:rFonts w:ascii="Times New Roman" w:hAnsi="Times New Roman" w:cs="Times New Roman"/>
          <w:sz w:val="20"/>
          <w:szCs w:val="20"/>
        </w:rPr>
      </w:pPr>
      <w:r>
        <w:rPr>
          <w:rFonts w:ascii="Times New Roman" w:hAnsi="Times New Roman" w:cs="Times New Roman"/>
          <w:sz w:val="20"/>
          <w:szCs w:val="20"/>
        </w:rPr>
        <w:t xml:space="preserve">Demographic information collected from each survey respondent included: </w:t>
      </w:r>
      <w:r w:rsidRPr="00E12AB2">
        <w:rPr>
          <w:rFonts w:ascii="Times New Roman" w:hAnsi="Times New Roman" w:cs="Times New Roman"/>
          <w:sz w:val="20"/>
          <w:szCs w:val="20"/>
        </w:rPr>
        <w:t>years in practice, practice setting and focus, fellowship training in neuro-oncology, adjunct methods routinely used during GBM resection, training in intraoperative mapping, and operative volume.</w:t>
      </w:r>
    </w:p>
    <w:p w14:paraId="75CEB436" w14:textId="3F815F71" w:rsidR="003D79B1" w:rsidRDefault="00E12AB2" w:rsidP="00E12AB2">
      <w:pPr>
        <w:ind w:firstLine="720"/>
        <w:rPr>
          <w:rFonts w:ascii="Times New Roman" w:hAnsi="Times New Roman" w:cs="Times New Roman"/>
          <w:sz w:val="20"/>
          <w:szCs w:val="20"/>
        </w:rPr>
      </w:pPr>
      <w:r>
        <w:rPr>
          <w:rFonts w:ascii="Times New Roman" w:hAnsi="Times New Roman" w:cs="Times New Roman"/>
          <w:sz w:val="20"/>
          <w:szCs w:val="20"/>
        </w:rPr>
        <w:t xml:space="preserve">For each case, </w:t>
      </w:r>
      <w:r w:rsidRPr="00E12AB2">
        <w:rPr>
          <w:rFonts w:ascii="Times New Roman" w:hAnsi="Times New Roman" w:cs="Times New Roman"/>
          <w:sz w:val="20"/>
          <w:szCs w:val="20"/>
        </w:rPr>
        <w:t xml:space="preserve">the </w:t>
      </w:r>
      <w:r>
        <w:rPr>
          <w:rFonts w:ascii="Times New Roman" w:hAnsi="Times New Roman" w:cs="Times New Roman"/>
          <w:sz w:val="20"/>
          <w:szCs w:val="20"/>
        </w:rPr>
        <w:t xml:space="preserve">neurosurgical oncologists reviewed the </w:t>
      </w:r>
      <w:r w:rsidRPr="00E12AB2">
        <w:rPr>
          <w:rFonts w:ascii="Times New Roman" w:hAnsi="Times New Roman" w:cs="Times New Roman"/>
          <w:sz w:val="20"/>
          <w:szCs w:val="20"/>
        </w:rPr>
        <w:t xml:space="preserve">full sequence of preoperative axial, coronal, and sagittal T1-weighed post-contrast MR images and the full sequence of axial FLAIR MR images. </w:t>
      </w:r>
      <w:r>
        <w:rPr>
          <w:rFonts w:ascii="Times New Roman" w:hAnsi="Times New Roman" w:cs="Times New Roman"/>
          <w:sz w:val="20"/>
          <w:szCs w:val="20"/>
        </w:rPr>
        <w:t>U</w:t>
      </w:r>
      <w:r w:rsidRPr="00E12AB2">
        <w:rPr>
          <w:rFonts w:ascii="Times New Roman" w:hAnsi="Times New Roman" w:cs="Times New Roman"/>
          <w:sz w:val="20"/>
          <w:szCs w:val="20"/>
        </w:rPr>
        <w:t>sing their definition of eloquence</w:t>
      </w:r>
      <w:r>
        <w:rPr>
          <w:rFonts w:ascii="Times New Roman" w:hAnsi="Times New Roman" w:cs="Times New Roman"/>
          <w:sz w:val="20"/>
          <w:szCs w:val="20"/>
        </w:rPr>
        <w:t xml:space="preserve">, those surveyed </w:t>
      </w:r>
      <w:r w:rsidRPr="00E12AB2">
        <w:rPr>
          <w:rFonts w:ascii="Times New Roman" w:hAnsi="Times New Roman" w:cs="Times New Roman"/>
          <w:sz w:val="20"/>
          <w:szCs w:val="20"/>
        </w:rPr>
        <w:t>categorize</w:t>
      </w:r>
      <w:r>
        <w:rPr>
          <w:rFonts w:ascii="Times New Roman" w:hAnsi="Times New Roman" w:cs="Times New Roman"/>
          <w:sz w:val="20"/>
          <w:szCs w:val="20"/>
        </w:rPr>
        <w:t>d</w:t>
      </w:r>
      <w:r w:rsidRPr="00E12AB2">
        <w:rPr>
          <w:rFonts w:ascii="Times New Roman" w:hAnsi="Times New Roman" w:cs="Times New Roman"/>
          <w:sz w:val="20"/>
          <w:szCs w:val="20"/>
        </w:rPr>
        <w:t xml:space="preserve"> </w:t>
      </w:r>
      <w:r>
        <w:rPr>
          <w:rFonts w:ascii="Times New Roman" w:hAnsi="Times New Roman" w:cs="Times New Roman"/>
          <w:sz w:val="20"/>
          <w:szCs w:val="20"/>
        </w:rPr>
        <w:t>each</w:t>
      </w:r>
      <w:r w:rsidRPr="00E12AB2">
        <w:rPr>
          <w:rFonts w:ascii="Times New Roman" w:hAnsi="Times New Roman" w:cs="Times New Roman"/>
          <w:sz w:val="20"/>
          <w:szCs w:val="20"/>
        </w:rPr>
        <w:t xml:space="preserve"> tumor’s location as eloquent, near eloquent, or non-eloquent. </w:t>
      </w:r>
      <w:r>
        <w:rPr>
          <w:rFonts w:ascii="Times New Roman" w:hAnsi="Times New Roman" w:cs="Times New Roman"/>
          <w:sz w:val="20"/>
          <w:szCs w:val="20"/>
        </w:rPr>
        <w:t>E</w:t>
      </w:r>
      <w:r w:rsidRPr="00E12AB2">
        <w:rPr>
          <w:rFonts w:ascii="Times New Roman" w:hAnsi="Times New Roman" w:cs="Times New Roman"/>
          <w:sz w:val="20"/>
          <w:szCs w:val="20"/>
        </w:rPr>
        <w:t>quipoise between SpTR and GTR</w:t>
      </w:r>
      <w:r>
        <w:rPr>
          <w:rFonts w:ascii="Times New Roman" w:hAnsi="Times New Roman" w:cs="Times New Roman"/>
          <w:sz w:val="20"/>
          <w:szCs w:val="20"/>
        </w:rPr>
        <w:t xml:space="preserve"> was approximated using </w:t>
      </w:r>
      <w:r w:rsidRPr="00E12AB2">
        <w:rPr>
          <w:rFonts w:ascii="Times New Roman" w:hAnsi="Times New Roman" w:cs="Times New Roman"/>
          <w:sz w:val="20"/>
          <w:szCs w:val="20"/>
        </w:rPr>
        <w:t xml:space="preserve">a five-point scale </w:t>
      </w:r>
      <w:r>
        <w:rPr>
          <w:rFonts w:ascii="Times New Roman" w:hAnsi="Times New Roman" w:cs="Times New Roman"/>
          <w:sz w:val="20"/>
          <w:szCs w:val="20"/>
        </w:rPr>
        <w:t>rating</w:t>
      </w:r>
      <w:r w:rsidRPr="00E12AB2">
        <w:rPr>
          <w:rFonts w:ascii="Times New Roman" w:hAnsi="Times New Roman" w:cs="Times New Roman"/>
          <w:sz w:val="20"/>
          <w:szCs w:val="20"/>
        </w:rPr>
        <w:t xml:space="preserve"> whether it would be reasonable to randomize each case to either SpTR or GTR from “definitely yes” to “probably yes”, “might or might not”, “probably not”, or “definitely not”. </w:t>
      </w:r>
      <w:r>
        <w:rPr>
          <w:rFonts w:ascii="Times New Roman" w:hAnsi="Times New Roman" w:cs="Times New Roman"/>
          <w:sz w:val="20"/>
          <w:szCs w:val="20"/>
        </w:rPr>
        <w:t>Personal</w:t>
      </w:r>
      <w:r w:rsidRPr="00E12AB2">
        <w:rPr>
          <w:rFonts w:ascii="Times New Roman" w:hAnsi="Times New Roman" w:cs="Times New Roman"/>
          <w:sz w:val="20"/>
          <w:szCs w:val="20"/>
        </w:rPr>
        <w:t xml:space="preserve"> treatment plan</w:t>
      </w:r>
      <w:r>
        <w:rPr>
          <w:rFonts w:ascii="Times New Roman" w:hAnsi="Times New Roman" w:cs="Times New Roman"/>
          <w:sz w:val="20"/>
          <w:szCs w:val="20"/>
        </w:rPr>
        <w:t>s</w:t>
      </w:r>
      <w:r w:rsidRPr="00E12AB2">
        <w:rPr>
          <w:rFonts w:ascii="Times New Roman" w:hAnsi="Times New Roman" w:cs="Times New Roman"/>
          <w:sz w:val="20"/>
          <w:szCs w:val="20"/>
        </w:rPr>
        <w:t xml:space="preserve"> for each case </w:t>
      </w:r>
      <w:r>
        <w:rPr>
          <w:rFonts w:ascii="Times New Roman" w:hAnsi="Times New Roman" w:cs="Times New Roman"/>
          <w:sz w:val="20"/>
          <w:szCs w:val="20"/>
        </w:rPr>
        <w:t xml:space="preserve">were selected </w:t>
      </w:r>
      <w:r w:rsidRPr="00E12AB2">
        <w:rPr>
          <w:rFonts w:ascii="Times New Roman" w:hAnsi="Times New Roman" w:cs="Times New Roman"/>
          <w:sz w:val="20"/>
          <w:szCs w:val="20"/>
        </w:rPr>
        <w:t xml:space="preserve">from a list of options including palliative care, observation, stereotactic radiosurgery (SRS), laser interstitial thermal therapy (LITT), stereotactic biopsy, excisional biopsy, STR, GTR, SpTR, or “other” where </w:t>
      </w:r>
      <w:r>
        <w:rPr>
          <w:rFonts w:ascii="Times New Roman" w:hAnsi="Times New Roman" w:cs="Times New Roman"/>
          <w:sz w:val="20"/>
          <w:szCs w:val="20"/>
        </w:rPr>
        <w:t>respondents</w:t>
      </w:r>
      <w:r w:rsidRPr="00E12AB2">
        <w:rPr>
          <w:rFonts w:ascii="Times New Roman" w:hAnsi="Times New Roman" w:cs="Times New Roman"/>
          <w:sz w:val="20"/>
          <w:szCs w:val="20"/>
        </w:rPr>
        <w:t xml:space="preserve"> could write in their own treatment plan.</w:t>
      </w:r>
    </w:p>
    <w:p w14:paraId="61374A64" w14:textId="77777777" w:rsidR="00E12AB2" w:rsidRDefault="00E12AB2" w:rsidP="00E12AB2">
      <w:pPr>
        <w:ind w:firstLine="720"/>
        <w:rPr>
          <w:rFonts w:ascii="Times New Roman" w:hAnsi="Times New Roman" w:cs="Times New Roman"/>
          <w:b/>
        </w:rPr>
      </w:pPr>
    </w:p>
    <w:p w14:paraId="50EB9995" w14:textId="25C8ACD8" w:rsidR="003D79B1" w:rsidRPr="004A3A6A" w:rsidRDefault="003D79B1">
      <w:pPr>
        <w:rPr>
          <w:rFonts w:ascii="Times New Roman" w:hAnsi="Times New Roman" w:cs="Times New Roman"/>
          <w:b/>
        </w:rPr>
      </w:pPr>
      <w:proofErr w:type="spellStart"/>
      <w:r>
        <w:rPr>
          <w:rFonts w:ascii="Times New Roman" w:hAnsi="Times New Roman" w:cs="Times New Roman"/>
          <w:b/>
        </w:rPr>
        <w:t>eMethods</w:t>
      </w:r>
      <w:proofErr w:type="spellEnd"/>
      <w:r>
        <w:rPr>
          <w:rFonts w:ascii="Times New Roman" w:hAnsi="Times New Roman" w:cs="Times New Roman"/>
          <w:b/>
        </w:rPr>
        <w:t xml:space="preserve"> 3. </w:t>
      </w:r>
      <w:r w:rsidRPr="004A3A6A">
        <w:rPr>
          <w:rFonts w:ascii="Times New Roman" w:hAnsi="Times New Roman" w:cs="Times New Roman"/>
          <w:b/>
        </w:rPr>
        <w:t>Statistical Analysis</w:t>
      </w:r>
    </w:p>
    <w:p w14:paraId="50B408F6" w14:textId="77777777" w:rsidR="003D79B1" w:rsidRDefault="003D79B1">
      <w:pPr>
        <w:rPr>
          <w:rFonts w:ascii="Times New Roman" w:hAnsi="Times New Roman" w:cs="Times New Roman"/>
        </w:rPr>
      </w:pPr>
    </w:p>
    <w:p w14:paraId="7BA37189" w14:textId="3ED5C6CE" w:rsidR="00E12AB2" w:rsidRPr="00E12AB2" w:rsidRDefault="00E12AB2" w:rsidP="00E12AB2">
      <w:pPr>
        <w:ind w:firstLine="720"/>
        <w:rPr>
          <w:rFonts w:ascii="Times New Roman" w:hAnsi="Times New Roman" w:cs="Times New Roman"/>
          <w:sz w:val="20"/>
          <w:szCs w:val="20"/>
        </w:rPr>
      </w:pPr>
      <w:r w:rsidRPr="00E12AB2">
        <w:rPr>
          <w:rFonts w:ascii="Times New Roman" w:hAnsi="Times New Roman" w:cs="Times New Roman"/>
          <w:sz w:val="20"/>
          <w:szCs w:val="20"/>
        </w:rPr>
        <w:t>Bivariate one-way ANOVA analysis, Chi-square tests, and Fischer’s exact tests were used to determine if relationships existed between the practice characteristics of the neurosurgeon oncologists who completed this survey and their agreement with the definitions of SpTR for GBM provided. Chi-square analysis was also used to investigate the relationship between how each respondent defined eloquence and their characterization of each tumor’s location in terms of eloquence.</w:t>
      </w:r>
      <w:r>
        <w:rPr>
          <w:rFonts w:ascii="Times New Roman" w:hAnsi="Times New Roman" w:cs="Times New Roman"/>
          <w:sz w:val="20"/>
          <w:szCs w:val="20"/>
        </w:rPr>
        <w:t xml:space="preserve"> </w:t>
      </w:r>
      <w:r w:rsidRPr="00E12AB2">
        <w:rPr>
          <w:rFonts w:ascii="Times New Roman" w:hAnsi="Times New Roman" w:cs="Times New Roman"/>
          <w:sz w:val="20"/>
          <w:szCs w:val="20"/>
        </w:rPr>
        <w:t>Agreement between neurosurgeons on the questions of equipoise of GTR or SpTR for GBM treatment and their proposed treatment plan for each case was quantified separately using the total sum of squares test. Participants that provided no response to a question were excluded from the variance calculation.</w:t>
      </w:r>
    </w:p>
    <w:p w14:paraId="23B09D75" w14:textId="645EE52C" w:rsidR="001F295F" w:rsidRDefault="00E12AB2" w:rsidP="001F295F">
      <w:pPr>
        <w:ind w:firstLine="720"/>
        <w:rPr>
          <w:rFonts w:ascii="Times" w:hAnsi="Times" w:cs="Times New Roman"/>
          <w:sz w:val="20"/>
          <w:szCs w:val="20"/>
        </w:rPr>
      </w:pPr>
      <w:r w:rsidRPr="00E12AB2">
        <w:rPr>
          <w:rFonts w:ascii="Times" w:hAnsi="Times" w:cs="Times New Roman"/>
          <w:sz w:val="20"/>
          <w:szCs w:val="20"/>
        </w:rPr>
        <w:t>To calculate the resectability index</w:t>
      </w:r>
      <w:r>
        <w:rPr>
          <w:rFonts w:ascii="Times" w:hAnsi="Times" w:cs="Times New Roman"/>
          <w:sz w:val="20"/>
          <w:szCs w:val="20"/>
        </w:rPr>
        <w:t xml:space="preserve"> (RI)</w:t>
      </w:r>
      <w:r w:rsidRPr="00E12AB2">
        <w:rPr>
          <w:rFonts w:ascii="Times" w:hAnsi="Times" w:cs="Times New Roman"/>
          <w:sz w:val="20"/>
          <w:szCs w:val="20"/>
        </w:rPr>
        <w:t>, numeric values were assigned to each response to the treatment plan question as follows: palliative care or observation was assigned a “1”; LITT, stereotactic biopsy, excisional biopsy or SRS was assigned a “2”; STR was assigned a “3”; GTR was assigned a “4”; and SpTR was assigned a “5.” These numeric values were averaged within each case to yield its RI.</w:t>
      </w:r>
    </w:p>
    <w:p w14:paraId="278AC30B" w14:textId="77777777" w:rsidR="001F295F" w:rsidRDefault="001F295F">
      <w:pPr>
        <w:rPr>
          <w:rFonts w:ascii="Times" w:hAnsi="Times" w:cs="Times New Roman"/>
          <w:sz w:val="20"/>
          <w:szCs w:val="20"/>
        </w:rPr>
      </w:pPr>
      <w:r>
        <w:rPr>
          <w:rFonts w:ascii="Times" w:hAnsi="Times" w:cs="Times New Roman"/>
          <w:sz w:val="20"/>
          <w:szCs w:val="20"/>
        </w:rPr>
        <w:br w:type="page"/>
      </w:r>
    </w:p>
    <w:p w14:paraId="116952B8" w14:textId="0B059099" w:rsidR="001F295F" w:rsidRDefault="001F295F" w:rsidP="001F295F">
      <w:pPr>
        <w:rPr>
          <w:rFonts w:ascii="Times New Roman" w:hAnsi="Times New Roman" w:cs="Times New Roman"/>
          <w:bCs/>
          <w:noProof/>
        </w:rPr>
      </w:pPr>
      <w:r>
        <w:rPr>
          <w:rFonts w:ascii="Times New Roman" w:hAnsi="Times New Roman" w:cs="Times New Roman"/>
          <w:b/>
          <w:noProof/>
        </w:rPr>
        <w:lastRenderedPageBreak/>
        <w:t xml:space="preserve">eTable 1. </w:t>
      </w:r>
      <w:r w:rsidRPr="00CE40E4">
        <w:rPr>
          <w:rFonts w:ascii="Times New Roman" w:hAnsi="Times New Roman" w:cs="Times New Roman"/>
          <w:bCs/>
          <w:noProof/>
        </w:rPr>
        <w:t xml:space="preserve">The total number of </w:t>
      </w:r>
      <w:r>
        <w:rPr>
          <w:rFonts w:ascii="Times New Roman" w:hAnsi="Times New Roman" w:cs="Times New Roman"/>
          <w:bCs/>
          <w:noProof/>
        </w:rPr>
        <w:t xml:space="preserve">neurosurgical oncologists in the SpTR expert cohort (n=21) and on the AANS/CNS Tumor Section (n=75) who selected SpTR over other treatments as their treatment of choice for each case. In chi-square analysis, neurosurgical oncologists in the Tumor Section were significantly less likely to recommend SpTR as their treatment of choice for GBMs in the right frontal and left anterior temporal lobes compared to neurosurgical oncologists who have </w:t>
      </w:r>
      <w:r w:rsidR="005C2EFB">
        <w:rPr>
          <w:rFonts w:ascii="Times New Roman" w:hAnsi="Times New Roman" w:cs="Times New Roman"/>
          <w:bCs/>
          <w:noProof/>
        </w:rPr>
        <w:t>greater</w:t>
      </w:r>
      <w:r>
        <w:rPr>
          <w:rFonts w:ascii="Times New Roman" w:hAnsi="Times New Roman" w:cs="Times New Roman"/>
          <w:bCs/>
          <w:noProof/>
        </w:rPr>
        <w:t xml:space="preserve"> familiarity with SpTR of GBM. P-values &lt; 0.05 were considered significant. </w:t>
      </w:r>
    </w:p>
    <w:p w14:paraId="10970888" w14:textId="77777777" w:rsidR="001F295F" w:rsidRPr="00CE40E4" w:rsidRDefault="001F295F" w:rsidP="001F295F">
      <w:pPr>
        <w:rPr>
          <w:rFonts w:ascii="Arial" w:eastAsia="Arial" w:hAnsi="Arial" w:cs="Arial"/>
          <w:bCs/>
          <w:sz w:val="20"/>
          <w:szCs w:val="20"/>
        </w:rPr>
      </w:pPr>
    </w:p>
    <w:tbl>
      <w:tblPr>
        <w:tblW w:w="9268" w:type="dxa"/>
        <w:tblLayout w:type="fixed"/>
        <w:tblLook w:val="0400" w:firstRow="0" w:lastRow="0" w:firstColumn="0" w:lastColumn="0" w:noHBand="0" w:noVBand="1"/>
      </w:tblPr>
      <w:tblGrid>
        <w:gridCol w:w="1080"/>
        <w:gridCol w:w="2070"/>
        <w:gridCol w:w="2430"/>
        <w:gridCol w:w="2430"/>
        <w:gridCol w:w="1258"/>
      </w:tblGrid>
      <w:tr w:rsidR="00B705CB" w:rsidRPr="006312E9" w14:paraId="5A023030" w14:textId="77777777" w:rsidTr="00B705CB">
        <w:trPr>
          <w:trHeight w:val="441"/>
        </w:trPr>
        <w:tc>
          <w:tcPr>
            <w:tcW w:w="1080" w:type="dxa"/>
            <w:tcBorders>
              <w:top w:val="nil"/>
              <w:left w:val="nil"/>
              <w:bottom w:val="single" w:sz="4" w:space="0" w:color="000000"/>
              <w:right w:val="nil"/>
            </w:tcBorders>
            <w:shd w:val="clear" w:color="auto" w:fill="auto"/>
            <w:vAlign w:val="center"/>
          </w:tcPr>
          <w:p w14:paraId="0D2EF8EA" w14:textId="77777777" w:rsidR="001F295F" w:rsidRPr="006312E9" w:rsidRDefault="001F295F" w:rsidP="005B09BA">
            <w:pPr>
              <w:rPr>
                <w:rFonts w:ascii="Times" w:eastAsia="Arial" w:hAnsi="Times" w:cs="Arial"/>
                <w:bCs/>
                <w:color w:val="000000"/>
              </w:rPr>
            </w:pPr>
            <w:r w:rsidRPr="006312E9">
              <w:rPr>
                <w:rFonts w:ascii="Times" w:eastAsia="Arial" w:hAnsi="Times" w:cs="Arial"/>
                <w:bCs/>
                <w:color w:val="000000"/>
              </w:rPr>
              <w:t>Case #</w:t>
            </w:r>
          </w:p>
        </w:tc>
        <w:tc>
          <w:tcPr>
            <w:tcW w:w="2070" w:type="dxa"/>
            <w:tcBorders>
              <w:top w:val="nil"/>
              <w:left w:val="nil"/>
              <w:bottom w:val="single" w:sz="4" w:space="0" w:color="000000"/>
              <w:right w:val="nil"/>
            </w:tcBorders>
            <w:vAlign w:val="center"/>
          </w:tcPr>
          <w:p w14:paraId="5E0FE2A0" w14:textId="77777777" w:rsidR="001F295F" w:rsidRPr="006312E9" w:rsidRDefault="001F295F" w:rsidP="005B09BA">
            <w:pPr>
              <w:rPr>
                <w:rFonts w:ascii="Times" w:eastAsia="Arial" w:hAnsi="Times" w:cs="Arial"/>
                <w:bCs/>
                <w:color w:val="000000"/>
              </w:rPr>
            </w:pPr>
            <w:r w:rsidRPr="006312E9">
              <w:rPr>
                <w:rFonts w:ascii="Times" w:eastAsia="Arial" w:hAnsi="Times" w:cs="Arial"/>
                <w:bCs/>
                <w:color w:val="000000"/>
              </w:rPr>
              <w:t>Tumor Location</w:t>
            </w:r>
          </w:p>
        </w:tc>
        <w:tc>
          <w:tcPr>
            <w:tcW w:w="2430" w:type="dxa"/>
            <w:tcBorders>
              <w:top w:val="nil"/>
              <w:left w:val="nil"/>
              <w:bottom w:val="single" w:sz="4" w:space="0" w:color="000000"/>
              <w:right w:val="nil"/>
            </w:tcBorders>
            <w:shd w:val="clear" w:color="auto" w:fill="auto"/>
            <w:vAlign w:val="center"/>
          </w:tcPr>
          <w:p w14:paraId="2276081E" w14:textId="77777777" w:rsidR="001F295F" w:rsidRPr="006312E9" w:rsidRDefault="001F295F" w:rsidP="005B09BA">
            <w:pPr>
              <w:jc w:val="center"/>
              <w:rPr>
                <w:rFonts w:ascii="Times" w:eastAsia="Arial" w:hAnsi="Times" w:cs="Arial"/>
                <w:bCs/>
                <w:color w:val="000000"/>
              </w:rPr>
            </w:pPr>
            <w:r w:rsidRPr="006312E9">
              <w:rPr>
                <w:rFonts w:ascii="Times" w:eastAsia="Arial" w:hAnsi="Times" w:cs="Arial"/>
                <w:bCs/>
                <w:color w:val="000000"/>
              </w:rPr>
              <w:t>SpTR Expert, n (%)</w:t>
            </w:r>
          </w:p>
        </w:tc>
        <w:tc>
          <w:tcPr>
            <w:tcW w:w="2430" w:type="dxa"/>
            <w:tcBorders>
              <w:top w:val="nil"/>
              <w:left w:val="nil"/>
              <w:bottom w:val="single" w:sz="4" w:space="0" w:color="000000"/>
              <w:right w:val="nil"/>
            </w:tcBorders>
            <w:vAlign w:val="center"/>
          </w:tcPr>
          <w:p w14:paraId="25222145" w14:textId="77777777" w:rsidR="001F295F" w:rsidRPr="006312E9" w:rsidRDefault="001F295F" w:rsidP="00B705CB">
            <w:pPr>
              <w:ind w:right="70"/>
              <w:jc w:val="center"/>
              <w:rPr>
                <w:rFonts w:ascii="Times" w:eastAsia="Arial" w:hAnsi="Times" w:cs="Arial"/>
                <w:bCs/>
                <w:color w:val="000000"/>
              </w:rPr>
            </w:pPr>
            <w:r w:rsidRPr="006312E9">
              <w:rPr>
                <w:rFonts w:ascii="Times" w:eastAsia="Arial" w:hAnsi="Times" w:cs="Arial"/>
                <w:bCs/>
                <w:color w:val="000000"/>
              </w:rPr>
              <w:t xml:space="preserve">Tumor </w:t>
            </w:r>
            <w:r>
              <w:rPr>
                <w:rFonts w:ascii="Times" w:eastAsia="Arial" w:hAnsi="Times" w:cs="Arial"/>
                <w:bCs/>
                <w:color w:val="000000"/>
              </w:rPr>
              <w:t>Section</w:t>
            </w:r>
            <w:r w:rsidRPr="006312E9">
              <w:rPr>
                <w:rFonts w:ascii="Times" w:eastAsia="Arial" w:hAnsi="Times" w:cs="Arial"/>
                <w:bCs/>
                <w:color w:val="000000"/>
              </w:rPr>
              <w:t>, n (%)</w:t>
            </w:r>
          </w:p>
        </w:tc>
        <w:tc>
          <w:tcPr>
            <w:tcW w:w="1258" w:type="dxa"/>
            <w:tcBorders>
              <w:top w:val="nil"/>
              <w:left w:val="nil"/>
              <w:bottom w:val="single" w:sz="4" w:space="0" w:color="000000"/>
              <w:right w:val="nil"/>
            </w:tcBorders>
            <w:vAlign w:val="center"/>
          </w:tcPr>
          <w:p w14:paraId="29631AA7" w14:textId="77777777" w:rsidR="001F295F" w:rsidRPr="006312E9" w:rsidRDefault="00A96296" w:rsidP="005B09BA">
            <w:pPr>
              <w:jc w:val="center"/>
              <w:rPr>
                <w:rFonts w:ascii="Times" w:eastAsia="Arial" w:hAnsi="Times" w:cs="Arial"/>
                <w:bCs/>
                <w:color w:val="000000"/>
              </w:rPr>
            </w:pPr>
            <w:sdt>
              <w:sdtPr>
                <w:rPr>
                  <w:rFonts w:ascii="Times" w:hAnsi="Times"/>
                  <w:bCs/>
                </w:rPr>
                <w:tag w:val="goog_rdk_11"/>
                <w:id w:val="1337961448"/>
              </w:sdtPr>
              <w:sdtEndPr/>
              <w:sdtContent/>
            </w:sdt>
            <w:sdt>
              <w:sdtPr>
                <w:rPr>
                  <w:rFonts w:ascii="Times" w:hAnsi="Times"/>
                  <w:bCs/>
                </w:rPr>
                <w:tag w:val="goog_rdk_12"/>
                <w:id w:val="1430693142"/>
              </w:sdtPr>
              <w:sdtEndPr/>
              <w:sdtContent/>
            </w:sdt>
            <w:r w:rsidR="001F295F" w:rsidRPr="006312E9">
              <w:rPr>
                <w:rFonts w:ascii="Times" w:eastAsia="Arial" w:hAnsi="Times" w:cs="Arial"/>
                <w:bCs/>
                <w:color w:val="000000"/>
              </w:rPr>
              <w:t>P-value</w:t>
            </w:r>
          </w:p>
        </w:tc>
      </w:tr>
      <w:tr w:rsidR="00B705CB" w:rsidRPr="00CE40E4" w14:paraId="1B80F034" w14:textId="77777777" w:rsidTr="00B705CB">
        <w:trPr>
          <w:trHeight w:val="288"/>
        </w:trPr>
        <w:tc>
          <w:tcPr>
            <w:tcW w:w="1080" w:type="dxa"/>
            <w:tcBorders>
              <w:top w:val="nil"/>
              <w:left w:val="nil"/>
              <w:bottom w:val="nil"/>
              <w:right w:val="nil"/>
            </w:tcBorders>
            <w:shd w:val="clear" w:color="auto" w:fill="auto"/>
            <w:vAlign w:val="center"/>
          </w:tcPr>
          <w:p w14:paraId="20FF9222" w14:textId="77777777" w:rsidR="001F295F" w:rsidRPr="00CE40E4" w:rsidRDefault="001F295F" w:rsidP="005B09BA">
            <w:pPr>
              <w:spacing w:line="360" w:lineRule="auto"/>
              <w:jc w:val="center"/>
              <w:rPr>
                <w:rFonts w:ascii="Times" w:eastAsia="Arial" w:hAnsi="Times" w:cs="Arial"/>
              </w:rPr>
            </w:pPr>
            <w:r w:rsidRPr="00CE40E4">
              <w:rPr>
                <w:rFonts w:ascii="Times" w:eastAsia="Arial" w:hAnsi="Times" w:cs="Arial"/>
              </w:rPr>
              <w:t>1</w:t>
            </w:r>
          </w:p>
        </w:tc>
        <w:tc>
          <w:tcPr>
            <w:tcW w:w="2070" w:type="dxa"/>
            <w:tcBorders>
              <w:top w:val="nil"/>
              <w:left w:val="nil"/>
              <w:bottom w:val="nil"/>
              <w:right w:val="nil"/>
            </w:tcBorders>
          </w:tcPr>
          <w:p w14:paraId="0795DD06" w14:textId="77777777" w:rsidR="001F295F" w:rsidRPr="00CE40E4" w:rsidRDefault="001F295F" w:rsidP="005B09BA">
            <w:pPr>
              <w:spacing w:line="360" w:lineRule="auto"/>
              <w:rPr>
                <w:rFonts w:ascii="Times" w:eastAsia="Arial" w:hAnsi="Times" w:cs="Arial"/>
                <w:color w:val="000000"/>
              </w:rPr>
            </w:pPr>
            <w:r w:rsidRPr="00CE40E4">
              <w:rPr>
                <w:rFonts w:ascii="Times" w:eastAsia="Arial" w:hAnsi="Times" w:cs="Arial"/>
                <w:color w:val="000000"/>
              </w:rPr>
              <w:t>R Cerebellum</w:t>
            </w:r>
          </w:p>
        </w:tc>
        <w:tc>
          <w:tcPr>
            <w:tcW w:w="2430" w:type="dxa"/>
            <w:tcBorders>
              <w:top w:val="nil"/>
              <w:left w:val="nil"/>
              <w:bottom w:val="nil"/>
              <w:right w:val="nil"/>
            </w:tcBorders>
            <w:shd w:val="clear" w:color="auto" w:fill="auto"/>
            <w:vAlign w:val="center"/>
          </w:tcPr>
          <w:p w14:paraId="1B4CEB46" w14:textId="77777777" w:rsidR="001F295F" w:rsidRPr="00CE40E4" w:rsidRDefault="001F295F" w:rsidP="005B09BA">
            <w:pPr>
              <w:spacing w:line="360" w:lineRule="auto"/>
              <w:jc w:val="center"/>
              <w:rPr>
                <w:rFonts w:ascii="Times" w:eastAsia="Arial" w:hAnsi="Times" w:cs="Arial"/>
                <w:color w:val="000000"/>
              </w:rPr>
            </w:pPr>
            <w:r w:rsidRPr="00CE40E4">
              <w:rPr>
                <w:rFonts w:ascii="Times" w:eastAsia="Arial" w:hAnsi="Times" w:cs="Arial"/>
                <w:color w:val="000000"/>
              </w:rPr>
              <w:t>6</w:t>
            </w:r>
            <w:r>
              <w:rPr>
                <w:rFonts w:ascii="Times" w:eastAsia="Arial" w:hAnsi="Times" w:cs="Arial"/>
                <w:color w:val="000000"/>
              </w:rPr>
              <w:t xml:space="preserve"> (30.0)</w:t>
            </w:r>
          </w:p>
        </w:tc>
        <w:tc>
          <w:tcPr>
            <w:tcW w:w="2430" w:type="dxa"/>
            <w:tcBorders>
              <w:top w:val="single" w:sz="4" w:space="0" w:color="000000"/>
              <w:left w:val="nil"/>
              <w:right w:val="nil"/>
            </w:tcBorders>
            <w:vAlign w:val="center"/>
          </w:tcPr>
          <w:p w14:paraId="70EAA9D4" w14:textId="77777777" w:rsidR="001F295F" w:rsidRPr="00CE40E4" w:rsidRDefault="001F295F" w:rsidP="005B09BA">
            <w:pPr>
              <w:spacing w:line="360" w:lineRule="auto"/>
              <w:jc w:val="center"/>
              <w:rPr>
                <w:rFonts w:ascii="Times" w:eastAsia="Arial" w:hAnsi="Times" w:cs="Arial"/>
                <w:color w:val="000000"/>
              </w:rPr>
            </w:pPr>
            <w:r w:rsidRPr="00CE40E4">
              <w:rPr>
                <w:rFonts w:ascii="Times" w:eastAsia="Arial" w:hAnsi="Times" w:cs="Arial"/>
                <w:color w:val="000000"/>
              </w:rPr>
              <w:t>17</w:t>
            </w:r>
            <w:r>
              <w:rPr>
                <w:rFonts w:ascii="Times" w:eastAsia="Arial" w:hAnsi="Times" w:cs="Arial"/>
                <w:color w:val="000000"/>
              </w:rPr>
              <w:t xml:space="preserve"> (22.7)</w:t>
            </w:r>
          </w:p>
        </w:tc>
        <w:tc>
          <w:tcPr>
            <w:tcW w:w="1258" w:type="dxa"/>
            <w:tcBorders>
              <w:top w:val="single" w:sz="4" w:space="0" w:color="000000"/>
              <w:left w:val="nil"/>
              <w:right w:val="nil"/>
            </w:tcBorders>
            <w:vAlign w:val="center"/>
          </w:tcPr>
          <w:p w14:paraId="75821C34" w14:textId="77777777" w:rsidR="001F295F" w:rsidRPr="00CE40E4" w:rsidRDefault="001F295F" w:rsidP="005B09BA">
            <w:pPr>
              <w:spacing w:line="360" w:lineRule="auto"/>
              <w:jc w:val="center"/>
              <w:rPr>
                <w:rFonts w:ascii="Times" w:eastAsia="Arial" w:hAnsi="Times" w:cs="Arial"/>
                <w:color w:val="000000"/>
              </w:rPr>
            </w:pPr>
            <w:r w:rsidRPr="00CE40E4">
              <w:rPr>
                <w:rFonts w:ascii="Times" w:eastAsia="Arial" w:hAnsi="Times" w:cs="Arial"/>
                <w:color w:val="000000"/>
              </w:rPr>
              <w:t>0.560</w:t>
            </w:r>
          </w:p>
        </w:tc>
      </w:tr>
      <w:tr w:rsidR="00B705CB" w:rsidRPr="00CE40E4" w14:paraId="3097DE49" w14:textId="77777777" w:rsidTr="00B705CB">
        <w:trPr>
          <w:trHeight w:val="288"/>
        </w:trPr>
        <w:tc>
          <w:tcPr>
            <w:tcW w:w="1080" w:type="dxa"/>
            <w:tcBorders>
              <w:top w:val="nil"/>
              <w:left w:val="nil"/>
              <w:bottom w:val="nil"/>
              <w:right w:val="nil"/>
            </w:tcBorders>
            <w:shd w:val="clear" w:color="auto" w:fill="auto"/>
            <w:vAlign w:val="center"/>
          </w:tcPr>
          <w:p w14:paraId="3C8BB15D" w14:textId="77777777" w:rsidR="001F295F" w:rsidRPr="00CE40E4" w:rsidRDefault="001F295F" w:rsidP="005B09BA">
            <w:pPr>
              <w:spacing w:line="360" w:lineRule="auto"/>
              <w:jc w:val="center"/>
              <w:rPr>
                <w:rFonts w:ascii="Times" w:eastAsia="Arial" w:hAnsi="Times" w:cs="Arial"/>
              </w:rPr>
            </w:pPr>
            <w:r w:rsidRPr="00CE40E4">
              <w:rPr>
                <w:rFonts w:ascii="Times" w:eastAsia="Arial" w:hAnsi="Times" w:cs="Arial"/>
              </w:rPr>
              <w:t>2</w:t>
            </w:r>
          </w:p>
        </w:tc>
        <w:tc>
          <w:tcPr>
            <w:tcW w:w="2070" w:type="dxa"/>
            <w:tcBorders>
              <w:top w:val="nil"/>
              <w:left w:val="nil"/>
              <w:bottom w:val="nil"/>
              <w:right w:val="nil"/>
            </w:tcBorders>
          </w:tcPr>
          <w:p w14:paraId="562018A5" w14:textId="77777777" w:rsidR="001F295F" w:rsidRPr="00CE40E4" w:rsidRDefault="001F295F" w:rsidP="005B09BA">
            <w:pPr>
              <w:spacing w:line="360" w:lineRule="auto"/>
              <w:rPr>
                <w:rFonts w:ascii="Times" w:eastAsia="Arial" w:hAnsi="Times" w:cs="Arial"/>
                <w:color w:val="000000"/>
              </w:rPr>
            </w:pPr>
            <w:r w:rsidRPr="00CE40E4">
              <w:rPr>
                <w:rFonts w:ascii="Times" w:eastAsia="Arial" w:hAnsi="Times" w:cs="Arial"/>
                <w:color w:val="000000"/>
              </w:rPr>
              <w:t>R Ant Temporal</w:t>
            </w:r>
          </w:p>
        </w:tc>
        <w:tc>
          <w:tcPr>
            <w:tcW w:w="2430" w:type="dxa"/>
            <w:tcBorders>
              <w:top w:val="nil"/>
              <w:left w:val="nil"/>
              <w:bottom w:val="nil"/>
              <w:right w:val="nil"/>
            </w:tcBorders>
            <w:shd w:val="clear" w:color="auto" w:fill="auto"/>
            <w:vAlign w:val="center"/>
          </w:tcPr>
          <w:p w14:paraId="285E664F" w14:textId="77777777" w:rsidR="001F295F" w:rsidRPr="00CE40E4" w:rsidRDefault="001F295F" w:rsidP="005B09BA">
            <w:pPr>
              <w:spacing w:line="360" w:lineRule="auto"/>
              <w:jc w:val="center"/>
              <w:rPr>
                <w:rFonts w:ascii="Times" w:eastAsia="Arial" w:hAnsi="Times" w:cs="Arial"/>
                <w:color w:val="000000"/>
              </w:rPr>
            </w:pPr>
            <w:r w:rsidRPr="00CE40E4">
              <w:rPr>
                <w:rFonts w:ascii="Times" w:eastAsia="Arial" w:hAnsi="Times" w:cs="Arial"/>
                <w:color w:val="000000"/>
              </w:rPr>
              <w:t>14</w:t>
            </w:r>
            <w:r>
              <w:rPr>
                <w:rFonts w:ascii="Times" w:eastAsia="Arial" w:hAnsi="Times" w:cs="Arial"/>
                <w:color w:val="000000"/>
              </w:rPr>
              <w:t xml:space="preserve"> (70.0)</w:t>
            </w:r>
          </w:p>
        </w:tc>
        <w:tc>
          <w:tcPr>
            <w:tcW w:w="2430" w:type="dxa"/>
            <w:tcBorders>
              <w:top w:val="nil"/>
              <w:left w:val="nil"/>
              <w:bottom w:val="nil"/>
              <w:right w:val="nil"/>
            </w:tcBorders>
            <w:vAlign w:val="center"/>
          </w:tcPr>
          <w:p w14:paraId="48879B8C" w14:textId="77777777" w:rsidR="001F295F" w:rsidRPr="00CE40E4" w:rsidRDefault="001F295F" w:rsidP="005B09BA">
            <w:pPr>
              <w:spacing w:line="360" w:lineRule="auto"/>
              <w:jc w:val="center"/>
              <w:rPr>
                <w:rFonts w:ascii="Times" w:eastAsia="Arial" w:hAnsi="Times" w:cs="Arial"/>
                <w:color w:val="000000"/>
              </w:rPr>
            </w:pPr>
            <w:r w:rsidRPr="00CE40E4">
              <w:rPr>
                <w:rFonts w:ascii="Times" w:eastAsia="Arial" w:hAnsi="Times" w:cs="Arial"/>
                <w:color w:val="000000"/>
              </w:rPr>
              <w:t>52</w:t>
            </w:r>
            <w:r>
              <w:rPr>
                <w:rFonts w:ascii="Times" w:eastAsia="Arial" w:hAnsi="Times" w:cs="Arial"/>
                <w:color w:val="000000"/>
              </w:rPr>
              <w:t xml:space="preserve"> (69.3)</w:t>
            </w:r>
          </w:p>
        </w:tc>
        <w:tc>
          <w:tcPr>
            <w:tcW w:w="1258" w:type="dxa"/>
            <w:tcBorders>
              <w:top w:val="nil"/>
              <w:left w:val="nil"/>
              <w:bottom w:val="nil"/>
              <w:right w:val="nil"/>
            </w:tcBorders>
            <w:vAlign w:val="center"/>
          </w:tcPr>
          <w:p w14:paraId="15672234" w14:textId="77777777" w:rsidR="001F295F" w:rsidRPr="00CE40E4" w:rsidRDefault="001F295F" w:rsidP="005B09BA">
            <w:pPr>
              <w:spacing w:line="360" w:lineRule="auto"/>
              <w:jc w:val="center"/>
              <w:rPr>
                <w:rFonts w:ascii="Times" w:eastAsia="Arial" w:hAnsi="Times" w:cs="Arial"/>
                <w:color w:val="000000"/>
              </w:rPr>
            </w:pPr>
            <w:r w:rsidRPr="00CE40E4">
              <w:rPr>
                <w:rFonts w:ascii="Times" w:eastAsia="Arial" w:hAnsi="Times" w:cs="Arial"/>
                <w:color w:val="000000"/>
              </w:rPr>
              <w:t>0.999</w:t>
            </w:r>
          </w:p>
        </w:tc>
      </w:tr>
      <w:tr w:rsidR="00B705CB" w:rsidRPr="00CE40E4" w14:paraId="16B0D5B5" w14:textId="77777777" w:rsidTr="00B705CB">
        <w:trPr>
          <w:trHeight w:val="288"/>
        </w:trPr>
        <w:tc>
          <w:tcPr>
            <w:tcW w:w="1080" w:type="dxa"/>
            <w:tcBorders>
              <w:top w:val="nil"/>
              <w:left w:val="nil"/>
              <w:bottom w:val="nil"/>
              <w:right w:val="nil"/>
            </w:tcBorders>
            <w:shd w:val="clear" w:color="auto" w:fill="auto"/>
            <w:vAlign w:val="center"/>
          </w:tcPr>
          <w:p w14:paraId="4D37759A" w14:textId="77777777" w:rsidR="001F295F" w:rsidRPr="00CE40E4" w:rsidRDefault="001F295F" w:rsidP="005B09BA">
            <w:pPr>
              <w:spacing w:line="360" w:lineRule="auto"/>
              <w:jc w:val="center"/>
              <w:rPr>
                <w:rFonts w:ascii="Times" w:eastAsia="Arial" w:hAnsi="Times" w:cs="Arial"/>
              </w:rPr>
            </w:pPr>
            <w:r w:rsidRPr="00CE40E4">
              <w:rPr>
                <w:rFonts w:ascii="Times" w:eastAsia="Arial" w:hAnsi="Times" w:cs="Arial"/>
              </w:rPr>
              <w:t>3</w:t>
            </w:r>
          </w:p>
        </w:tc>
        <w:tc>
          <w:tcPr>
            <w:tcW w:w="2070" w:type="dxa"/>
            <w:tcBorders>
              <w:top w:val="nil"/>
              <w:left w:val="nil"/>
              <w:bottom w:val="nil"/>
              <w:right w:val="nil"/>
            </w:tcBorders>
          </w:tcPr>
          <w:p w14:paraId="63A7820A" w14:textId="77777777" w:rsidR="001F295F" w:rsidRPr="00CE40E4" w:rsidRDefault="001F295F" w:rsidP="005B09BA">
            <w:pPr>
              <w:spacing w:line="360" w:lineRule="auto"/>
              <w:rPr>
                <w:rFonts w:ascii="Times" w:eastAsia="Arial" w:hAnsi="Times" w:cs="Arial"/>
                <w:color w:val="000000"/>
              </w:rPr>
            </w:pPr>
            <w:r w:rsidRPr="00CE40E4">
              <w:rPr>
                <w:rFonts w:ascii="Times" w:eastAsia="Arial" w:hAnsi="Times" w:cs="Arial"/>
                <w:color w:val="000000"/>
              </w:rPr>
              <w:t>L Frontal</w:t>
            </w:r>
          </w:p>
        </w:tc>
        <w:tc>
          <w:tcPr>
            <w:tcW w:w="2430" w:type="dxa"/>
            <w:tcBorders>
              <w:top w:val="nil"/>
              <w:left w:val="nil"/>
              <w:bottom w:val="nil"/>
              <w:right w:val="nil"/>
            </w:tcBorders>
            <w:shd w:val="clear" w:color="auto" w:fill="auto"/>
            <w:vAlign w:val="center"/>
          </w:tcPr>
          <w:p w14:paraId="2C34A575" w14:textId="77777777" w:rsidR="001F295F" w:rsidRPr="00CE40E4" w:rsidRDefault="001F295F" w:rsidP="005B09BA">
            <w:pPr>
              <w:spacing w:line="360" w:lineRule="auto"/>
              <w:jc w:val="center"/>
              <w:rPr>
                <w:rFonts w:ascii="Times" w:eastAsia="Arial" w:hAnsi="Times" w:cs="Arial"/>
                <w:color w:val="000000"/>
              </w:rPr>
            </w:pPr>
            <w:r w:rsidRPr="00CE40E4">
              <w:rPr>
                <w:rFonts w:ascii="Times" w:eastAsia="Arial" w:hAnsi="Times" w:cs="Arial"/>
                <w:color w:val="000000"/>
              </w:rPr>
              <w:t>2</w:t>
            </w:r>
            <w:r>
              <w:rPr>
                <w:rFonts w:ascii="Times" w:eastAsia="Arial" w:hAnsi="Times" w:cs="Arial"/>
                <w:color w:val="000000"/>
              </w:rPr>
              <w:t xml:space="preserve"> (10.0)</w:t>
            </w:r>
          </w:p>
        </w:tc>
        <w:tc>
          <w:tcPr>
            <w:tcW w:w="2430" w:type="dxa"/>
            <w:tcBorders>
              <w:top w:val="nil"/>
              <w:left w:val="nil"/>
              <w:bottom w:val="nil"/>
              <w:right w:val="nil"/>
            </w:tcBorders>
            <w:vAlign w:val="center"/>
          </w:tcPr>
          <w:p w14:paraId="7ABC3B96" w14:textId="77777777" w:rsidR="001F295F" w:rsidRPr="00CE40E4" w:rsidRDefault="001F295F" w:rsidP="005B09BA">
            <w:pPr>
              <w:spacing w:line="360" w:lineRule="auto"/>
              <w:jc w:val="center"/>
              <w:rPr>
                <w:rFonts w:ascii="Times" w:eastAsia="Arial" w:hAnsi="Times" w:cs="Arial"/>
                <w:color w:val="000000"/>
              </w:rPr>
            </w:pPr>
            <w:r w:rsidRPr="00CE40E4">
              <w:rPr>
                <w:rFonts w:ascii="Times" w:eastAsia="Arial" w:hAnsi="Times" w:cs="Arial"/>
                <w:color w:val="000000"/>
              </w:rPr>
              <w:t>8</w:t>
            </w:r>
            <w:r>
              <w:rPr>
                <w:rFonts w:ascii="Times" w:eastAsia="Arial" w:hAnsi="Times" w:cs="Arial"/>
                <w:color w:val="000000"/>
              </w:rPr>
              <w:t xml:space="preserve"> (10.7)</w:t>
            </w:r>
          </w:p>
        </w:tc>
        <w:tc>
          <w:tcPr>
            <w:tcW w:w="1258" w:type="dxa"/>
            <w:tcBorders>
              <w:top w:val="nil"/>
              <w:left w:val="nil"/>
              <w:bottom w:val="nil"/>
              <w:right w:val="nil"/>
            </w:tcBorders>
            <w:vAlign w:val="center"/>
          </w:tcPr>
          <w:p w14:paraId="2246F1A4" w14:textId="77777777" w:rsidR="001F295F" w:rsidRPr="00CE40E4" w:rsidRDefault="001F295F" w:rsidP="005B09BA">
            <w:pPr>
              <w:spacing w:line="360" w:lineRule="auto"/>
              <w:jc w:val="center"/>
              <w:rPr>
                <w:rFonts w:ascii="Times" w:eastAsia="Arial" w:hAnsi="Times" w:cs="Arial"/>
                <w:color w:val="000000"/>
              </w:rPr>
            </w:pPr>
            <w:r w:rsidRPr="00CE40E4">
              <w:rPr>
                <w:rFonts w:ascii="Times" w:eastAsia="Arial" w:hAnsi="Times" w:cs="Arial"/>
                <w:color w:val="000000"/>
              </w:rPr>
              <w:t>0.999</w:t>
            </w:r>
          </w:p>
        </w:tc>
      </w:tr>
      <w:tr w:rsidR="00B705CB" w:rsidRPr="00CE40E4" w14:paraId="7671A102" w14:textId="77777777" w:rsidTr="00B705CB">
        <w:trPr>
          <w:trHeight w:val="288"/>
        </w:trPr>
        <w:tc>
          <w:tcPr>
            <w:tcW w:w="1080" w:type="dxa"/>
            <w:tcBorders>
              <w:top w:val="nil"/>
              <w:left w:val="nil"/>
              <w:bottom w:val="nil"/>
              <w:right w:val="nil"/>
            </w:tcBorders>
            <w:shd w:val="clear" w:color="auto" w:fill="auto"/>
            <w:vAlign w:val="center"/>
          </w:tcPr>
          <w:p w14:paraId="19032BEA" w14:textId="77777777" w:rsidR="001F295F" w:rsidRPr="006312E9" w:rsidRDefault="001F295F" w:rsidP="005B09BA">
            <w:pPr>
              <w:spacing w:line="360" w:lineRule="auto"/>
              <w:jc w:val="center"/>
              <w:rPr>
                <w:rFonts w:ascii="Times" w:eastAsia="Arial" w:hAnsi="Times" w:cs="Arial"/>
                <w:b/>
                <w:bCs/>
              </w:rPr>
            </w:pPr>
            <w:r w:rsidRPr="006312E9">
              <w:rPr>
                <w:rFonts w:ascii="Times" w:eastAsia="Arial" w:hAnsi="Times" w:cs="Arial"/>
                <w:b/>
                <w:bCs/>
              </w:rPr>
              <w:t>4</w:t>
            </w:r>
          </w:p>
        </w:tc>
        <w:tc>
          <w:tcPr>
            <w:tcW w:w="2070" w:type="dxa"/>
            <w:tcBorders>
              <w:top w:val="nil"/>
              <w:left w:val="nil"/>
              <w:bottom w:val="nil"/>
              <w:right w:val="nil"/>
            </w:tcBorders>
          </w:tcPr>
          <w:p w14:paraId="29B87B76" w14:textId="77777777" w:rsidR="001F295F" w:rsidRPr="006312E9" w:rsidRDefault="001F295F" w:rsidP="005B09BA">
            <w:pPr>
              <w:spacing w:line="360" w:lineRule="auto"/>
              <w:rPr>
                <w:rFonts w:ascii="Times" w:eastAsia="Arial" w:hAnsi="Times" w:cs="Arial"/>
                <w:b/>
                <w:bCs/>
                <w:color w:val="000000"/>
              </w:rPr>
            </w:pPr>
            <w:r w:rsidRPr="006312E9">
              <w:rPr>
                <w:rFonts w:ascii="Times" w:eastAsia="Arial" w:hAnsi="Times" w:cs="Arial"/>
                <w:b/>
                <w:bCs/>
                <w:color w:val="000000"/>
              </w:rPr>
              <w:t>R Frontal</w:t>
            </w:r>
          </w:p>
        </w:tc>
        <w:tc>
          <w:tcPr>
            <w:tcW w:w="2430" w:type="dxa"/>
            <w:tcBorders>
              <w:top w:val="nil"/>
              <w:left w:val="nil"/>
              <w:bottom w:val="nil"/>
              <w:right w:val="nil"/>
            </w:tcBorders>
            <w:shd w:val="clear" w:color="auto" w:fill="auto"/>
            <w:vAlign w:val="center"/>
          </w:tcPr>
          <w:p w14:paraId="25653456" w14:textId="77777777" w:rsidR="001F295F" w:rsidRPr="005E0B24" w:rsidRDefault="001F295F" w:rsidP="005B09BA">
            <w:pPr>
              <w:spacing w:line="360" w:lineRule="auto"/>
              <w:jc w:val="center"/>
              <w:rPr>
                <w:rFonts w:ascii="Times" w:eastAsia="Arial" w:hAnsi="Times" w:cs="Arial"/>
                <w:b/>
                <w:bCs/>
                <w:color w:val="000000"/>
              </w:rPr>
            </w:pPr>
            <w:r w:rsidRPr="005E0B24">
              <w:rPr>
                <w:rFonts w:ascii="Times" w:eastAsia="Arial" w:hAnsi="Times" w:cs="Arial"/>
                <w:b/>
                <w:bCs/>
                <w:color w:val="000000"/>
              </w:rPr>
              <w:t>18 (85.7)</w:t>
            </w:r>
          </w:p>
        </w:tc>
        <w:tc>
          <w:tcPr>
            <w:tcW w:w="2430" w:type="dxa"/>
            <w:tcBorders>
              <w:top w:val="nil"/>
              <w:left w:val="nil"/>
              <w:bottom w:val="nil"/>
              <w:right w:val="nil"/>
            </w:tcBorders>
            <w:vAlign w:val="center"/>
          </w:tcPr>
          <w:p w14:paraId="3695923F" w14:textId="77777777" w:rsidR="001F295F" w:rsidRPr="005E0B24" w:rsidRDefault="001F295F" w:rsidP="005B09BA">
            <w:pPr>
              <w:spacing w:line="360" w:lineRule="auto"/>
              <w:jc w:val="center"/>
              <w:rPr>
                <w:rFonts w:ascii="Times" w:eastAsia="Arial" w:hAnsi="Times" w:cs="Arial"/>
                <w:b/>
                <w:bCs/>
                <w:color w:val="000000"/>
              </w:rPr>
            </w:pPr>
            <w:r w:rsidRPr="005E0B24">
              <w:rPr>
                <w:rFonts w:ascii="Times" w:eastAsia="Arial" w:hAnsi="Times" w:cs="Arial"/>
                <w:b/>
                <w:bCs/>
                <w:color w:val="000000"/>
              </w:rPr>
              <w:t>44 (58.7)</w:t>
            </w:r>
          </w:p>
        </w:tc>
        <w:tc>
          <w:tcPr>
            <w:tcW w:w="1258" w:type="dxa"/>
            <w:tcBorders>
              <w:top w:val="nil"/>
              <w:left w:val="nil"/>
              <w:bottom w:val="nil"/>
              <w:right w:val="nil"/>
            </w:tcBorders>
            <w:vAlign w:val="center"/>
          </w:tcPr>
          <w:p w14:paraId="23184DE9" w14:textId="77777777" w:rsidR="001F295F" w:rsidRPr="00CE40E4" w:rsidRDefault="001F295F" w:rsidP="005B09BA">
            <w:pPr>
              <w:spacing w:line="360" w:lineRule="auto"/>
              <w:jc w:val="center"/>
              <w:rPr>
                <w:rFonts w:ascii="Times" w:eastAsia="Arial" w:hAnsi="Times" w:cs="Arial"/>
                <w:b/>
                <w:color w:val="000000"/>
              </w:rPr>
            </w:pPr>
            <w:r w:rsidRPr="00CE40E4">
              <w:rPr>
                <w:rFonts w:ascii="Times" w:eastAsia="Arial" w:hAnsi="Times" w:cs="Arial"/>
                <w:b/>
                <w:color w:val="000000"/>
              </w:rPr>
              <w:t>0.023</w:t>
            </w:r>
          </w:p>
        </w:tc>
      </w:tr>
      <w:tr w:rsidR="00B705CB" w:rsidRPr="00CE40E4" w14:paraId="77932867" w14:textId="77777777" w:rsidTr="00B705CB">
        <w:trPr>
          <w:trHeight w:val="288"/>
        </w:trPr>
        <w:tc>
          <w:tcPr>
            <w:tcW w:w="1080" w:type="dxa"/>
            <w:tcBorders>
              <w:top w:val="nil"/>
              <w:left w:val="nil"/>
              <w:bottom w:val="nil"/>
              <w:right w:val="nil"/>
            </w:tcBorders>
            <w:shd w:val="clear" w:color="auto" w:fill="auto"/>
            <w:vAlign w:val="center"/>
          </w:tcPr>
          <w:p w14:paraId="003AC0DE" w14:textId="77777777" w:rsidR="001F295F" w:rsidRPr="00CE40E4" w:rsidRDefault="001F295F" w:rsidP="005B09BA">
            <w:pPr>
              <w:spacing w:line="360" w:lineRule="auto"/>
              <w:jc w:val="center"/>
              <w:rPr>
                <w:rFonts w:ascii="Times" w:eastAsia="Arial" w:hAnsi="Times" w:cs="Arial"/>
              </w:rPr>
            </w:pPr>
            <w:r w:rsidRPr="00CE40E4">
              <w:rPr>
                <w:rFonts w:ascii="Times" w:eastAsia="Arial" w:hAnsi="Times" w:cs="Arial"/>
              </w:rPr>
              <w:t>5</w:t>
            </w:r>
          </w:p>
        </w:tc>
        <w:tc>
          <w:tcPr>
            <w:tcW w:w="2070" w:type="dxa"/>
            <w:tcBorders>
              <w:top w:val="nil"/>
              <w:left w:val="nil"/>
              <w:bottom w:val="nil"/>
              <w:right w:val="nil"/>
            </w:tcBorders>
          </w:tcPr>
          <w:p w14:paraId="6905B0EE" w14:textId="77777777" w:rsidR="001F295F" w:rsidRPr="00CE40E4" w:rsidRDefault="001F295F" w:rsidP="005B09BA">
            <w:pPr>
              <w:spacing w:line="360" w:lineRule="auto"/>
              <w:rPr>
                <w:rFonts w:ascii="Times" w:eastAsia="Arial" w:hAnsi="Times" w:cs="Arial"/>
                <w:color w:val="000000"/>
              </w:rPr>
            </w:pPr>
            <w:r w:rsidRPr="00CE40E4">
              <w:rPr>
                <w:rFonts w:ascii="Times" w:eastAsia="Arial" w:hAnsi="Times" w:cs="Arial"/>
                <w:color w:val="000000"/>
              </w:rPr>
              <w:t>R Post Temporal</w:t>
            </w:r>
          </w:p>
        </w:tc>
        <w:tc>
          <w:tcPr>
            <w:tcW w:w="2430" w:type="dxa"/>
            <w:tcBorders>
              <w:top w:val="nil"/>
              <w:left w:val="nil"/>
              <w:bottom w:val="nil"/>
              <w:right w:val="nil"/>
            </w:tcBorders>
            <w:shd w:val="clear" w:color="auto" w:fill="auto"/>
            <w:vAlign w:val="center"/>
          </w:tcPr>
          <w:p w14:paraId="1A6181B7" w14:textId="77777777" w:rsidR="001F295F" w:rsidRPr="00CE40E4" w:rsidRDefault="001F295F" w:rsidP="005B09BA">
            <w:pPr>
              <w:spacing w:line="360" w:lineRule="auto"/>
              <w:jc w:val="center"/>
              <w:rPr>
                <w:rFonts w:ascii="Times" w:eastAsia="Arial" w:hAnsi="Times" w:cs="Arial"/>
                <w:color w:val="000000"/>
              </w:rPr>
            </w:pPr>
            <w:r w:rsidRPr="00CE40E4">
              <w:rPr>
                <w:rFonts w:ascii="Times" w:eastAsia="Arial" w:hAnsi="Times" w:cs="Arial"/>
                <w:color w:val="000000"/>
              </w:rPr>
              <w:t>6</w:t>
            </w:r>
            <w:r>
              <w:rPr>
                <w:rFonts w:ascii="Times" w:eastAsia="Arial" w:hAnsi="Times" w:cs="Arial"/>
                <w:color w:val="000000"/>
              </w:rPr>
              <w:t xml:space="preserve"> (30.0)</w:t>
            </w:r>
          </w:p>
        </w:tc>
        <w:tc>
          <w:tcPr>
            <w:tcW w:w="2430" w:type="dxa"/>
            <w:tcBorders>
              <w:top w:val="nil"/>
              <w:left w:val="nil"/>
              <w:bottom w:val="nil"/>
              <w:right w:val="nil"/>
            </w:tcBorders>
            <w:vAlign w:val="center"/>
          </w:tcPr>
          <w:p w14:paraId="29BA16E2" w14:textId="77777777" w:rsidR="001F295F" w:rsidRPr="00CE40E4" w:rsidRDefault="001F295F" w:rsidP="005B09BA">
            <w:pPr>
              <w:spacing w:line="360" w:lineRule="auto"/>
              <w:jc w:val="center"/>
              <w:rPr>
                <w:rFonts w:ascii="Times" w:eastAsia="Arial" w:hAnsi="Times" w:cs="Arial"/>
                <w:color w:val="000000"/>
              </w:rPr>
            </w:pPr>
            <w:r w:rsidRPr="00CE40E4">
              <w:rPr>
                <w:rFonts w:ascii="Times" w:eastAsia="Arial" w:hAnsi="Times" w:cs="Arial"/>
                <w:color w:val="000000"/>
              </w:rPr>
              <w:t>11</w:t>
            </w:r>
            <w:r>
              <w:rPr>
                <w:rFonts w:ascii="Times" w:eastAsia="Arial" w:hAnsi="Times" w:cs="Arial"/>
                <w:color w:val="000000"/>
              </w:rPr>
              <w:t xml:space="preserve"> (14.7)</w:t>
            </w:r>
          </w:p>
        </w:tc>
        <w:tc>
          <w:tcPr>
            <w:tcW w:w="1258" w:type="dxa"/>
            <w:tcBorders>
              <w:top w:val="nil"/>
              <w:left w:val="nil"/>
              <w:bottom w:val="nil"/>
              <w:right w:val="nil"/>
            </w:tcBorders>
            <w:vAlign w:val="center"/>
          </w:tcPr>
          <w:p w14:paraId="630CA7ED" w14:textId="77777777" w:rsidR="001F295F" w:rsidRPr="00CE40E4" w:rsidRDefault="001F295F" w:rsidP="005B09BA">
            <w:pPr>
              <w:spacing w:line="360" w:lineRule="auto"/>
              <w:jc w:val="center"/>
              <w:rPr>
                <w:rFonts w:ascii="Times" w:eastAsia="Arial" w:hAnsi="Times" w:cs="Arial"/>
                <w:color w:val="000000"/>
              </w:rPr>
            </w:pPr>
            <w:r w:rsidRPr="00CE40E4">
              <w:rPr>
                <w:rFonts w:ascii="Times" w:eastAsia="Arial" w:hAnsi="Times" w:cs="Arial"/>
                <w:color w:val="000000"/>
              </w:rPr>
              <w:t>0.185</w:t>
            </w:r>
          </w:p>
        </w:tc>
      </w:tr>
      <w:tr w:rsidR="00B705CB" w:rsidRPr="00CE40E4" w14:paraId="306ED74B" w14:textId="77777777" w:rsidTr="00B705CB">
        <w:trPr>
          <w:trHeight w:val="288"/>
        </w:trPr>
        <w:tc>
          <w:tcPr>
            <w:tcW w:w="1080" w:type="dxa"/>
            <w:tcBorders>
              <w:top w:val="nil"/>
              <w:left w:val="nil"/>
              <w:bottom w:val="nil"/>
              <w:right w:val="nil"/>
            </w:tcBorders>
            <w:shd w:val="clear" w:color="auto" w:fill="auto"/>
            <w:vAlign w:val="center"/>
          </w:tcPr>
          <w:p w14:paraId="6381FA8A" w14:textId="77777777" w:rsidR="001F295F" w:rsidRPr="00CE40E4" w:rsidRDefault="001F295F" w:rsidP="005B09BA">
            <w:pPr>
              <w:spacing w:line="360" w:lineRule="auto"/>
              <w:jc w:val="center"/>
              <w:rPr>
                <w:rFonts w:ascii="Times" w:eastAsia="Arial" w:hAnsi="Times" w:cs="Arial"/>
              </w:rPr>
            </w:pPr>
            <w:r w:rsidRPr="00CE40E4">
              <w:rPr>
                <w:rFonts w:ascii="Times" w:eastAsia="Arial" w:hAnsi="Times" w:cs="Arial"/>
              </w:rPr>
              <w:t>6</w:t>
            </w:r>
          </w:p>
        </w:tc>
        <w:tc>
          <w:tcPr>
            <w:tcW w:w="2070" w:type="dxa"/>
            <w:tcBorders>
              <w:top w:val="nil"/>
              <w:left w:val="nil"/>
              <w:bottom w:val="nil"/>
              <w:right w:val="nil"/>
            </w:tcBorders>
          </w:tcPr>
          <w:p w14:paraId="0C757B8B" w14:textId="77777777" w:rsidR="001F295F" w:rsidRPr="00CE40E4" w:rsidRDefault="001F295F" w:rsidP="005B09BA">
            <w:pPr>
              <w:spacing w:line="360" w:lineRule="auto"/>
              <w:rPr>
                <w:rFonts w:ascii="Times" w:eastAsia="Arial" w:hAnsi="Times" w:cs="Arial"/>
                <w:color w:val="000000"/>
              </w:rPr>
            </w:pPr>
            <w:r w:rsidRPr="00CE40E4">
              <w:rPr>
                <w:rFonts w:ascii="Times" w:eastAsia="Arial" w:hAnsi="Times" w:cs="Arial"/>
                <w:color w:val="000000"/>
              </w:rPr>
              <w:t>R Insular</w:t>
            </w:r>
          </w:p>
        </w:tc>
        <w:tc>
          <w:tcPr>
            <w:tcW w:w="2430" w:type="dxa"/>
            <w:tcBorders>
              <w:top w:val="nil"/>
              <w:left w:val="nil"/>
              <w:bottom w:val="nil"/>
              <w:right w:val="nil"/>
            </w:tcBorders>
            <w:shd w:val="clear" w:color="auto" w:fill="auto"/>
            <w:vAlign w:val="center"/>
          </w:tcPr>
          <w:p w14:paraId="12113D32" w14:textId="77777777" w:rsidR="001F295F" w:rsidRPr="00CE40E4" w:rsidRDefault="001F295F" w:rsidP="005B09BA">
            <w:pPr>
              <w:spacing w:line="360" w:lineRule="auto"/>
              <w:jc w:val="center"/>
              <w:rPr>
                <w:rFonts w:ascii="Times" w:eastAsia="Arial" w:hAnsi="Times" w:cs="Arial"/>
                <w:color w:val="000000"/>
              </w:rPr>
            </w:pPr>
            <w:r w:rsidRPr="00CE40E4">
              <w:rPr>
                <w:rFonts w:ascii="Times" w:eastAsia="Arial" w:hAnsi="Times" w:cs="Arial"/>
                <w:color w:val="000000"/>
              </w:rPr>
              <w:t>4</w:t>
            </w:r>
            <w:r>
              <w:rPr>
                <w:rFonts w:ascii="Times" w:eastAsia="Arial" w:hAnsi="Times" w:cs="Arial"/>
                <w:color w:val="000000"/>
              </w:rPr>
              <w:t xml:space="preserve"> (21.1)</w:t>
            </w:r>
          </w:p>
        </w:tc>
        <w:tc>
          <w:tcPr>
            <w:tcW w:w="2430" w:type="dxa"/>
            <w:tcBorders>
              <w:top w:val="nil"/>
              <w:left w:val="nil"/>
              <w:bottom w:val="nil"/>
              <w:right w:val="nil"/>
            </w:tcBorders>
            <w:vAlign w:val="center"/>
          </w:tcPr>
          <w:p w14:paraId="3A655565" w14:textId="77777777" w:rsidR="001F295F" w:rsidRPr="00CE40E4" w:rsidRDefault="001F295F" w:rsidP="005B09BA">
            <w:pPr>
              <w:spacing w:line="360" w:lineRule="auto"/>
              <w:jc w:val="center"/>
              <w:rPr>
                <w:rFonts w:ascii="Times" w:eastAsia="Arial" w:hAnsi="Times" w:cs="Arial"/>
                <w:color w:val="000000"/>
              </w:rPr>
            </w:pPr>
            <w:r w:rsidRPr="00CE40E4">
              <w:rPr>
                <w:rFonts w:ascii="Times" w:eastAsia="Arial" w:hAnsi="Times" w:cs="Arial"/>
                <w:color w:val="000000"/>
              </w:rPr>
              <w:t>11</w:t>
            </w:r>
            <w:r>
              <w:rPr>
                <w:rFonts w:ascii="Times" w:eastAsia="Arial" w:hAnsi="Times" w:cs="Arial"/>
                <w:color w:val="000000"/>
              </w:rPr>
              <w:t xml:space="preserve"> (14.7)</w:t>
            </w:r>
          </w:p>
        </w:tc>
        <w:tc>
          <w:tcPr>
            <w:tcW w:w="1258" w:type="dxa"/>
            <w:tcBorders>
              <w:top w:val="nil"/>
              <w:left w:val="nil"/>
              <w:bottom w:val="nil"/>
              <w:right w:val="nil"/>
            </w:tcBorders>
            <w:vAlign w:val="center"/>
          </w:tcPr>
          <w:p w14:paraId="5C89E04D" w14:textId="77777777" w:rsidR="001F295F" w:rsidRPr="00CE40E4" w:rsidRDefault="001F295F" w:rsidP="005B09BA">
            <w:pPr>
              <w:spacing w:line="360" w:lineRule="auto"/>
              <w:jc w:val="center"/>
              <w:rPr>
                <w:rFonts w:ascii="Times" w:eastAsia="Arial" w:hAnsi="Times" w:cs="Arial"/>
                <w:color w:val="000000"/>
              </w:rPr>
            </w:pPr>
            <w:r w:rsidRPr="00CE40E4">
              <w:rPr>
                <w:rFonts w:ascii="Times" w:eastAsia="Arial" w:hAnsi="Times" w:cs="Arial"/>
                <w:color w:val="000000"/>
              </w:rPr>
              <w:t>0.495</w:t>
            </w:r>
          </w:p>
        </w:tc>
      </w:tr>
      <w:tr w:rsidR="00B705CB" w:rsidRPr="00CE40E4" w14:paraId="61E04FB7" w14:textId="77777777" w:rsidTr="00B705CB">
        <w:trPr>
          <w:trHeight w:val="288"/>
        </w:trPr>
        <w:tc>
          <w:tcPr>
            <w:tcW w:w="1080" w:type="dxa"/>
            <w:tcBorders>
              <w:top w:val="nil"/>
              <w:left w:val="nil"/>
              <w:bottom w:val="nil"/>
              <w:right w:val="nil"/>
            </w:tcBorders>
            <w:shd w:val="clear" w:color="auto" w:fill="auto"/>
            <w:vAlign w:val="center"/>
          </w:tcPr>
          <w:p w14:paraId="2746329D" w14:textId="77777777" w:rsidR="001F295F" w:rsidRPr="00CE40E4" w:rsidRDefault="001F295F" w:rsidP="005B09BA">
            <w:pPr>
              <w:spacing w:line="360" w:lineRule="auto"/>
              <w:jc w:val="center"/>
              <w:rPr>
                <w:rFonts w:ascii="Times" w:eastAsia="Arial" w:hAnsi="Times" w:cs="Arial"/>
              </w:rPr>
            </w:pPr>
            <w:r w:rsidRPr="00CE40E4">
              <w:rPr>
                <w:rFonts w:ascii="Times" w:eastAsia="Arial" w:hAnsi="Times" w:cs="Arial"/>
              </w:rPr>
              <w:t>7</w:t>
            </w:r>
          </w:p>
        </w:tc>
        <w:tc>
          <w:tcPr>
            <w:tcW w:w="2070" w:type="dxa"/>
            <w:tcBorders>
              <w:top w:val="nil"/>
              <w:left w:val="nil"/>
              <w:bottom w:val="nil"/>
              <w:right w:val="nil"/>
            </w:tcBorders>
          </w:tcPr>
          <w:p w14:paraId="4B1066C2" w14:textId="77777777" w:rsidR="001F295F" w:rsidRPr="00CE40E4" w:rsidRDefault="001F295F" w:rsidP="005B09BA">
            <w:pPr>
              <w:spacing w:line="360" w:lineRule="auto"/>
              <w:rPr>
                <w:rFonts w:ascii="Times" w:eastAsia="Arial" w:hAnsi="Times" w:cs="Arial"/>
                <w:color w:val="000000"/>
              </w:rPr>
            </w:pPr>
            <w:r w:rsidRPr="00CE40E4">
              <w:rPr>
                <w:rFonts w:ascii="Times" w:eastAsia="Arial" w:hAnsi="Times" w:cs="Arial"/>
                <w:color w:val="000000"/>
              </w:rPr>
              <w:t>R Parietal</w:t>
            </w:r>
          </w:p>
        </w:tc>
        <w:tc>
          <w:tcPr>
            <w:tcW w:w="2430" w:type="dxa"/>
            <w:tcBorders>
              <w:top w:val="nil"/>
              <w:left w:val="nil"/>
              <w:bottom w:val="nil"/>
              <w:right w:val="nil"/>
            </w:tcBorders>
            <w:shd w:val="clear" w:color="auto" w:fill="auto"/>
            <w:vAlign w:val="center"/>
          </w:tcPr>
          <w:p w14:paraId="4F430362" w14:textId="77777777" w:rsidR="001F295F" w:rsidRPr="00CE40E4" w:rsidRDefault="001F295F" w:rsidP="005B09BA">
            <w:pPr>
              <w:spacing w:line="360" w:lineRule="auto"/>
              <w:jc w:val="center"/>
              <w:rPr>
                <w:rFonts w:ascii="Times" w:eastAsia="Arial" w:hAnsi="Times" w:cs="Arial"/>
                <w:color w:val="000000"/>
              </w:rPr>
            </w:pPr>
            <w:r w:rsidRPr="00CE40E4">
              <w:rPr>
                <w:rFonts w:ascii="Times" w:eastAsia="Arial" w:hAnsi="Times" w:cs="Arial"/>
                <w:color w:val="000000"/>
              </w:rPr>
              <w:t>2</w:t>
            </w:r>
            <w:r>
              <w:rPr>
                <w:rFonts w:ascii="Times" w:eastAsia="Arial" w:hAnsi="Times" w:cs="Arial"/>
                <w:color w:val="000000"/>
              </w:rPr>
              <w:t xml:space="preserve"> (10.5)</w:t>
            </w:r>
          </w:p>
        </w:tc>
        <w:tc>
          <w:tcPr>
            <w:tcW w:w="2430" w:type="dxa"/>
            <w:tcBorders>
              <w:top w:val="nil"/>
              <w:left w:val="nil"/>
              <w:bottom w:val="nil"/>
              <w:right w:val="nil"/>
            </w:tcBorders>
            <w:vAlign w:val="center"/>
          </w:tcPr>
          <w:p w14:paraId="58E59773" w14:textId="77777777" w:rsidR="001F295F" w:rsidRPr="00CE40E4" w:rsidRDefault="001F295F" w:rsidP="005B09BA">
            <w:pPr>
              <w:spacing w:line="360" w:lineRule="auto"/>
              <w:jc w:val="center"/>
              <w:rPr>
                <w:rFonts w:ascii="Times" w:eastAsia="Arial" w:hAnsi="Times" w:cs="Arial"/>
                <w:color w:val="000000"/>
              </w:rPr>
            </w:pPr>
            <w:r w:rsidRPr="00CE40E4">
              <w:rPr>
                <w:rFonts w:ascii="Times" w:eastAsia="Arial" w:hAnsi="Times" w:cs="Arial"/>
                <w:color w:val="000000"/>
              </w:rPr>
              <w:t>12</w:t>
            </w:r>
            <w:r>
              <w:rPr>
                <w:rFonts w:ascii="Times" w:eastAsia="Arial" w:hAnsi="Times" w:cs="Arial"/>
                <w:color w:val="000000"/>
              </w:rPr>
              <w:t xml:space="preserve"> (16.0)</w:t>
            </w:r>
          </w:p>
        </w:tc>
        <w:tc>
          <w:tcPr>
            <w:tcW w:w="1258" w:type="dxa"/>
            <w:tcBorders>
              <w:top w:val="nil"/>
              <w:left w:val="nil"/>
              <w:bottom w:val="nil"/>
              <w:right w:val="nil"/>
            </w:tcBorders>
            <w:vAlign w:val="center"/>
          </w:tcPr>
          <w:p w14:paraId="7AEFF03D" w14:textId="77777777" w:rsidR="001F295F" w:rsidRPr="00CE40E4" w:rsidRDefault="001F295F" w:rsidP="005B09BA">
            <w:pPr>
              <w:spacing w:line="360" w:lineRule="auto"/>
              <w:jc w:val="center"/>
              <w:rPr>
                <w:rFonts w:ascii="Times" w:eastAsia="Arial" w:hAnsi="Times" w:cs="Arial"/>
                <w:color w:val="000000"/>
              </w:rPr>
            </w:pPr>
            <w:r w:rsidRPr="00CE40E4">
              <w:rPr>
                <w:rFonts w:ascii="Times" w:eastAsia="Arial" w:hAnsi="Times" w:cs="Arial"/>
                <w:color w:val="000000"/>
              </w:rPr>
              <w:t>0.728</w:t>
            </w:r>
          </w:p>
        </w:tc>
      </w:tr>
      <w:tr w:rsidR="00B705CB" w:rsidRPr="00CE40E4" w14:paraId="68F78EA8" w14:textId="77777777" w:rsidTr="00B705CB">
        <w:trPr>
          <w:trHeight w:val="288"/>
        </w:trPr>
        <w:tc>
          <w:tcPr>
            <w:tcW w:w="1080" w:type="dxa"/>
            <w:tcBorders>
              <w:top w:val="nil"/>
              <w:left w:val="nil"/>
              <w:bottom w:val="nil"/>
              <w:right w:val="nil"/>
            </w:tcBorders>
            <w:shd w:val="clear" w:color="auto" w:fill="auto"/>
            <w:vAlign w:val="center"/>
          </w:tcPr>
          <w:p w14:paraId="755F0D8C" w14:textId="77777777" w:rsidR="001F295F" w:rsidRPr="00CE40E4" w:rsidRDefault="001F295F" w:rsidP="005B09BA">
            <w:pPr>
              <w:spacing w:line="360" w:lineRule="auto"/>
              <w:jc w:val="center"/>
              <w:rPr>
                <w:rFonts w:ascii="Times" w:eastAsia="Arial" w:hAnsi="Times" w:cs="Arial"/>
              </w:rPr>
            </w:pPr>
            <w:r w:rsidRPr="00CE40E4">
              <w:rPr>
                <w:rFonts w:ascii="Times" w:eastAsia="Arial" w:hAnsi="Times" w:cs="Arial"/>
              </w:rPr>
              <w:t>8</w:t>
            </w:r>
          </w:p>
        </w:tc>
        <w:tc>
          <w:tcPr>
            <w:tcW w:w="2070" w:type="dxa"/>
            <w:tcBorders>
              <w:top w:val="nil"/>
              <w:left w:val="nil"/>
              <w:bottom w:val="nil"/>
              <w:right w:val="nil"/>
            </w:tcBorders>
          </w:tcPr>
          <w:p w14:paraId="5A97AD8B" w14:textId="77777777" w:rsidR="001F295F" w:rsidRPr="00CE40E4" w:rsidRDefault="001F295F" w:rsidP="005B09BA">
            <w:pPr>
              <w:spacing w:line="360" w:lineRule="auto"/>
              <w:rPr>
                <w:rFonts w:ascii="Times" w:eastAsia="Arial" w:hAnsi="Times" w:cs="Arial"/>
                <w:color w:val="000000"/>
              </w:rPr>
            </w:pPr>
            <w:r w:rsidRPr="00CE40E4">
              <w:rPr>
                <w:rFonts w:ascii="Times" w:eastAsia="Arial" w:hAnsi="Times" w:cs="Arial"/>
                <w:color w:val="000000"/>
              </w:rPr>
              <w:t>R Occipital</w:t>
            </w:r>
          </w:p>
        </w:tc>
        <w:tc>
          <w:tcPr>
            <w:tcW w:w="2430" w:type="dxa"/>
            <w:tcBorders>
              <w:top w:val="nil"/>
              <w:left w:val="nil"/>
              <w:bottom w:val="nil"/>
              <w:right w:val="nil"/>
            </w:tcBorders>
            <w:shd w:val="clear" w:color="auto" w:fill="auto"/>
            <w:vAlign w:val="center"/>
          </w:tcPr>
          <w:p w14:paraId="07E986BD" w14:textId="77777777" w:rsidR="001F295F" w:rsidRPr="00CE40E4" w:rsidRDefault="001F295F" w:rsidP="005B09BA">
            <w:pPr>
              <w:spacing w:line="360" w:lineRule="auto"/>
              <w:jc w:val="center"/>
              <w:rPr>
                <w:rFonts w:ascii="Times" w:eastAsia="Arial" w:hAnsi="Times" w:cs="Arial"/>
                <w:color w:val="000000"/>
              </w:rPr>
            </w:pPr>
            <w:r w:rsidRPr="00CE40E4">
              <w:rPr>
                <w:rFonts w:ascii="Times" w:eastAsia="Arial" w:hAnsi="Times" w:cs="Arial"/>
                <w:color w:val="000000"/>
              </w:rPr>
              <w:t>8</w:t>
            </w:r>
            <w:r>
              <w:rPr>
                <w:rFonts w:ascii="Times" w:eastAsia="Arial" w:hAnsi="Times" w:cs="Arial"/>
                <w:color w:val="000000"/>
              </w:rPr>
              <w:t xml:space="preserve"> (42.1)</w:t>
            </w:r>
          </w:p>
        </w:tc>
        <w:tc>
          <w:tcPr>
            <w:tcW w:w="2430" w:type="dxa"/>
            <w:tcBorders>
              <w:top w:val="nil"/>
              <w:left w:val="nil"/>
              <w:bottom w:val="nil"/>
              <w:right w:val="nil"/>
            </w:tcBorders>
            <w:vAlign w:val="center"/>
          </w:tcPr>
          <w:p w14:paraId="24E2C0F3" w14:textId="77777777" w:rsidR="001F295F" w:rsidRPr="00CE40E4" w:rsidRDefault="001F295F" w:rsidP="005B09BA">
            <w:pPr>
              <w:spacing w:line="360" w:lineRule="auto"/>
              <w:jc w:val="center"/>
              <w:rPr>
                <w:rFonts w:ascii="Times" w:eastAsia="Arial" w:hAnsi="Times" w:cs="Arial"/>
                <w:color w:val="000000"/>
              </w:rPr>
            </w:pPr>
            <w:r w:rsidRPr="00CE40E4">
              <w:rPr>
                <w:rFonts w:ascii="Times" w:eastAsia="Arial" w:hAnsi="Times" w:cs="Arial"/>
                <w:color w:val="000000"/>
              </w:rPr>
              <w:t>17</w:t>
            </w:r>
            <w:r>
              <w:rPr>
                <w:rFonts w:ascii="Times" w:eastAsia="Arial" w:hAnsi="Times" w:cs="Arial"/>
                <w:color w:val="000000"/>
              </w:rPr>
              <w:t xml:space="preserve"> (22.7)</w:t>
            </w:r>
          </w:p>
        </w:tc>
        <w:tc>
          <w:tcPr>
            <w:tcW w:w="1258" w:type="dxa"/>
            <w:tcBorders>
              <w:top w:val="nil"/>
              <w:left w:val="nil"/>
              <w:bottom w:val="nil"/>
              <w:right w:val="nil"/>
            </w:tcBorders>
            <w:vAlign w:val="center"/>
          </w:tcPr>
          <w:p w14:paraId="2A10FE46" w14:textId="77777777" w:rsidR="001F295F" w:rsidRPr="00CE40E4" w:rsidRDefault="001F295F" w:rsidP="005B09BA">
            <w:pPr>
              <w:spacing w:line="360" w:lineRule="auto"/>
              <w:jc w:val="center"/>
              <w:rPr>
                <w:rFonts w:ascii="Times" w:eastAsia="Arial" w:hAnsi="Times" w:cs="Arial"/>
                <w:color w:val="000000"/>
              </w:rPr>
            </w:pPr>
            <w:r w:rsidRPr="00CE40E4">
              <w:rPr>
                <w:rFonts w:ascii="Times" w:eastAsia="Arial" w:hAnsi="Times" w:cs="Arial"/>
                <w:color w:val="000000"/>
              </w:rPr>
              <w:t>0.143</w:t>
            </w:r>
          </w:p>
        </w:tc>
      </w:tr>
      <w:tr w:rsidR="00B705CB" w:rsidRPr="00CE40E4" w14:paraId="126CB646" w14:textId="77777777" w:rsidTr="00B705CB">
        <w:trPr>
          <w:trHeight w:val="288"/>
        </w:trPr>
        <w:tc>
          <w:tcPr>
            <w:tcW w:w="1080" w:type="dxa"/>
            <w:tcBorders>
              <w:top w:val="nil"/>
              <w:left w:val="nil"/>
              <w:bottom w:val="nil"/>
              <w:right w:val="nil"/>
            </w:tcBorders>
            <w:shd w:val="clear" w:color="auto" w:fill="auto"/>
            <w:vAlign w:val="center"/>
          </w:tcPr>
          <w:p w14:paraId="7C28AAF4" w14:textId="77777777" w:rsidR="001F295F" w:rsidRPr="006312E9" w:rsidRDefault="001F295F" w:rsidP="005B09BA">
            <w:pPr>
              <w:spacing w:line="360" w:lineRule="auto"/>
              <w:jc w:val="center"/>
              <w:rPr>
                <w:rFonts w:ascii="Times" w:eastAsia="Arial" w:hAnsi="Times" w:cs="Arial"/>
                <w:b/>
                <w:bCs/>
              </w:rPr>
            </w:pPr>
            <w:r w:rsidRPr="006312E9">
              <w:rPr>
                <w:rFonts w:ascii="Times" w:eastAsia="Arial" w:hAnsi="Times" w:cs="Arial"/>
                <w:b/>
                <w:bCs/>
              </w:rPr>
              <w:t>9</w:t>
            </w:r>
          </w:p>
        </w:tc>
        <w:tc>
          <w:tcPr>
            <w:tcW w:w="2070" w:type="dxa"/>
            <w:tcBorders>
              <w:top w:val="nil"/>
              <w:left w:val="nil"/>
              <w:bottom w:val="nil"/>
              <w:right w:val="nil"/>
            </w:tcBorders>
          </w:tcPr>
          <w:p w14:paraId="3F33505F" w14:textId="77777777" w:rsidR="001F295F" w:rsidRPr="006312E9" w:rsidRDefault="001F295F" w:rsidP="005B09BA">
            <w:pPr>
              <w:spacing w:line="360" w:lineRule="auto"/>
              <w:rPr>
                <w:rFonts w:ascii="Times" w:eastAsia="Arial" w:hAnsi="Times" w:cs="Arial"/>
                <w:b/>
                <w:bCs/>
                <w:color w:val="000000"/>
              </w:rPr>
            </w:pPr>
            <w:r w:rsidRPr="006312E9">
              <w:rPr>
                <w:rFonts w:ascii="Times" w:eastAsia="Arial" w:hAnsi="Times" w:cs="Arial"/>
                <w:b/>
                <w:bCs/>
                <w:color w:val="000000"/>
              </w:rPr>
              <w:t>L Ant Temporal</w:t>
            </w:r>
          </w:p>
        </w:tc>
        <w:tc>
          <w:tcPr>
            <w:tcW w:w="2430" w:type="dxa"/>
            <w:tcBorders>
              <w:top w:val="nil"/>
              <w:left w:val="nil"/>
              <w:bottom w:val="nil"/>
              <w:right w:val="nil"/>
            </w:tcBorders>
            <w:shd w:val="clear" w:color="auto" w:fill="auto"/>
            <w:vAlign w:val="center"/>
          </w:tcPr>
          <w:p w14:paraId="2E9F1E8F" w14:textId="77777777" w:rsidR="001F295F" w:rsidRPr="005E0B24" w:rsidRDefault="001F295F" w:rsidP="005B09BA">
            <w:pPr>
              <w:spacing w:line="360" w:lineRule="auto"/>
              <w:jc w:val="center"/>
              <w:rPr>
                <w:rFonts w:ascii="Times" w:eastAsia="Arial" w:hAnsi="Times" w:cs="Arial"/>
                <w:b/>
                <w:bCs/>
                <w:color w:val="000000"/>
              </w:rPr>
            </w:pPr>
            <w:r w:rsidRPr="005E0B24">
              <w:rPr>
                <w:rFonts w:ascii="Times" w:eastAsia="Arial" w:hAnsi="Times" w:cs="Arial"/>
                <w:b/>
                <w:bCs/>
                <w:color w:val="000000"/>
              </w:rPr>
              <w:t>15 (78.9)</w:t>
            </w:r>
          </w:p>
        </w:tc>
        <w:tc>
          <w:tcPr>
            <w:tcW w:w="2430" w:type="dxa"/>
            <w:tcBorders>
              <w:top w:val="nil"/>
              <w:left w:val="nil"/>
              <w:bottom w:val="nil"/>
              <w:right w:val="nil"/>
            </w:tcBorders>
            <w:vAlign w:val="center"/>
          </w:tcPr>
          <w:p w14:paraId="296429D2" w14:textId="77777777" w:rsidR="001F295F" w:rsidRPr="005E0B24" w:rsidRDefault="001F295F" w:rsidP="005B09BA">
            <w:pPr>
              <w:spacing w:line="360" w:lineRule="auto"/>
              <w:jc w:val="center"/>
              <w:rPr>
                <w:rFonts w:ascii="Times" w:eastAsia="Arial" w:hAnsi="Times" w:cs="Arial"/>
                <w:b/>
                <w:bCs/>
                <w:color w:val="000000"/>
              </w:rPr>
            </w:pPr>
            <w:r w:rsidRPr="005E0B24">
              <w:rPr>
                <w:rFonts w:ascii="Times" w:eastAsia="Arial" w:hAnsi="Times" w:cs="Arial"/>
                <w:b/>
                <w:bCs/>
                <w:color w:val="000000"/>
              </w:rPr>
              <w:t>30 (40.0)</w:t>
            </w:r>
          </w:p>
        </w:tc>
        <w:tc>
          <w:tcPr>
            <w:tcW w:w="1258" w:type="dxa"/>
            <w:tcBorders>
              <w:top w:val="nil"/>
              <w:left w:val="nil"/>
              <w:bottom w:val="nil"/>
              <w:right w:val="nil"/>
            </w:tcBorders>
            <w:vAlign w:val="center"/>
          </w:tcPr>
          <w:p w14:paraId="02A516EA" w14:textId="77777777" w:rsidR="001F295F" w:rsidRPr="00CE40E4" w:rsidRDefault="001F295F" w:rsidP="005B09BA">
            <w:pPr>
              <w:spacing w:line="360" w:lineRule="auto"/>
              <w:jc w:val="center"/>
              <w:rPr>
                <w:rFonts w:ascii="Times" w:eastAsia="Arial" w:hAnsi="Times" w:cs="Arial"/>
                <w:b/>
                <w:color w:val="000000"/>
              </w:rPr>
            </w:pPr>
            <w:r w:rsidRPr="00CE40E4">
              <w:rPr>
                <w:rFonts w:ascii="Times" w:eastAsia="Arial" w:hAnsi="Times" w:cs="Arial"/>
                <w:b/>
                <w:color w:val="000000"/>
              </w:rPr>
              <w:t>0.004</w:t>
            </w:r>
          </w:p>
        </w:tc>
      </w:tr>
      <w:tr w:rsidR="00B705CB" w:rsidRPr="00CE40E4" w14:paraId="48DB03AA" w14:textId="77777777" w:rsidTr="00B705CB">
        <w:trPr>
          <w:trHeight w:val="288"/>
        </w:trPr>
        <w:tc>
          <w:tcPr>
            <w:tcW w:w="1080" w:type="dxa"/>
            <w:tcBorders>
              <w:top w:val="nil"/>
              <w:left w:val="nil"/>
              <w:bottom w:val="nil"/>
              <w:right w:val="nil"/>
            </w:tcBorders>
            <w:shd w:val="clear" w:color="auto" w:fill="auto"/>
            <w:vAlign w:val="center"/>
          </w:tcPr>
          <w:p w14:paraId="6F9955CC" w14:textId="77777777" w:rsidR="001F295F" w:rsidRPr="00CE40E4" w:rsidRDefault="001F295F" w:rsidP="005B09BA">
            <w:pPr>
              <w:spacing w:line="360" w:lineRule="auto"/>
              <w:jc w:val="center"/>
              <w:rPr>
                <w:rFonts w:ascii="Times" w:eastAsia="Arial" w:hAnsi="Times" w:cs="Arial"/>
              </w:rPr>
            </w:pPr>
            <w:r w:rsidRPr="00CE40E4">
              <w:rPr>
                <w:rFonts w:ascii="Times" w:eastAsia="Arial" w:hAnsi="Times" w:cs="Arial"/>
              </w:rPr>
              <w:t>10</w:t>
            </w:r>
          </w:p>
        </w:tc>
        <w:tc>
          <w:tcPr>
            <w:tcW w:w="2070" w:type="dxa"/>
            <w:tcBorders>
              <w:top w:val="nil"/>
              <w:left w:val="nil"/>
              <w:bottom w:val="nil"/>
              <w:right w:val="nil"/>
            </w:tcBorders>
          </w:tcPr>
          <w:p w14:paraId="687D770E" w14:textId="77777777" w:rsidR="001F295F" w:rsidRPr="00CE40E4" w:rsidRDefault="001F295F" w:rsidP="005B09BA">
            <w:pPr>
              <w:spacing w:line="360" w:lineRule="auto"/>
              <w:rPr>
                <w:rFonts w:ascii="Times" w:eastAsia="Arial" w:hAnsi="Times" w:cs="Arial"/>
                <w:color w:val="000000"/>
              </w:rPr>
            </w:pPr>
            <w:r w:rsidRPr="00CE40E4">
              <w:rPr>
                <w:rFonts w:ascii="Times" w:eastAsia="Arial" w:hAnsi="Times" w:cs="Arial"/>
                <w:color w:val="000000"/>
              </w:rPr>
              <w:t>L Thalamus</w:t>
            </w:r>
          </w:p>
        </w:tc>
        <w:tc>
          <w:tcPr>
            <w:tcW w:w="2430" w:type="dxa"/>
            <w:tcBorders>
              <w:top w:val="nil"/>
              <w:left w:val="nil"/>
              <w:bottom w:val="nil"/>
              <w:right w:val="nil"/>
            </w:tcBorders>
            <w:shd w:val="clear" w:color="auto" w:fill="auto"/>
            <w:vAlign w:val="center"/>
          </w:tcPr>
          <w:p w14:paraId="304D4F58" w14:textId="77777777" w:rsidR="001F295F" w:rsidRPr="00CE40E4" w:rsidRDefault="001F295F" w:rsidP="005B09BA">
            <w:pPr>
              <w:spacing w:line="360" w:lineRule="auto"/>
              <w:jc w:val="center"/>
              <w:rPr>
                <w:rFonts w:ascii="Times" w:eastAsia="Arial" w:hAnsi="Times" w:cs="Arial"/>
                <w:color w:val="000000"/>
              </w:rPr>
            </w:pPr>
            <w:r w:rsidRPr="00CE40E4">
              <w:rPr>
                <w:rFonts w:ascii="Times" w:eastAsia="Arial" w:hAnsi="Times" w:cs="Arial"/>
                <w:color w:val="000000"/>
              </w:rPr>
              <w:t>0</w:t>
            </w:r>
            <w:r>
              <w:rPr>
                <w:rFonts w:ascii="Times" w:eastAsia="Arial" w:hAnsi="Times" w:cs="Arial"/>
                <w:color w:val="000000"/>
              </w:rPr>
              <w:t xml:space="preserve"> (0.0)</w:t>
            </w:r>
          </w:p>
        </w:tc>
        <w:tc>
          <w:tcPr>
            <w:tcW w:w="2430" w:type="dxa"/>
            <w:tcBorders>
              <w:top w:val="nil"/>
              <w:left w:val="nil"/>
              <w:bottom w:val="nil"/>
              <w:right w:val="nil"/>
            </w:tcBorders>
            <w:vAlign w:val="center"/>
          </w:tcPr>
          <w:p w14:paraId="20E9B518" w14:textId="77777777" w:rsidR="001F295F" w:rsidRPr="00CE40E4" w:rsidRDefault="001F295F" w:rsidP="005B09BA">
            <w:pPr>
              <w:spacing w:line="360" w:lineRule="auto"/>
              <w:jc w:val="center"/>
              <w:rPr>
                <w:rFonts w:ascii="Times" w:eastAsia="Arial" w:hAnsi="Times" w:cs="Arial"/>
                <w:color w:val="000000"/>
              </w:rPr>
            </w:pPr>
            <w:r w:rsidRPr="00CE40E4">
              <w:rPr>
                <w:rFonts w:ascii="Times" w:eastAsia="Arial" w:hAnsi="Times" w:cs="Arial"/>
                <w:color w:val="000000"/>
              </w:rPr>
              <w:t>2</w:t>
            </w:r>
            <w:r>
              <w:rPr>
                <w:rFonts w:ascii="Times" w:eastAsia="Arial" w:hAnsi="Times" w:cs="Arial"/>
                <w:color w:val="000000"/>
              </w:rPr>
              <w:t xml:space="preserve"> (2.7)</w:t>
            </w:r>
          </w:p>
        </w:tc>
        <w:tc>
          <w:tcPr>
            <w:tcW w:w="1258" w:type="dxa"/>
            <w:tcBorders>
              <w:top w:val="nil"/>
              <w:left w:val="nil"/>
              <w:bottom w:val="nil"/>
              <w:right w:val="nil"/>
            </w:tcBorders>
            <w:vAlign w:val="center"/>
          </w:tcPr>
          <w:p w14:paraId="40D51031" w14:textId="77777777" w:rsidR="001F295F" w:rsidRPr="00CE40E4" w:rsidRDefault="001F295F" w:rsidP="005B09BA">
            <w:pPr>
              <w:spacing w:line="360" w:lineRule="auto"/>
              <w:jc w:val="center"/>
              <w:rPr>
                <w:rFonts w:ascii="Times" w:eastAsia="Arial" w:hAnsi="Times" w:cs="Arial"/>
                <w:color w:val="000000"/>
              </w:rPr>
            </w:pPr>
            <w:r w:rsidRPr="00CE40E4">
              <w:rPr>
                <w:rFonts w:ascii="Times" w:eastAsia="Arial" w:hAnsi="Times" w:cs="Arial"/>
                <w:color w:val="000000"/>
              </w:rPr>
              <w:t>0.999</w:t>
            </w:r>
          </w:p>
        </w:tc>
      </w:tr>
    </w:tbl>
    <w:p w14:paraId="15285EC3" w14:textId="6235D871" w:rsidR="00A96296" w:rsidRDefault="00A96296" w:rsidP="001F295F">
      <w:pPr>
        <w:spacing w:line="360" w:lineRule="auto"/>
        <w:rPr>
          <w:rFonts w:ascii="Times" w:eastAsia="Arial" w:hAnsi="Times" w:cs="Arial"/>
        </w:rPr>
      </w:pPr>
    </w:p>
    <w:p w14:paraId="46BD41A4" w14:textId="77777777" w:rsidR="00A96296" w:rsidRDefault="00A96296">
      <w:pPr>
        <w:rPr>
          <w:rFonts w:ascii="Times" w:eastAsia="Arial" w:hAnsi="Times" w:cs="Arial"/>
        </w:rPr>
      </w:pPr>
      <w:r>
        <w:rPr>
          <w:rFonts w:ascii="Times" w:eastAsia="Arial" w:hAnsi="Times" w:cs="Arial"/>
        </w:rPr>
        <w:br w:type="page"/>
      </w:r>
    </w:p>
    <w:p w14:paraId="3CB91E61" w14:textId="77777777" w:rsidR="00A96296" w:rsidRDefault="00A96296" w:rsidP="00A96296">
      <w:pPr>
        <w:rPr>
          <w:rFonts w:ascii="Times New Roman" w:hAnsi="Times New Roman" w:cs="Times New Roman"/>
          <w:bCs/>
          <w:noProof/>
        </w:rPr>
      </w:pPr>
      <w:r w:rsidRPr="00807F73">
        <w:rPr>
          <w:rFonts w:ascii="Times" w:eastAsia="Arial" w:hAnsi="Times" w:cs="Arial"/>
          <w:b/>
          <w:bCs/>
        </w:rPr>
        <w:lastRenderedPageBreak/>
        <w:t xml:space="preserve">Figure 3. </w:t>
      </w:r>
      <w:r w:rsidRPr="00CE40E4">
        <w:rPr>
          <w:rFonts w:ascii="Times New Roman" w:hAnsi="Times New Roman" w:cs="Times New Roman"/>
          <w:bCs/>
          <w:noProof/>
        </w:rPr>
        <w:t xml:space="preserve">The </w:t>
      </w:r>
      <w:r>
        <w:rPr>
          <w:rFonts w:ascii="Times New Roman" w:hAnsi="Times New Roman" w:cs="Times New Roman"/>
          <w:bCs/>
          <w:noProof/>
        </w:rPr>
        <w:t xml:space="preserve">number </w:t>
      </w:r>
      <w:r w:rsidRPr="00CE40E4">
        <w:rPr>
          <w:rFonts w:ascii="Times New Roman" w:hAnsi="Times New Roman" w:cs="Times New Roman"/>
          <w:bCs/>
          <w:noProof/>
        </w:rPr>
        <w:t xml:space="preserve">of </w:t>
      </w:r>
      <w:r>
        <w:rPr>
          <w:rFonts w:ascii="Times New Roman" w:hAnsi="Times New Roman" w:cs="Times New Roman"/>
          <w:bCs/>
          <w:noProof/>
        </w:rPr>
        <w:t xml:space="preserve">neurosurgical oncologists who elected to use intra- or peri-operative adjunctive tools and methods to resect GBMs in the </w:t>
      </w:r>
      <w:r w:rsidRPr="00807F73">
        <w:rPr>
          <w:rFonts w:ascii="Times New Roman" w:hAnsi="Times New Roman" w:cs="Times New Roman"/>
          <w:b/>
          <w:noProof/>
        </w:rPr>
        <w:t>(A)</w:t>
      </w:r>
      <w:r>
        <w:rPr>
          <w:rFonts w:ascii="Times New Roman" w:hAnsi="Times New Roman" w:cs="Times New Roman"/>
          <w:bCs/>
          <w:noProof/>
        </w:rPr>
        <w:t xml:space="preserve"> right frontal, </w:t>
      </w:r>
      <w:r w:rsidRPr="00807F73">
        <w:rPr>
          <w:rFonts w:ascii="Times New Roman" w:hAnsi="Times New Roman" w:cs="Times New Roman"/>
          <w:b/>
          <w:noProof/>
        </w:rPr>
        <w:t>(B)</w:t>
      </w:r>
      <w:r>
        <w:rPr>
          <w:rFonts w:ascii="Times New Roman" w:hAnsi="Times New Roman" w:cs="Times New Roman"/>
          <w:bCs/>
          <w:noProof/>
        </w:rPr>
        <w:t xml:space="preserve"> right anterior temporal, and </w:t>
      </w:r>
      <w:r w:rsidRPr="00807F73">
        <w:rPr>
          <w:rFonts w:ascii="Times New Roman" w:hAnsi="Times New Roman" w:cs="Times New Roman"/>
          <w:b/>
          <w:noProof/>
        </w:rPr>
        <w:t>(C)</w:t>
      </w:r>
      <w:r>
        <w:rPr>
          <w:rFonts w:ascii="Times New Roman" w:hAnsi="Times New Roman" w:cs="Times New Roman"/>
          <w:bCs/>
          <w:noProof/>
        </w:rPr>
        <w:t xml:space="preserve"> left anterior temporal lobes.</w:t>
      </w:r>
    </w:p>
    <w:p w14:paraId="24CF44CF" w14:textId="77777777" w:rsidR="00A96296" w:rsidRDefault="00A96296" w:rsidP="00A96296">
      <w:pPr>
        <w:rPr>
          <w:rFonts w:ascii="Times New Roman" w:hAnsi="Times New Roman" w:cs="Times New Roman"/>
          <w:bCs/>
          <w:noProof/>
        </w:rPr>
      </w:pPr>
      <w:r>
        <w:rPr>
          <w:rFonts w:ascii="Times New Roman" w:hAnsi="Times New Roman" w:cs="Times New Roman"/>
          <w:bCs/>
          <w:noProof/>
        </w:rPr>
        <w:drawing>
          <wp:inline distT="0" distB="0" distL="0" distR="0" wp14:anchorId="6ECF6D6E" wp14:editId="26A60FFF">
            <wp:extent cx="4635500" cy="2648080"/>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cstate="print">
                      <a:extLst>
                        <a:ext uri="{28A0092B-C50C-407E-A947-70E740481C1C}">
                          <a14:useLocalDpi xmlns:a14="http://schemas.microsoft.com/office/drawing/2010/main" val="0"/>
                        </a:ext>
                      </a:extLst>
                    </a:blip>
                    <a:stretch>
                      <a:fillRect/>
                    </a:stretch>
                  </pic:blipFill>
                  <pic:spPr>
                    <a:xfrm>
                      <a:off x="0" y="0"/>
                      <a:ext cx="4656015" cy="2659800"/>
                    </a:xfrm>
                    <a:prstGeom prst="rect">
                      <a:avLst/>
                    </a:prstGeom>
                  </pic:spPr>
                </pic:pic>
              </a:graphicData>
            </a:graphic>
          </wp:inline>
        </w:drawing>
      </w:r>
    </w:p>
    <w:p w14:paraId="3E8F7D4F" w14:textId="77777777" w:rsidR="00A96296" w:rsidRDefault="00A96296" w:rsidP="00A96296">
      <w:pPr>
        <w:rPr>
          <w:rFonts w:ascii="Times New Roman" w:hAnsi="Times New Roman" w:cs="Times New Roman"/>
          <w:bCs/>
          <w:noProof/>
        </w:rPr>
      </w:pPr>
      <w:r>
        <w:rPr>
          <w:rFonts w:ascii="Times New Roman" w:hAnsi="Times New Roman" w:cs="Times New Roman"/>
          <w:bCs/>
          <w:noProof/>
        </w:rPr>
        <w:drawing>
          <wp:inline distT="0" distB="0" distL="0" distR="0" wp14:anchorId="4BC06701" wp14:editId="2F3C6223">
            <wp:extent cx="4635500" cy="262975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6" cstate="print">
                      <a:extLst>
                        <a:ext uri="{28A0092B-C50C-407E-A947-70E740481C1C}">
                          <a14:useLocalDpi xmlns:a14="http://schemas.microsoft.com/office/drawing/2010/main" val="0"/>
                        </a:ext>
                      </a:extLst>
                    </a:blip>
                    <a:stretch>
                      <a:fillRect/>
                    </a:stretch>
                  </pic:blipFill>
                  <pic:spPr>
                    <a:xfrm>
                      <a:off x="0" y="0"/>
                      <a:ext cx="4646879" cy="2636211"/>
                    </a:xfrm>
                    <a:prstGeom prst="rect">
                      <a:avLst/>
                    </a:prstGeom>
                  </pic:spPr>
                </pic:pic>
              </a:graphicData>
            </a:graphic>
          </wp:inline>
        </w:drawing>
      </w:r>
    </w:p>
    <w:p w14:paraId="0D508083" w14:textId="529148FA" w:rsidR="003D79B1" w:rsidRPr="00A96296" w:rsidRDefault="00A96296" w:rsidP="00A96296">
      <w:pPr>
        <w:rPr>
          <w:rFonts w:ascii="Times New Roman" w:hAnsi="Times New Roman" w:cs="Times New Roman"/>
          <w:bCs/>
          <w:noProof/>
        </w:rPr>
      </w:pPr>
      <w:r>
        <w:rPr>
          <w:rFonts w:ascii="Times New Roman" w:hAnsi="Times New Roman" w:cs="Times New Roman"/>
          <w:bCs/>
          <w:noProof/>
        </w:rPr>
        <w:drawing>
          <wp:inline distT="0" distB="0" distL="0" distR="0" wp14:anchorId="3A8DAB36" wp14:editId="67EE0FEE">
            <wp:extent cx="4635500" cy="2643126"/>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7" cstate="print">
                      <a:extLst>
                        <a:ext uri="{28A0092B-C50C-407E-A947-70E740481C1C}">
                          <a14:useLocalDpi xmlns:a14="http://schemas.microsoft.com/office/drawing/2010/main" val="0"/>
                        </a:ext>
                      </a:extLst>
                    </a:blip>
                    <a:stretch>
                      <a:fillRect/>
                    </a:stretch>
                  </pic:blipFill>
                  <pic:spPr>
                    <a:xfrm>
                      <a:off x="0" y="0"/>
                      <a:ext cx="4653345" cy="2653301"/>
                    </a:xfrm>
                    <a:prstGeom prst="rect">
                      <a:avLst/>
                    </a:prstGeom>
                  </pic:spPr>
                </pic:pic>
              </a:graphicData>
            </a:graphic>
          </wp:inline>
        </w:drawing>
      </w:r>
    </w:p>
    <w:sectPr w:rsidR="003D79B1" w:rsidRPr="00A96296" w:rsidSect="00A96296">
      <w:pgSz w:w="12240" w:h="15840"/>
      <w:pgMar w:top="1440" w:right="1440" w:bottom="963"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BD717D"/>
    <w:multiLevelType w:val="hybridMultilevel"/>
    <w:tmpl w:val="16E0D966"/>
    <w:lvl w:ilvl="0" w:tplc="E98AD514">
      <w:start w:val="1"/>
      <w:numFmt w:val="decimal"/>
      <w:lvlText w:val="%1."/>
      <w:lvlJc w:val="left"/>
      <w:pPr>
        <w:ind w:left="72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D96"/>
    <w:rsid w:val="001516E1"/>
    <w:rsid w:val="00161294"/>
    <w:rsid w:val="001D52FF"/>
    <w:rsid w:val="001F295F"/>
    <w:rsid w:val="002845CB"/>
    <w:rsid w:val="00313126"/>
    <w:rsid w:val="003A53BE"/>
    <w:rsid w:val="003D79B1"/>
    <w:rsid w:val="00430392"/>
    <w:rsid w:val="004469AA"/>
    <w:rsid w:val="004A3A6A"/>
    <w:rsid w:val="004D5968"/>
    <w:rsid w:val="005C2EFB"/>
    <w:rsid w:val="0061776B"/>
    <w:rsid w:val="006C29D1"/>
    <w:rsid w:val="006D044F"/>
    <w:rsid w:val="00710D96"/>
    <w:rsid w:val="00794531"/>
    <w:rsid w:val="008C4C0B"/>
    <w:rsid w:val="008E3440"/>
    <w:rsid w:val="009671E6"/>
    <w:rsid w:val="00973600"/>
    <w:rsid w:val="009B6E90"/>
    <w:rsid w:val="00A96296"/>
    <w:rsid w:val="00AE4993"/>
    <w:rsid w:val="00AF7B81"/>
    <w:rsid w:val="00B00C71"/>
    <w:rsid w:val="00B705CB"/>
    <w:rsid w:val="00BA693F"/>
    <w:rsid w:val="00C07CC7"/>
    <w:rsid w:val="00D83C11"/>
    <w:rsid w:val="00D86B1B"/>
    <w:rsid w:val="00E12AB2"/>
    <w:rsid w:val="00E625DF"/>
    <w:rsid w:val="00E95491"/>
    <w:rsid w:val="00ED01F4"/>
    <w:rsid w:val="00F201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41A0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D044F"/>
    <w:rPr>
      <w:sz w:val="18"/>
      <w:szCs w:val="18"/>
    </w:rPr>
  </w:style>
  <w:style w:type="paragraph" w:styleId="CommentText">
    <w:name w:val="annotation text"/>
    <w:basedOn w:val="Normal"/>
    <w:link w:val="CommentTextChar"/>
    <w:uiPriority w:val="99"/>
    <w:unhideWhenUsed/>
    <w:rsid w:val="006D044F"/>
    <w:pPr>
      <w:spacing w:after="160"/>
    </w:pPr>
  </w:style>
  <w:style w:type="character" w:customStyle="1" w:styleId="CommentTextChar">
    <w:name w:val="Comment Text Char"/>
    <w:basedOn w:val="DefaultParagraphFont"/>
    <w:link w:val="CommentText"/>
    <w:uiPriority w:val="99"/>
    <w:rsid w:val="006D044F"/>
  </w:style>
  <w:style w:type="paragraph" w:styleId="BalloonText">
    <w:name w:val="Balloon Text"/>
    <w:basedOn w:val="Normal"/>
    <w:link w:val="BalloonTextChar"/>
    <w:uiPriority w:val="99"/>
    <w:semiHidden/>
    <w:unhideWhenUsed/>
    <w:rsid w:val="006D044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D044F"/>
    <w:rPr>
      <w:rFonts w:ascii="Times New Roman" w:hAnsi="Times New Roman" w:cs="Times New Roman"/>
      <w:sz w:val="18"/>
      <w:szCs w:val="18"/>
    </w:rPr>
  </w:style>
  <w:style w:type="paragraph" w:customStyle="1" w:styleId="EndNoteBibliography">
    <w:name w:val="EndNote Bibliography"/>
    <w:basedOn w:val="Normal"/>
    <w:link w:val="EndNoteBibliographyChar"/>
    <w:rsid w:val="008C4C0B"/>
    <w:pPr>
      <w:spacing w:after="160"/>
    </w:pPr>
    <w:rPr>
      <w:rFonts w:ascii="Times New Roman" w:hAnsi="Times New Roman" w:cs="Times New Roman"/>
      <w:szCs w:val="22"/>
    </w:rPr>
  </w:style>
  <w:style w:type="character" w:customStyle="1" w:styleId="EndNoteBibliographyChar">
    <w:name w:val="EndNote Bibliography Char"/>
    <w:basedOn w:val="DefaultParagraphFont"/>
    <w:link w:val="EndNoteBibliography"/>
    <w:rsid w:val="008C4C0B"/>
    <w:rPr>
      <w:rFonts w:ascii="Times New Roman" w:hAnsi="Times New Roman" w:cs="Times New Roman"/>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4</Pages>
  <Words>801</Words>
  <Characters>4570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Maureen Rakovec</dc:creator>
  <cp:keywords/>
  <dc:description/>
  <cp:lastModifiedBy>Maureen Rakovec</cp:lastModifiedBy>
  <cp:revision>9</cp:revision>
  <dcterms:created xsi:type="dcterms:W3CDTF">2021-11-17T14:54:00Z</dcterms:created>
  <dcterms:modified xsi:type="dcterms:W3CDTF">2021-11-18T04:55:00Z</dcterms:modified>
</cp:coreProperties>
</file>