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5AF1C" w14:textId="77777777" w:rsidR="003B445C" w:rsidRDefault="003B445C" w:rsidP="003B445C">
      <w:pPr>
        <w:pStyle w:val="Titel"/>
        <w:spacing w:after="240" w:line="480" w:lineRule="auto"/>
        <w:rPr>
          <w:sz w:val="48"/>
          <w:szCs w:val="48"/>
          <w:lang w:val="en-US"/>
        </w:rPr>
      </w:pPr>
      <w:r w:rsidRPr="00AE2884">
        <w:rPr>
          <w:sz w:val="48"/>
          <w:szCs w:val="48"/>
          <w:lang w:val="en-US"/>
        </w:rPr>
        <w:t>Supplement</w:t>
      </w:r>
    </w:p>
    <w:p w14:paraId="3B5BADEC" w14:textId="77777777" w:rsidR="003B445C" w:rsidRDefault="003B445C" w:rsidP="003B445C">
      <w:pPr>
        <w:spacing w:after="240" w:line="276" w:lineRule="auto"/>
        <w:jc w:val="both"/>
        <w:rPr>
          <w:color w:val="000000" w:themeColor="text1"/>
          <w:lang w:val="en-US"/>
        </w:rPr>
      </w:pPr>
      <w:r>
        <w:rPr>
          <w:lang w:val="en-US"/>
        </w:rPr>
        <w:t xml:space="preserve">The reference image is the image acquired by the </w:t>
      </w:r>
      <w:proofErr w:type="spellStart"/>
      <w:r>
        <w:rPr>
          <w:lang w:val="en-US"/>
        </w:rPr>
        <w:t>IncuCyte</w:t>
      </w:r>
      <w:proofErr w:type="spellEnd"/>
      <w:r>
        <w:rPr>
          <w:lang w:val="en-US"/>
        </w:rPr>
        <w:t xml:space="preserve"> S3 in phase contrast and GFP fluorescence. With the analysis software individual AMs were segmented from the phase contrast images based on shape and contrast as cell area confluence [µm</w:t>
      </w:r>
      <w:r w:rsidRPr="0063093A">
        <w:rPr>
          <w:vertAlign w:val="superscript"/>
          <w:lang w:val="en-US"/>
        </w:rPr>
        <w:t>2</w:t>
      </w:r>
      <w:r>
        <w:rPr>
          <w:lang w:val="en-US"/>
        </w:rPr>
        <w:t xml:space="preserve">] (yellow). In the next step </w:t>
      </w:r>
      <w:r w:rsidRPr="007A7D40">
        <w:rPr>
          <w:color w:val="000000" w:themeColor="text1"/>
          <w:lang w:val="en-US"/>
        </w:rPr>
        <w:t>GFP integrated intensity per well</w:t>
      </w:r>
      <w:r>
        <w:rPr>
          <w:color w:val="000000" w:themeColor="text1"/>
          <w:lang w:val="en-US"/>
        </w:rPr>
        <w:t xml:space="preserve"> [GCU] (red) was determined. Then the </w:t>
      </w:r>
      <w:r w:rsidRPr="007A7D40">
        <w:rPr>
          <w:color w:val="000000" w:themeColor="text1"/>
          <w:lang w:val="en-US"/>
        </w:rPr>
        <w:t>GFP integrated intensity per well</w:t>
      </w:r>
      <w:r>
        <w:rPr>
          <w:color w:val="000000" w:themeColor="text1"/>
          <w:lang w:val="en-US"/>
        </w:rPr>
        <w:t xml:space="preserve"> can be normalized to the </w:t>
      </w:r>
      <w:r>
        <w:rPr>
          <w:lang w:val="en-US"/>
        </w:rPr>
        <w:t xml:space="preserve">cell area confluence (mask overlay of yellow and red). With an appropriated threshold of </w:t>
      </w:r>
      <w:r w:rsidRPr="007A7D40">
        <w:rPr>
          <w:color w:val="000000" w:themeColor="text1"/>
          <w:lang w:val="en-US"/>
        </w:rPr>
        <w:t>GFP integrated intensity</w:t>
      </w:r>
      <w:r>
        <w:rPr>
          <w:color w:val="000000" w:themeColor="text1"/>
          <w:lang w:val="en-US"/>
        </w:rPr>
        <w:t xml:space="preserve"> and cell number per well by segmentation, percentage of positive cells can be calculated.</w:t>
      </w:r>
    </w:p>
    <w:p w14:paraId="472C0E2D" w14:textId="77777777" w:rsidR="003B445C" w:rsidRDefault="003B445C" w:rsidP="003B445C">
      <w:pPr>
        <w:spacing w:after="240" w:line="276" w:lineRule="auto"/>
        <w:jc w:val="both"/>
        <w:rPr>
          <w:lang w:val="en-US"/>
        </w:rPr>
      </w:pPr>
    </w:p>
    <w:p w14:paraId="0028AD38" w14:textId="77777777" w:rsidR="003B445C" w:rsidRDefault="003B445C" w:rsidP="003B445C">
      <w:pPr>
        <w:spacing w:after="240" w:line="276" w:lineRule="auto"/>
        <w:jc w:val="both"/>
        <w:rPr>
          <w:lang w:val="en-US"/>
        </w:rPr>
      </w:pPr>
      <w:r>
        <w:rPr>
          <w:noProof/>
          <w:lang w:val="en-US"/>
        </w:rPr>
        <w:drawing>
          <wp:inline distT="0" distB="0" distL="0" distR="0" wp14:anchorId="036C7CFF" wp14:editId="740402B3">
            <wp:extent cx="5756910" cy="4067023"/>
            <wp:effectExtent l="0" t="0" r="0" b="0"/>
            <wp:docPr id="142414913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966121" name="Grafik 205596612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56910" cy="4067023"/>
                    </a:xfrm>
                    <a:prstGeom prst="rect">
                      <a:avLst/>
                    </a:prstGeom>
                  </pic:spPr>
                </pic:pic>
              </a:graphicData>
            </a:graphic>
          </wp:inline>
        </w:drawing>
      </w:r>
    </w:p>
    <w:p w14:paraId="3389DACB" w14:textId="77777777" w:rsidR="003B445C" w:rsidRDefault="003B445C" w:rsidP="003B445C">
      <w:pPr>
        <w:spacing w:line="276" w:lineRule="auto"/>
        <w:jc w:val="both"/>
        <w:rPr>
          <w:lang w:val="en-US"/>
        </w:rPr>
      </w:pPr>
      <w:r>
        <w:rPr>
          <w:lang w:val="en-US"/>
        </w:rPr>
        <w:t>Supplemental figure 1: example of segmentation analysis for positively-transduced cells</w:t>
      </w:r>
    </w:p>
    <w:p w14:paraId="4A9B5FFC" w14:textId="77777777" w:rsidR="003B445C" w:rsidRDefault="003B445C" w:rsidP="003B445C">
      <w:pPr>
        <w:spacing w:line="276" w:lineRule="auto"/>
        <w:jc w:val="both"/>
        <w:rPr>
          <w:lang w:val="en-US"/>
        </w:rPr>
      </w:pPr>
      <w:r>
        <w:rPr>
          <w:lang w:val="en-US"/>
        </w:rPr>
        <w:t>Not transduced AMs as control and AAV6-CMV-GFP transduced AMs.</w:t>
      </w:r>
    </w:p>
    <w:p w14:paraId="45BE1E4A" w14:textId="77777777" w:rsidR="003B445C" w:rsidRDefault="003B445C" w:rsidP="003B445C">
      <w:pPr>
        <w:spacing w:line="276" w:lineRule="auto"/>
        <w:jc w:val="both"/>
        <w:rPr>
          <w:lang w:val="en-US"/>
        </w:rPr>
      </w:pPr>
      <w:r>
        <w:rPr>
          <w:lang w:val="en-US"/>
        </w:rPr>
        <w:t>Reference image: phase contrast and GFP fluorescence.</w:t>
      </w:r>
    </w:p>
    <w:p w14:paraId="299CCB42" w14:textId="77777777" w:rsidR="003B445C" w:rsidRDefault="003B445C" w:rsidP="003B445C">
      <w:pPr>
        <w:spacing w:line="276" w:lineRule="auto"/>
        <w:jc w:val="both"/>
        <w:rPr>
          <w:lang w:val="en-US"/>
        </w:rPr>
      </w:pPr>
      <w:r>
        <w:rPr>
          <w:lang w:val="en-US"/>
        </w:rPr>
        <w:t>Cell segmentation: cell area confluence [µm</w:t>
      </w:r>
      <w:r w:rsidRPr="0063093A">
        <w:rPr>
          <w:vertAlign w:val="superscript"/>
          <w:lang w:val="en-US"/>
        </w:rPr>
        <w:t>2</w:t>
      </w:r>
      <w:r>
        <w:rPr>
          <w:lang w:val="en-US"/>
        </w:rPr>
        <w:t>] (yellow)</w:t>
      </w:r>
    </w:p>
    <w:p w14:paraId="7F2E7CAA" w14:textId="77777777" w:rsidR="003B445C" w:rsidRDefault="003B445C" w:rsidP="003B445C">
      <w:pPr>
        <w:spacing w:line="276" w:lineRule="auto"/>
        <w:jc w:val="both"/>
        <w:rPr>
          <w:lang w:val="en-US"/>
        </w:rPr>
      </w:pPr>
      <w:r>
        <w:rPr>
          <w:lang w:val="en-US"/>
        </w:rPr>
        <w:t xml:space="preserve">GFP-positive cells: </w:t>
      </w:r>
      <w:r w:rsidRPr="007A7D40">
        <w:rPr>
          <w:color w:val="000000" w:themeColor="text1"/>
          <w:lang w:val="en-US"/>
        </w:rPr>
        <w:t>GFP integrated intensity per well</w:t>
      </w:r>
      <w:r>
        <w:rPr>
          <w:color w:val="000000" w:themeColor="text1"/>
          <w:lang w:val="en-US"/>
        </w:rPr>
        <w:t xml:space="preserve"> [GCU] (red)</w:t>
      </w:r>
    </w:p>
    <w:p w14:paraId="35716FDB" w14:textId="77777777" w:rsidR="003B445C" w:rsidRDefault="003B445C" w:rsidP="003B445C">
      <w:pPr>
        <w:spacing w:after="240" w:line="276" w:lineRule="auto"/>
        <w:jc w:val="both"/>
        <w:rPr>
          <w:lang w:val="en-US"/>
        </w:rPr>
      </w:pPr>
      <w:r>
        <w:rPr>
          <w:lang w:val="en-US"/>
        </w:rPr>
        <w:t xml:space="preserve">Mask overlay: </w:t>
      </w:r>
      <w:r w:rsidRPr="007A7D40">
        <w:rPr>
          <w:color w:val="000000" w:themeColor="text1"/>
          <w:lang w:val="en-US"/>
        </w:rPr>
        <w:t>GFP integrated intensity</w:t>
      </w:r>
      <w:r>
        <w:rPr>
          <w:color w:val="000000" w:themeColor="text1"/>
          <w:lang w:val="en-US"/>
        </w:rPr>
        <w:t xml:space="preserve"> x</w:t>
      </w:r>
      <w:r w:rsidRPr="007A7D40">
        <w:rPr>
          <w:color w:val="000000" w:themeColor="text1"/>
          <w:lang w:val="en-US"/>
        </w:rPr>
        <w:t xml:space="preserve"> </w:t>
      </w:r>
      <w:r>
        <w:rPr>
          <w:lang w:val="en-US"/>
        </w:rPr>
        <w:t>cell area confluence/ well (mask overlay yellow + red)</w:t>
      </w:r>
    </w:p>
    <w:p w14:paraId="5BDD0630" w14:textId="77777777" w:rsidR="003B445C" w:rsidRDefault="003B445C" w:rsidP="003B445C">
      <w:pPr>
        <w:rPr>
          <w:lang w:val="en-US"/>
        </w:rPr>
      </w:pPr>
      <w:r>
        <w:rPr>
          <w:lang w:val="en-US"/>
        </w:rPr>
        <w:br w:type="page"/>
      </w:r>
    </w:p>
    <w:p w14:paraId="49435347" w14:textId="77777777" w:rsidR="003B445C" w:rsidRDefault="003B445C" w:rsidP="003B445C">
      <w:pPr>
        <w:spacing w:after="240" w:line="276" w:lineRule="auto"/>
        <w:jc w:val="both"/>
        <w:rPr>
          <w:lang w:val="en-US"/>
        </w:rPr>
      </w:pPr>
      <w:r>
        <w:rPr>
          <w:lang w:val="en-US"/>
        </w:rPr>
        <w:lastRenderedPageBreak/>
        <w:t xml:space="preserve">Primary </w:t>
      </w:r>
      <w:r w:rsidRPr="0041773D">
        <w:rPr>
          <w:lang w:val="en-US"/>
        </w:rPr>
        <w:t>AM</w:t>
      </w:r>
      <w:r>
        <w:rPr>
          <w:lang w:val="en-US"/>
        </w:rPr>
        <w:t>s</w:t>
      </w:r>
      <w:r w:rsidRPr="0041773D">
        <w:rPr>
          <w:lang w:val="en-US"/>
        </w:rPr>
        <w:t xml:space="preserve"> were isolated and cultured from BAL</w:t>
      </w:r>
      <w:r>
        <w:rPr>
          <w:lang w:val="en-US"/>
        </w:rPr>
        <w:t xml:space="preserve"> of 8-week-old female mice</w:t>
      </w:r>
      <w:r w:rsidRPr="0041773D">
        <w:rPr>
          <w:lang w:val="en-US"/>
        </w:rPr>
        <w:t xml:space="preserve">. The </w:t>
      </w:r>
      <w:r>
        <w:rPr>
          <w:lang w:val="en-US"/>
        </w:rPr>
        <w:t>ab</w:t>
      </w:r>
      <w:r w:rsidRPr="0041773D">
        <w:rPr>
          <w:lang w:val="en-US"/>
        </w:rPr>
        <w:t xml:space="preserve">sence of </w:t>
      </w:r>
      <w:r>
        <w:rPr>
          <w:lang w:val="en-US"/>
        </w:rPr>
        <w:t>a typical marker for BMDM, CD11b, was confirmed by FACS analysis (supplemental figure 2)</w:t>
      </w:r>
      <w:r w:rsidRPr="0041773D">
        <w:rPr>
          <w:lang w:val="en-US"/>
        </w:rPr>
        <w:t>.</w:t>
      </w:r>
    </w:p>
    <w:p w14:paraId="36DE9D97" w14:textId="77777777" w:rsidR="003B445C" w:rsidRDefault="003B445C" w:rsidP="003B445C">
      <w:pPr>
        <w:rPr>
          <w:lang w:val="en-US"/>
        </w:rPr>
      </w:pPr>
    </w:p>
    <w:p w14:paraId="155078AF" w14:textId="77777777" w:rsidR="003B445C" w:rsidRDefault="003B445C" w:rsidP="003B445C">
      <w:pPr>
        <w:rPr>
          <w:lang w:val="en-US"/>
        </w:rPr>
      </w:pPr>
      <w:r>
        <w:rPr>
          <w:noProof/>
          <w:lang w:val="en-US"/>
        </w:rPr>
        <w:drawing>
          <wp:inline distT="0" distB="0" distL="0" distR="0" wp14:anchorId="58E8727B" wp14:editId="273343B5">
            <wp:extent cx="5756910" cy="1627728"/>
            <wp:effectExtent l="0" t="0" r="0" b="0"/>
            <wp:docPr id="8077802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780269" name="Grafik 1"/>
                    <pic:cNvPicPr/>
                  </pic:nvPicPr>
                  <pic:blipFill>
                    <a:blip r:embed="rId5" cstate="print">
                      <a:extLst>
                        <a:ext uri="{28A0092B-C50C-407E-A947-70E740481C1C}">
                          <a14:useLocalDpi xmlns:a14="http://schemas.microsoft.com/office/drawing/2010/main" val="0"/>
                        </a:ext>
                      </a:extLst>
                    </a:blip>
                    <a:srcRect l="548" r="548"/>
                    <a:stretch>
                      <a:fillRect/>
                    </a:stretch>
                  </pic:blipFill>
                  <pic:spPr bwMode="auto">
                    <a:xfrm>
                      <a:off x="0" y="0"/>
                      <a:ext cx="5756910" cy="1627728"/>
                    </a:xfrm>
                    <a:prstGeom prst="rect">
                      <a:avLst/>
                    </a:prstGeom>
                    <a:ln>
                      <a:noFill/>
                    </a:ln>
                    <a:extLst>
                      <a:ext uri="{53640926-AAD7-44D8-BBD7-CCE9431645EC}">
                        <a14:shadowObscured xmlns:a14="http://schemas.microsoft.com/office/drawing/2010/main"/>
                      </a:ext>
                    </a:extLst>
                  </pic:spPr>
                </pic:pic>
              </a:graphicData>
            </a:graphic>
          </wp:inline>
        </w:drawing>
      </w:r>
    </w:p>
    <w:p w14:paraId="4B328859" w14:textId="77777777" w:rsidR="003B445C" w:rsidRDefault="003B445C" w:rsidP="003B445C">
      <w:pPr>
        <w:spacing w:line="276" w:lineRule="auto"/>
        <w:jc w:val="both"/>
        <w:rPr>
          <w:lang w:val="en-US"/>
        </w:rPr>
      </w:pPr>
      <w:r>
        <w:rPr>
          <w:lang w:val="en-US"/>
        </w:rPr>
        <w:t>Supplemental figure 2: AM phenotype</w:t>
      </w:r>
    </w:p>
    <w:p w14:paraId="6CA58FB4" w14:textId="77777777" w:rsidR="003B445C" w:rsidRDefault="003B445C" w:rsidP="003B445C">
      <w:pPr>
        <w:spacing w:line="276" w:lineRule="auto"/>
        <w:jc w:val="both"/>
        <w:rPr>
          <w:lang w:val="en-US"/>
        </w:rPr>
      </w:pPr>
      <w:r>
        <w:rPr>
          <w:lang w:val="en-US"/>
        </w:rPr>
        <w:t>(</w:t>
      </w:r>
      <w:r>
        <w:rPr>
          <w:b/>
          <w:bCs/>
          <w:lang w:val="en-US"/>
        </w:rPr>
        <w:t>A</w:t>
      </w:r>
      <w:r>
        <w:rPr>
          <w:lang w:val="en-US"/>
        </w:rPr>
        <w:t xml:space="preserve">) FACS for CD11b unstained, </w:t>
      </w:r>
    </w:p>
    <w:p w14:paraId="2686D046" w14:textId="77777777" w:rsidR="003B445C" w:rsidRDefault="003B445C" w:rsidP="003B445C">
      <w:pPr>
        <w:spacing w:line="276" w:lineRule="auto"/>
        <w:jc w:val="both"/>
        <w:rPr>
          <w:lang w:val="en-US"/>
        </w:rPr>
      </w:pPr>
      <w:r>
        <w:rPr>
          <w:lang w:val="en-US"/>
        </w:rPr>
        <w:t>(</w:t>
      </w:r>
      <w:r>
        <w:rPr>
          <w:b/>
          <w:bCs/>
          <w:lang w:val="en-US"/>
        </w:rPr>
        <w:t>B</w:t>
      </w:r>
      <w:r>
        <w:rPr>
          <w:lang w:val="en-US"/>
        </w:rPr>
        <w:t>) FACS for CD11b stained.</w:t>
      </w:r>
    </w:p>
    <w:p w14:paraId="1CF0C5DA" w14:textId="77777777" w:rsidR="003B445C" w:rsidRDefault="003B445C" w:rsidP="003B445C">
      <w:pPr>
        <w:rPr>
          <w:lang w:val="en-US"/>
        </w:rPr>
      </w:pPr>
      <w:r>
        <w:rPr>
          <w:lang w:val="en-US"/>
        </w:rPr>
        <w:br w:type="page"/>
      </w:r>
    </w:p>
    <w:p w14:paraId="5BE30D6B" w14:textId="0F2F89F0" w:rsidR="003B445C" w:rsidRDefault="003B445C" w:rsidP="003B445C">
      <w:pPr>
        <w:spacing w:after="240" w:line="276" w:lineRule="auto"/>
        <w:jc w:val="both"/>
        <w:rPr>
          <w:lang w:val="en-US"/>
        </w:rPr>
      </w:pPr>
      <w:r>
        <w:rPr>
          <w:lang w:val="en-US"/>
        </w:rPr>
        <w:lastRenderedPageBreak/>
        <w:t>Additional to Figure 2, Supplemental figure 3 shows phase contrast images of the AMs transduced with AAV6-GFP with different MOI.</w:t>
      </w:r>
    </w:p>
    <w:p w14:paraId="44B08B63" w14:textId="77777777" w:rsidR="003B445C" w:rsidRDefault="003B445C" w:rsidP="003B445C">
      <w:pPr>
        <w:spacing w:after="240" w:line="276" w:lineRule="auto"/>
        <w:jc w:val="both"/>
        <w:rPr>
          <w:lang w:val="en-US"/>
        </w:rPr>
      </w:pPr>
    </w:p>
    <w:p w14:paraId="43E02FF7" w14:textId="77777777" w:rsidR="003B445C" w:rsidRDefault="003B445C" w:rsidP="003B445C">
      <w:pPr>
        <w:rPr>
          <w:lang w:val="en-US"/>
        </w:rPr>
      </w:pPr>
      <w:r>
        <w:rPr>
          <w:noProof/>
          <w:lang w:val="en-US"/>
        </w:rPr>
        <w:drawing>
          <wp:inline distT="0" distB="0" distL="0" distR="0" wp14:anchorId="128913FA" wp14:editId="0CA814D1">
            <wp:extent cx="5756910" cy="4616927"/>
            <wp:effectExtent l="0" t="0" r="0" b="6350"/>
            <wp:docPr id="13533602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360250"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56910" cy="4616927"/>
                    </a:xfrm>
                    <a:prstGeom prst="rect">
                      <a:avLst/>
                    </a:prstGeom>
                  </pic:spPr>
                </pic:pic>
              </a:graphicData>
            </a:graphic>
          </wp:inline>
        </w:drawing>
      </w:r>
    </w:p>
    <w:p w14:paraId="0A9CF48B" w14:textId="77777777" w:rsidR="003B445C" w:rsidRDefault="003B445C" w:rsidP="003B445C">
      <w:pPr>
        <w:spacing w:line="276" w:lineRule="auto"/>
        <w:jc w:val="both"/>
        <w:rPr>
          <w:lang w:val="en-US"/>
        </w:rPr>
      </w:pPr>
      <w:r>
        <w:rPr>
          <w:lang w:val="en-US"/>
        </w:rPr>
        <w:t>Supplemental figure 3: AMs transduced with AAV6-GFP with different MOI</w:t>
      </w:r>
    </w:p>
    <w:p w14:paraId="425E3BDB" w14:textId="77777777" w:rsidR="003B445C" w:rsidRPr="00AE2884" w:rsidRDefault="003B445C" w:rsidP="003B445C">
      <w:pPr>
        <w:spacing w:line="276" w:lineRule="auto"/>
        <w:jc w:val="both"/>
        <w:rPr>
          <w:lang w:val="en-US"/>
        </w:rPr>
      </w:pPr>
      <w:r>
        <w:rPr>
          <w:lang w:val="en-US"/>
        </w:rPr>
        <w:t>Phase contrast or GFP Fluorescence Microscopy of AMs transduced with AAV6-GFP with different MOI (scale bar 500 µm), 6 days post transduction. (</w:t>
      </w:r>
      <w:r w:rsidRPr="00625217">
        <w:rPr>
          <w:b/>
          <w:bCs/>
          <w:lang w:val="en-US"/>
        </w:rPr>
        <w:t>A</w:t>
      </w:r>
      <w:r>
        <w:rPr>
          <w:lang w:val="en-US"/>
        </w:rPr>
        <w:t>) Control (</w:t>
      </w:r>
      <w:r>
        <w:rPr>
          <w:b/>
          <w:bCs/>
          <w:lang w:val="en-US"/>
        </w:rPr>
        <w:t>B</w:t>
      </w:r>
      <w:r>
        <w:rPr>
          <w:lang w:val="en-US"/>
        </w:rPr>
        <w:t>) MOI 25,000 (</w:t>
      </w:r>
      <w:r>
        <w:rPr>
          <w:b/>
          <w:bCs/>
          <w:lang w:val="en-US"/>
        </w:rPr>
        <w:t>C</w:t>
      </w:r>
      <w:r>
        <w:rPr>
          <w:lang w:val="en-US"/>
        </w:rPr>
        <w:t>) MOI 37,500 (</w:t>
      </w:r>
      <w:r>
        <w:rPr>
          <w:b/>
          <w:bCs/>
          <w:lang w:val="en-US"/>
        </w:rPr>
        <w:t>D</w:t>
      </w:r>
      <w:r>
        <w:rPr>
          <w:lang w:val="en-US"/>
        </w:rPr>
        <w:t>) MOI 50,000 (</w:t>
      </w:r>
      <w:r>
        <w:rPr>
          <w:b/>
          <w:bCs/>
          <w:lang w:val="en-US"/>
        </w:rPr>
        <w:t>E</w:t>
      </w:r>
      <w:r>
        <w:rPr>
          <w:lang w:val="en-US"/>
        </w:rPr>
        <w:t>) MOI 62,500 (</w:t>
      </w:r>
      <w:r>
        <w:rPr>
          <w:b/>
          <w:bCs/>
          <w:lang w:val="en-US"/>
        </w:rPr>
        <w:t>F</w:t>
      </w:r>
      <w:r>
        <w:rPr>
          <w:lang w:val="en-US"/>
        </w:rPr>
        <w:t>) MOI 75,000 (</w:t>
      </w:r>
      <w:r>
        <w:rPr>
          <w:b/>
          <w:bCs/>
          <w:lang w:val="en-US"/>
        </w:rPr>
        <w:t>G</w:t>
      </w:r>
      <w:r>
        <w:rPr>
          <w:lang w:val="en-US"/>
        </w:rPr>
        <w:t>) MOI 87,500 (</w:t>
      </w:r>
      <w:r>
        <w:rPr>
          <w:b/>
          <w:bCs/>
          <w:lang w:val="en-US"/>
        </w:rPr>
        <w:t>H</w:t>
      </w:r>
      <w:r>
        <w:rPr>
          <w:lang w:val="en-US"/>
        </w:rPr>
        <w:t>) MOI 100,000.</w:t>
      </w:r>
    </w:p>
    <w:p w14:paraId="342B25B6" w14:textId="77777777" w:rsidR="003B445C" w:rsidRDefault="003B445C" w:rsidP="003B445C">
      <w:pPr>
        <w:rPr>
          <w:lang w:val="en-US"/>
        </w:rPr>
      </w:pPr>
    </w:p>
    <w:p w14:paraId="76529932" w14:textId="77777777" w:rsidR="003B445C" w:rsidRDefault="003B445C" w:rsidP="003B445C">
      <w:pPr>
        <w:rPr>
          <w:lang w:val="en-US"/>
        </w:rPr>
      </w:pPr>
      <w:r>
        <w:rPr>
          <w:lang w:val="en-US"/>
        </w:rPr>
        <w:br w:type="page"/>
      </w:r>
    </w:p>
    <w:p w14:paraId="59CC0A73" w14:textId="255D98C3" w:rsidR="003B445C" w:rsidRDefault="003B445C" w:rsidP="003B445C">
      <w:pPr>
        <w:spacing w:after="240" w:line="276" w:lineRule="auto"/>
        <w:jc w:val="both"/>
        <w:rPr>
          <w:lang w:val="en-US"/>
        </w:rPr>
      </w:pPr>
      <w:r>
        <w:rPr>
          <w:lang w:val="en-US"/>
        </w:rPr>
        <w:lastRenderedPageBreak/>
        <w:t>Additional to Figure 3, Supplemental figure 4 show</w:t>
      </w:r>
      <w:r w:rsidR="00787B57">
        <w:rPr>
          <w:lang w:val="en-US"/>
        </w:rPr>
        <w:t>s</w:t>
      </w:r>
      <w:r>
        <w:rPr>
          <w:lang w:val="en-US"/>
        </w:rPr>
        <w:t xml:space="preserve"> phase contrast images of the AMs transduced with different AAV-GFP serotypes with MOI 87,500.</w:t>
      </w:r>
    </w:p>
    <w:p w14:paraId="78D09860" w14:textId="77777777" w:rsidR="003B445C" w:rsidRDefault="003B445C" w:rsidP="003B445C">
      <w:pPr>
        <w:spacing w:after="240" w:line="276" w:lineRule="auto"/>
        <w:jc w:val="both"/>
        <w:rPr>
          <w:lang w:val="en-US"/>
        </w:rPr>
      </w:pPr>
    </w:p>
    <w:p w14:paraId="757280D9" w14:textId="77777777" w:rsidR="003B445C" w:rsidRDefault="003B445C" w:rsidP="003B445C">
      <w:pPr>
        <w:jc w:val="center"/>
        <w:rPr>
          <w:lang w:val="en-US"/>
        </w:rPr>
      </w:pPr>
      <w:r>
        <w:rPr>
          <w:noProof/>
          <w:lang w:val="en-US"/>
        </w:rPr>
        <w:drawing>
          <wp:inline distT="0" distB="0" distL="0" distR="0" wp14:anchorId="5C2EA28A" wp14:editId="53B9741B">
            <wp:extent cx="5760000" cy="4619406"/>
            <wp:effectExtent l="0" t="0" r="6350" b="3810"/>
            <wp:docPr id="173340847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408474"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000" cy="4619406"/>
                    </a:xfrm>
                    <a:prstGeom prst="rect">
                      <a:avLst/>
                    </a:prstGeom>
                  </pic:spPr>
                </pic:pic>
              </a:graphicData>
            </a:graphic>
          </wp:inline>
        </w:drawing>
      </w:r>
    </w:p>
    <w:p w14:paraId="44C60D47" w14:textId="77777777" w:rsidR="003B445C" w:rsidRDefault="003B445C" w:rsidP="003B445C">
      <w:pPr>
        <w:spacing w:line="276" w:lineRule="auto"/>
        <w:jc w:val="both"/>
        <w:rPr>
          <w:lang w:val="en-US"/>
        </w:rPr>
      </w:pPr>
      <w:r>
        <w:rPr>
          <w:lang w:val="en-US"/>
        </w:rPr>
        <w:t>Supplemental figure 4: AMs transduced with different AAV-GFP Serotypes</w:t>
      </w:r>
    </w:p>
    <w:p w14:paraId="7CF82DC9" w14:textId="77777777" w:rsidR="003B445C" w:rsidRDefault="003B445C" w:rsidP="003B445C">
      <w:pPr>
        <w:spacing w:line="276" w:lineRule="auto"/>
        <w:jc w:val="both"/>
        <w:rPr>
          <w:lang w:val="en-US"/>
        </w:rPr>
      </w:pPr>
      <w:r>
        <w:rPr>
          <w:lang w:val="en-US"/>
        </w:rPr>
        <w:t>Phase contrast or GFP Fluorescence Microscopy of AMs transduced with different AAV6-GFP Serotypes with MOI 87,500, except AAV5 MOI 20,000 because of low titer (scale bar 500 µm), 6 days post transduction. (</w:t>
      </w:r>
      <w:r w:rsidRPr="00625217">
        <w:rPr>
          <w:b/>
          <w:bCs/>
          <w:lang w:val="en-US"/>
        </w:rPr>
        <w:t>A</w:t>
      </w:r>
      <w:r>
        <w:rPr>
          <w:lang w:val="en-US"/>
        </w:rPr>
        <w:t>) Control without AAV-GFP (</w:t>
      </w:r>
      <w:r>
        <w:rPr>
          <w:b/>
          <w:bCs/>
          <w:lang w:val="en-US"/>
        </w:rPr>
        <w:t>B</w:t>
      </w:r>
      <w:r>
        <w:rPr>
          <w:lang w:val="en-US"/>
        </w:rPr>
        <w:t>) AAV1 (</w:t>
      </w:r>
      <w:r>
        <w:rPr>
          <w:b/>
          <w:bCs/>
          <w:lang w:val="en-US"/>
        </w:rPr>
        <w:t>C</w:t>
      </w:r>
      <w:r>
        <w:rPr>
          <w:lang w:val="en-US"/>
        </w:rPr>
        <w:t>) AAV2 (</w:t>
      </w:r>
      <w:r>
        <w:rPr>
          <w:b/>
          <w:bCs/>
          <w:lang w:val="en-US"/>
        </w:rPr>
        <w:t>D</w:t>
      </w:r>
      <w:r>
        <w:rPr>
          <w:lang w:val="en-US"/>
        </w:rPr>
        <w:t>) AAV5 (</w:t>
      </w:r>
      <w:r>
        <w:rPr>
          <w:b/>
          <w:bCs/>
          <w:lang w:val="en-US"/>
        </w:rPr>
        <w:t>E</w:t>
      </w:r>
      <w:r>
        <w:rPr>
          <w:lang w:val="en-US"/>
        </w:rPr>
        <w:t>) AAV6 (</w:t>
      </w:r>
      <w:r>
        <w:rPr>
          <w:b/>
          <w:bCs/>
          <w:lang w:val="en-US"/>
        </w:rPr>
        <w:t>F</w:t>
      </w:r>
      <w:r>
        <w:rPr>
          <w:lang w:val="en-US"/>
        </w:rPr>
        <w:t>) AAV8 (</w:t>
      </w:r>
      <w:r>
        <w:rPr>
          <w:b/>
          <w:bCs/>
          <w:lang w:val="en-US"/>
        </w:rPr>
        <w:t>G</w:t>
      </w:r>
      <w:r>
        <w:rPr>
          <w:lang w:val="en-US"/>
        </w:rPr>
        <w:t>) AAV9.</w:t>
      </w:r>
    </w:p>
    <w:p w14:paraId="580185C8" w14:textId="77777777" w:rsidR="003B445C" w:rsidRDefault="003B445C" w:rsidP="003B445C">
      <w:pPr>
        <w:spacing w:after="240" w:line="276" w:lineRule="auto"/>
        <w:jc w:val="both"/>
        <w:rPr>
          <w:lang w:val="en-US"/>
        </w:rPr>
      </w:pPr>
    </w:p>
    <w:p w14:paraId="4D763CF8" w14:textId="77777777" w:rsidR="003B445C" w:rsidRDefault="003B445C" w:rsidP="003B445C">
      <w:pPr>
        <w:spacing w:after="240" w:line="276" w:lineRule="auto"/>
        <w:jc w:val="both"/>
        <w:rPr>
          <w:lang w:val="en-US"/>
        </w:rPr>
      </w:pPr>
      <w:r>
        <w:rPr>
          <w:lang w:val="en-US"/>
        </w:rPr>
        <w:t xml:space="preserve">On the cell line HEK293T the functionality and tropism of the constructed AAV-GFP serotypes were shown. </w:t>
      </w:r>
      <w:r w:rsidRPr="00ED4478">
        <w:rPr>
          <w:lang w:val="en-US"/>
        </w:rPr>
        <w:t>HEK293T cells were transduced with serotypes 1, 2, 5, 6, 8, and 9 with GFP at an MOI of 10,000</w:t>
      </w:r>
      <w:r>
        <w:rPr>
          <w:lang w:val="en-US"/>
        </w:rPr>
        <w:t xml:space="preserve"> (supplemental figure 5)</w:t>
      </w:r>
      <w:r w:rsidRPr="00ED4478">
        <w:rPr>
          <w:lang w:val="en-US"/>
        </w:rPr>
        <w:t>. With AAV2, high transduction efficiency was demonstrated by fluorescence microscopy 5 days after transduction. AAV1 and AAV6 show lower efficiency but still successful transduction. AAV</w:t>
      </w:r>
      <w:r>
        <w:rPr>
          <w:lang w:val="en-US"/>
        </w:rPr>
        <w:t>5</w:t>
      </w:r>
      <w:r w:rsidRPr="00ED4478">
        <w:rPr>
          <w:lang w:val="en-US"/>
        </w:rPr>
        <w:t xml:space="preserve">, AAV8, and AAV9 </w:t>
      </w:r>
      <w:r>
        <w:rPr>
          <w:lang w:val="en-US"/>
        </w:rPr>
        <w:t>showed</w:t>
      </w:r>
      <w:r w:rsidRPr="00ED4478">
        <w:rPr>
          <w:lang w:val="en-US"/>
        </w:rPr>
        <w:t xml:space="preserve"> hardly any signal. </w:t>
      </w:r>
      <w:r>
        <w:rPr>
          <w:lang w:val="en-US"/>
        </w:rPr>
        <w:t>The</w:t>
      </w:r>
      <w:r w:rsidRPr="00ED4478">
        <w:rPr>
          <w:lang w:val="en-US"/>
        </w:rPr>
        <w:t xml:space="preserve"> GFP gene expression normalized to the housekeeping gene Hprt1 5 days after transduction confirms strong expression after transduction with AAV2. Transduction with AAV1 and AAV6 also leads to increased gene expression compared to the control, but significantly lower than with AAV2. AAV5, AAV8, and AAV9 show little to no increase in gene </w:t>
      </w:r>
      <w:r w:rsidRPr="00ED4478">
        <w:rPr>
          <w:lang w:val="en-US"/>
        </w:rPr>
        <w:lastRenderedPageBreak/>
        <w:t>expression compared to the non-transduced control. These data demonstrate the functionality of the constructed AAV.</w:t>
      </w:r>
    </w:p>
    <w:p w14:paraId="4C0DE4D6" w14:textId="77777777" w:rsidR="003B445C" w:rsidRDefault="003B445C" w:rsidP="003B445C">
      <w:pPr>
        <w:spacing w:after="240" w:line="276" w:lineRule="auto"/>
        <w:jc w:val="both"/>
        <w:rPr>
          <w:lang w:val="en-US"/>
        </w:rPr>
      </w:pPr>
    </w:p>
    <w:p w14:paraId="4C10D16A" w14:textId="77777777" w:rsidR="003B445C" w:rsidRDefault="003B445C" w:rsidP="003B445C">
      <w:pPr>
        <w:rPr>
          <w:lang w:val="en-US"/>
        </w:rPr>
      </w:pPr>
      <w:r>
        <w:rPr>
          <w:noProof/>
          <w:lang w:val="en-US"/>
        </w:rPr>
        <w:drawing>
          <wp:inline distT="0" distB="0" distL="0" distR="0" wp14:anchorId="1DCC51AE" wp14:editId="506527EC">
            <wp:extent cx="5756400" cy="5095480"/>
            <wp:effectExtent l="0" t="0" r="0" b="0"/>
            <wp:docPr id="8657337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733795" name="Grafi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6400" cy="5095480"/>
                    </a:xfrm>
                    <a:prstGeom prst="rect">
                      <a:avLst/>
                    </a:prstGeom>
                  </pic:spPr>
                </pic:pic>
              </a:graphicData>
            </a:graphic>
          </wp:inline>
        </w:drawing>
      </w:r>
    </w:p>
    <w:p w14:paraId="3C3EAA06" w14:textId="77777777" w:rsidR="003B445C" w:rsidRDefault="003B445C" w:rsidP="003B445C">
      <w:pPr>
        <w:rPr>
          <w:lang w:val="en-US"/>
        </w:rPr>
      </w:pPr>
      <w:r>
        <w:rPr>
          <w:lang w:val="en-US"/>
        </w:rPr>
        <w:t>Supplemental figure 5: Transduction of HEK293T with different AAV-GFP serotypes</w:t>
      </w:r>
    </w:p>
    <w:p w14:paraId="4B0D6BD7" w14:textId="77777777" w:rsidR="003B445C" w:rsidRDefault="003B445C" w:rsidP="003B445C">
      <w:pPr>
        <w:spacing w:line="276" w:lineRule="auto"/>
        <w:jc w:val="both"/>
        <w:rPr>
          <w:lang w:val="en-US"/>
        </w:rPr>
      </w:pPr>
      <w:r>
        <w:rPr>
          <w:lang w:val="en-US"/>
        </w:rPr>
        <w:t>Confocal microscopy of HEK293T cells transduced with different AAV-GFP Serotypes with MOI 10,000 (scale bar 50 µm), 5 days after transduction. (</w:t>
      </w:r>
      <w:r w:rsidRPr="009D72A2">
        <w:rPr>
          <w:b/>
          <w:bCs/>
          <w:lang w:val="en-US"/>
        </w:rPr>
        <w:t>A</w:t>
      </w:r>
      <w:r>
        <w:rPr>
          <w:lang w:val="en-US"/>
        </w:rPr>
        <w:t>) Control without AAV-GFP (</w:t>
      </w:r>
      <w:r>
        <w:rPr>
          <w:b/>
          <w:bCs/>
          <w:lang w:val="en-US"/>
        </w:rPr>
        <w:t>B</w:t>
      </w:r>
      <w:r>
        <w:rPr>
          <w:lang w:val="en-US"/>
        </w:rPr>
        <w:t>) AAV1 (</w:t>
      </w:r>
      <w:r>
        <w:rPr>
          <w:b/>
          <w:bCs/>
          <w:lang w:val="en-US"/>
        </w:rPr>
        <w:t>C</w:t>
      </w:r>
      <w:r>
        <w:rPr>
          <w:lang w:val="en-US"/>
        </w:rPr>
        <w:t>) AAV2 (</w:t>
      </w:r>
      <w:r>
        <w:rPr>
          <w:b/>
          <w:bCs/>
          <w:lang w:val="en-US"/>
        </w:rPr>
        <w:t>D</w:t>
      </w:r>
      <w:r>
        <w:rPr>
          <w:lang w:val="en-US"/>
        </w:rPr>
        <w:t>) AAV5 (</w:t>
      </w:r>
      <w:r>
        <w:rPr>
          <w:b/>
          <w:bCs/>
          <w:lang w:val="en-US"/>
        </w:rPr>
        <w:t>E</w:t>
      </w:r>
      <w:r>
        <w:rPr>
          <w:lang w:val="en-US"/>
        </w:rPr>
        <w:t>) AAV6 (</w:t>
      </w:r>
      <w:r>
        <w:rPr>
          <w:b/>
          <w:bCs/>
          <w:lang w:val="en-US"/>
        </w:rPr>
        <w:t>F</w:t>
      </w:r>
      <w:r>
        <w:rPr>
          <w:lang w:val="en-US"/>
        </w:rPr>
        <w:t>) AAV8 (</w:t>
      </w:r>
      <w:r>
        <w:rPr>
          <w:b/>
          <w:bCs/>
          <w:lang w:val="en-US"/>
        </w:rPr>
        <w:t>G</w:t>
      </w:r>
      <w:r>
        <w:rPr>
          <w:lang w:val="en-US"/>
        </w:rPr>
        <w:t>) AAV9.</w:t>
      </w:r>
    </w:p>
    <w:p w14:paraId="5CEEF1C4" w14:textId="77777777" w:rsidR="003B445C" w:rsidRDefault="003B445C" w:rsidP="003B445C">
      <w:pPr>
        <w:rPr>
          <w:lang w:val="en-US"/>
        </w:rPr>
      </w:pPr>
      <w:r>
        <w:rPr>
          <w:lang w:val="en-US"/>
        </w:rPr>
        <w:t>(</w:t>
      </w:r>
      <w:r>
        <w:rPr>
          <w:b/>
          <w:bCs/>
          <w:lang w:val="en-US"/>
        </w:rPr>
        <w:t>H</w:t>
      </w:r>
      <w:r>
        <w:rPr>
          <w:lang w:val="en-US"/>
        </w:rPr>
        <w:t xml:space="preserve">) </w:t>
      </w:r>
      <w:proofErr w:type="spellStart"/>
      <w:r>
        <w:rPr>
          <w:lang w:val="en-US"/>
        </w:rPr>
        <w:t>qRT</w:t>
      </w:r>
      <w:proofErr w:type="spellEnd"/>
      <w:r>
        <w:rPr>
          <w:lang w:val="en-US"/>
        </w:rPr>
        <w:t xml:space="preserve">-PCR of </w:t>
      </w:r>
      <w:proofErr w:type="spellStart"/>
      <w:r>
        <w:rPr>
          <w:lang w:val="en-US"/>
        </w:rPr>
        <w:t>Gfp</w:t>
      </w:r>
      <w:proofErr w:type="spellEnd"/>
      <w:r>
        <w:rPr>
          <w:lang w:val="en-US"/>
        </w:rPr>
        <w:t xml:space="preserve"> normalized to Hprt1. n = 3</w:t>
      </w:r>
    </w:p>
    <w:p w14:paraId="55BDE42A" w14:textId="77777777" w:rsidR="003B445C" w:rsidRDefault="003B445C" w:rsidP="003B445C">
      <w:pPr>
        <w:spacing w:after="240" w:line="276" w:lineRule="auto"/>
        <w:jc w:val="both"/>
        <w:rPr>
          <w:lang w:val="en-US"/>
        </w:rPr>
      </w:pPr>
      <w:r>
        <w:rPr>
          <w:lang w:val="en-US"/>
        </w:rPr>
        <w:t>AMs were transduced with AAV6-GFP with MOI 87,500. 5 days after transduction they were stimulated with 1 µg/ml LPS for 20 h. Figure 4E shows more % GFP-positive cells after LPS treatment. Microscopy pictures in supplemental figure 6 show the cells to the data. Due to LPS-stimulation more cells are GFP-positive and cells look more stretched and bigger.</w:t>
      </w:r>
    </w:p>
    <w:p w14:paraId="70E6F1AD" w14:textId="77777777" w:rsidR="003B445C" w:rsidRDefault="003B445C" w:rsidP="003B445C">
      <w:pPr>
        <w:spacing w:after="240" w:line="276" w:lineRule="auto"/>
        <w:jc w:val="both"/>
        <w:rPr>
          <w:lang w:val="en-US"/>
        </w:rPr>
      </w:pPr>
    </w:p>
    <w:p w14:paraId="66D2728E" w14:textId="77777777" w:rsidR="003B445C" w:rsidRDefault="003B445C" w:rsidP="003B445C">
      <w:pPr>
        <w:spacing w:after="240" w:line="276" w:lineRule="auto"/>
        <w:jc w:val="both"/>
        <w:rPr>
          <w:lang w:val="en-US"/>
        </w:rPr>
      </w:pPr>
      <w:r>
        <w:rPr>
          <w:noProof/>
          <w:lang w:val="en-US"/>
        </w:rPr>
        <w:lastRenderedPageBreak/>
        <w:drawing>
          <wp:inline distT="0" distB="0" distL="0" distR="0" wp14:anchorId="6A8B428D" wp14:editId="52F85FBC">
            <wp:extent cx="5756400" cy="1967926"/>
            <wp:effectExtent l="0" t="0" r="0" b="635"/>
            <wp:docPr id="11218631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863197" name="Grafik 1"/>
                    <pic:cNvPicPr/>
                  </pic:nvPicPr>
                  <pic:blipFill>
                    <a:blip r:embed="rId9">
                      <a:extLst>
                        <a:ext uri="{28A0092B-C50C-407E-A947-70E740481C1C}">
                          <a14:useLocalDpi xmlns:a14="http://schemas.microsoft.com/office/drawing/2010/main" val="0"/>
                        </a:ext>
                      </a:extLst>
                    </a:blip>
                    <a:stretch>
                      <a:fillRect/>
                    </a:stretch>
                  </pic:blipFill>
                  <pic:spPr>
                    <a:xfrm>
                      <a:off x="0" y="0"/>
                      <a:ext cx="5756400" cy="1967926"/>
                    </a:xfrm>
                    <a:prstGeom prst="rect">
                      <a:avLst/>
                    </a:prstGeom>
                  </pic:spPr>
                </pic:pic>
              </a:graphicData>
            </a:graphic>
          </wp:inline>
        </w:drawing>
      </w:r>
    </w:p>
    <w:p w14:paraId="3281A367" w14:textId="77777777" w:rsidR="003B445C" w:rsidRDefault="003B445C" w:rsidP="003B445C">
      <w:pPr>
        <w:spacing w:line="276" w:lineRule="auto"/>
        <w:jc w:val="both"/>
        <w:rPr>
          <w:lang w:val="en-US"/>
        </w:rPr>
      </w:pPr>
      <w:r>
        <w:rPr>
          <w:lang w:val="en-US"/>
        </w:rPr>
        <w:t>Supplemental figure 6: LPS modulates transgene signal intensity in AMs transduced with AAV6-GFP</w:t>
      </w:r>
    </w:p>
    <w:p w14:paraId="32667CE3" w14:textId="77777777" w:rsidR="003B445C" w:rsidRDefault="003B445C" w:rsidP="003B445C">
      <w:pPr>
        <w:spacing w:line="276" w:lineRule="auto"/>
        <w:jc w:val="both"/>
        <w:rPr>
          <w:lang w:val="en-US"/>
        </w:rPr>
      </w:pPr>
      <w:r>
        <w:rPr>
          <w:lang w:val="en-US"/>
        </w:rPr>
        <w:t>Microscopic pictures to Figure 4E: AM transduced with AAV6-GFP with MOI 87,500 stimulated with 1 µg/ml LPS for 20 h (scale bar 200 µm). (</w:t>
      </w:r>
      <w:r w:rsidRPr="009722A6">
        <w:rPr>
          <w:b/>
          <w:bCs/>
          <w:lang w:val="en-US"/>
        </w:rPr>
        <w:t>A</w:t>
      </w:r>
      <w:r>
        <w:rPr>
          <w:lang w:val="en-US"/>
        </w:rPr>
        <w:t>) with stimulation (</w:t>
      </w:r>
      <w:r w:rsidRPr="009722A6">
        <w:rPr>
          <w:b/>
          <w:bCs/>
          <w:lang w:val="en-US"/>
        </w:rPr>
        <w:t>B</w:t>
      </w:r>
      <w:r>
        <w:rPr>
          <w:lang w:val="en-US"/>
        </w:rPr>
        <w:t>) without stimulation.</w:t>
      </w:r>
    </w:p>
    <w:p w14:paraId="20D1DB78" w14:textId="77777777" w:rsidR="003B445C" w:rsidRDefault="003B445C" w:rsidP="003B445C">
      <w:pPr>
        <w:spacing w:line="276" w:lineRule="auto"/>
        <w:jc w:val="both"/>
        <w:rPr>
          <w:lang w:val="en-US"/>
        </w:rPr>
      </w:pPr>
    </w:p>
    <w:p w14:paraId="2DDD5D9E" w14:textId="77777777" w:rsidR="003B445C" w:rsidRDefault="003B445C" w:rsidP="003B445C">
      <w:pPr>
        <w:spacing w:line="276" w:lineRule="auto"/>
        <w:jc w:val="both"/>
        <w:rPr>
          <w:lang w:val="en-US"/>
        </w:rPr>
      </w:pPr>
    </w:p>
    <w:p w14:paraId="205D33C4" w14:textId="77777777" w:rsidR="003B445C" w:rsidRDefault="003B445C" w:rsidP="003B445C">
      <w:pPr>
        <w:spacing w:line="276" w:lineRule="auto"/>
        <w:jc w:val="both"/>
        <w:rPr>
          <w:lang w:val="en-US"/>
        </w:rPr>
      </w:pPr>
      <w:r>
        <w:rPr>
          <w:lang w:val="en-US"/>
        </w:rPr>
        <w:t xml:space="preserve">To improve the transduction efficiency of macrophages different groups have already tested different substances. </w:t>
      </w:r>
    </w:p>
    <w:p w14:paraId="3297B6FA" w14:textId="77777777" w:rsidR="003B445C" w:rsidRPr="00D92164" w:rsidRDefault="003B445C" w:rsidP="003B445C">
      <w:pPr>
        <w:spacing w:line="276" w:lineRule="auto"/>
        <w:jc w:val="both"/>
        <w:rPr>
          <w:lang w:val="en-US"/>
        </w:rPr>
      </w:pPr>
      <w:r w:rsidRPr="00D92164">
        <w:rPr>
          <w:lang w:val="en-US"/>
        </w:rPr>
        <w:t xml:space="preserve">The group </w:t>
      </w:r>
      <w:r>
        <w:rPr>
          <w:lang w:val="en-US"/>
        </w:rPr>
        <w:t>of</w:t>
      </w:r>
      <w:r w:rsidRPr="00D92164">
        <w:rPr>
          <w:lang w:val="en-US"/>
        </w:rPr>
        <w:t xml:space="preserve"> </w:t>
      </w:r>
      <w:proofErr w:type="spellStart"/>
      <w:r w:rsidRPr="00D92164">
        <w:rPr>
          <w:lang w:val="en-US"/>
        </w:rPr>
        <w:t>Zaiss</w:t>
      </w:r>
      <w:proofErr w:type="spellEnd"/>
      <w:r w:rsidRPr="00D92164">
        <w:rPr>
          <w:lang w:val="en-US"/>
        </w:rPr>
        <w:t xml:space="preserve"> et al. investigated the influence of the complement system</w:t>
      </w:r>
      <w:r>
        <w:rPr>
          <w:lang w:val="en-US"/>
        </w:rPr>
        <w:t xml:space="preserve"> on macrophage transduction with AAV</w:t>
      </w:r>
      <w:r w:rsidRPr="00D92164">
        <w:rPr>
          <w:lang w:val="en-US"/>
        </w:rPr>
        <w:t>. However, they used primary mouse macrophages derived from bone marrow and the human cell line THP-1, rather than primary AM. They showed that the complement protein C3 is important for efficient transduction, as it enhances the internalization of AAV2 in macrophages while simultaneously activating the macrophages</w:t>
      </w:r>
      <w:r>
        <w:rPr>
          <w:lang w:val="en-US"/>
        </w:rPr>
        <w:t xml:space="preserve"> </w:t>
      </w:r>
      <w:r>
        <w:rPr>
          <w:lang w:val="en-US"/>
        </w:rPr>
        <w:fldChar w:fldCharType="begin"/>
      </w:r>
      <w:r>
        <w:rPr>
          <w:lang w:val="en-US"/>
        </w:rPr>
        <w:instrText xml:space="preserve"> ADDIN ZOTERO_ITEM CSL_CITATION {"citationID":"sDUc7twT","properties":{"formattedCitation":"[29]","plainCitation":"[29]","noteIndex":0},"citationItems":[{"id":1196,"uris":["http://zotero.org/users/local/WlULxIDC/items/QUCLCJAD"],"itemData":{"id":1196,"type":"article-journal","abstract":"ABSTRACT\n            Adeno-associated virus (AAV) vectors are associated with relatively mild host immune responses in vivo. Although AAV induces very weak innate immune responses, neutralizing antibodies against the vector capsid and transgene still occur. To understand further the basis of the antiviral immune response to AAV vectors, studies were performed to characterize AAV interactions with macrophages. Primary mouse macrophages and human THP-1 cells transduced in vitro using an AAV serotype 2 (AAV2) vector encoding green fluorescent protein did not result in measurable transgene expression. An assessment of internalized vector genomes showed that AAV2 vector uptake was enhanced in the presence of normal but not heat-inactivated or C3-depleted mouse/human serum. Enhanced uptake in the presence of serum coincided with increased macrophage activation as determined by the expression of NF-κB-dependent genes such as macrophage inflammatory protein 2 (MIP-2), interleukin-1β (IL-1β), IL-8, and MIP-1β. AAV vector serotypes 1 and 8 also activated human and mouse macrophages in a serum-dependent manner. Immunoprecipitation studies demonstrated the binding of iC3b complement protein to the AAV2 capsid in human serum. AAV2 did not activate the alternative pathway of the complement cascade and lacked cofactor activity for factor I-mediated degradation of C3b to iC3b. Instead, our results suggest that the AAV capsid also binds complement regulatory protein factor H. In vivo, complement receptor 1/2- and C3-deficient mice displayed impaired humoral immunity against AAV2 vectors, with a delay in antibody development and significantly lower neutralizing antibody titers. These results show that the complement system is an essential component of the host immune response to AAV.","container-title":"Journal of Virology","DOI":"10.1128/JVI.01990-07","ISSN":"0022-538X, 1098-5514","issue":"6","journalAbbreviation":"J Virol","language":"en","page":"2727-2740","source":"DOI.org (Crossref)","title":"Complement Is an Essential Component of the Immune Response to Adeno-Associated Virus Vectors","volume":"82","author":[{"family":"Zaiss","given":"Anne K."},{"family":"Cotter","given":"Matthew J."},{"family":"White","given":"Lindsay R."},{"family":"Clark","given":"Sharon A."},{"family":"Wong","given":"Norman C. W."},{"family":"Holers","given":"V. Michael"},{"family":"Bartlett","given":"Jeffrey S."},{"family":"Muruve","given":"Daniel A."}],"issued":{"date-parts":[["2008",3,15]]}}}],"schema":"https://github.com/citation-style-language/schema/raw/master/csl-citation.json"} </w:instrText>
      </w:r>
      <w:r>
        <w:rPr>
          <w:lang w:val="en-US"/>
        </w:rPr>
        <w:fldChar w:fldCharType="separate"/>
      </w:r>
      <w:r>
        <w:rPr>
          <w:noProof/>
          <w:lang w:val="en-US"/>
        </w:rPr>
        <w:t>[29]</w:t>
      </w:r>
      <w:r>
        <w:rPr>
          <w:lang w:val="en-US"/>
        </w:rPr>
        <w:fldChar w:fldCharType="end"/>
      </w:r>
      <w:r w:rsidRPr="00D92164">
        <w:rPr>
          <w:lang w:val="en-US"/>
        </w:rPr>
        <w:t>.</w:t>
      </w:r>
      <w:r>
        <w:rPr>
          <w:lang w:val="en-US"/>
        </w:rPr>
        <w:t xml:space="preserve"> In own experiments with AM the cells died in culture with 10 % mouse serum (</w:t>
      </w:r>
      <w:r w:rsidRPr="003330A8">
        <w:rPr>
          <w:color w:val="000000" w:themeColor="text1"/>
          <w:lang w:val="en-US"/>
        </w:rPr>
        <w:t>Sigma, Ref. S7273) inst</w:t>
      </w:r>
      <w:r>
        <w:rPr>
          <w:lang w:val="en-US"/>
        </w:rPr>
        <w:t xml:space="preserve">ead of FBS. Physiological AMs are not in contact with serum due to their location on epithelial cells (supplemental figure 7C). </w:t>
      </w:r>
    </w:p>
    <w:p w14:paraId="01536752" w14:textId="77777777" w:rsidR="003B445C" w:rsidRDefault="003B445C" w:rsidP="003B445C">
      <w:pPr>
        <w:spacing w:line="276" w:lineRule="auto"/>
        <w:jc w:val="both"/>
        <w:rPr>
          <w:lang w:val="en-US"/>
        </w:rPr>
      </w:pPr>
      <w:r w:rsidRPr="00085D40">
        <w:rPr>
          <w:lang w:val="en-US"/>
        </w:rPr>
        <w:t>Polybren</w:t>
      </w:r>
      <w:r>
        <w:rPr>
          <w:lang w:val="en-US"/>
        </w:rPr>
        <w:t>e (Sigma, Ref. TR-1003-G)</w:t>
      </w:r>
      <w:r w:rsidRPr="00085D40">
        <w:rPr>
          <w:lang w:val="en-US"/>
        </w:rPr>
        <w:t xml:space="preserve"> is a cationic polymer designed to improve the efficiency of retroviral and lentiviral transduction. According to the manufacturer, it neutralizes charge repulsion between the cell surface and virions. When using 8 µg/ml (the manufacturer recommends 5 to 10 µg/ml) on the AM</w:t>
      </w:r>
      <w:r>
        <w:rPr>
          <w:lang w:val="en-US"/>
        </w:rPr>
        <w:t>s</w:t>
      </w:r>
      <w:r w:rsidRPr="00085D40">
        <w:rPr>
          <w:lang w:val="en-US"/>
        </w:rPr>
        <w:t>, no increase in AAV transduction efficiency was observed; instead, a decrease in cell count was observed</w:t>
      </w:r>
      <w:r>
        <w:rPr>
          <w:lang w:val="en-US"/>
        </w:rPr>
        <w:t xml:space="preserve"> (supplemental figure 7D)</w:t>
      </w:r>
      <w:r w:rsidRPr="00085D40">
        <w:rPr>
          <w:lang w:val="en-US"/>
        </w:rPr>
        <w:t>.</w:t>
      </w:r>
      <w:r>
        <w:rPr>
          <w:lang w:val="en-US"/>
        </w:rPr>
        <w:t xml:space="preserve"> The substance was added while transduction and was incubated 24 h with the AAV on the cells.</w:t>
      </w:r>
    </w:p>
    <w:p w14:paraId="77AF67BD" w14:textId="77777777" w:rsidR="003B445C" w:rsidRPr="002A419E" w:rsidRDefault="003B445C" w:rsidP="003B445C">
      <w:pPr>
        <w:spacing w:line="276" w:lineRule="auto"/>
        <w:jc w:val="both"/>
        <w:rPr>
          <w:lang w:val="en-US"/>
        </w:rPr>
      </w:pPr>
      <w:r w:rsidRPr="002A419E">
        <w:rPr>
          <w:lang w:val="en-US"/>
        </w:rPr>
        <w:t xml:space="preserve">The group </w:t>
      </w:r>
      <w:r>
        <w:rPr>
          <w:lang w:val="en-US"/>
        </w:rPr>
        <w:t>of</w:t>
      </w:r>
      <w:r w:rsidRPr="002A419E">
        <w:rPr>
          <w:lang w:val="en-US"/>
        </w:rPr>
        <w:t xml:space="preserve"> </w:t>
      </w:r>
      <w:proofErr w:type="spellStart"/>
      <w:r w:rsidRPr="002A419E">
        <w:rPr>
          <w:lang w:val="en-US"/>
        </w:rPr>
        <w:t>Aronoff</w:t>
      </w:r>
      <w:proofErr w:type="spellEnd"/>
      <w:r w:rsidRPr="002A419E">
        <w:rPr>
          <w:lang w:val="en-US"/>
        </w:rPr>
        <w:t xml:space="preserve"> et al. used AM</w:t>
      </w:r>
      <w:r>
        <w:rPr>
          <w:lang w:val="en-US"/>
        </w:rPr>
        <w:t>s</w:t>
      </w:r>
      <w:r w:rsidRPr="002A419E">
        <w:rPr>
          <w:lang w:val="en-US"/>
        </w:rPr>
        <w:t xml:space="preserve"> from rats and mice. They showed that prostaglandin E2 acts via the EP2 receptor and inhibits phagocytosis. Forskolin</w:t>
      </w:r>
      <w:r>
        <w:rPr>
          <w:lang w:val="en-US"/>
        </w:rPr>
        <w:t xml:space="preserve"> (</w:t>
      </w:r>
      <w:proofErr w:type="spellStart"/>
      <w:r>
        <w:rPr>
          <w:lang w:val="en-US"/>
        </w:rPr>
        <w:t>Stemcell</w:t>
      </w:r>
      <w:proofErr w:type="spellEnd"/>
      <w:r>
        <w:rPr>
          <w:lang w:val="en-US"/>
        </w:rPr>
        <w:t xml:space="preserve"> Technologies, Vancouver, BC, Canada, Ref. 72112)</w:t>
      </w:r>
      <w:r w:rsidRPr="002A419E">
        <w:rPr>
          <w:lang w:val="en-US"/>
        </w:rPr>
        <w:t xml:space="preserve"> had the same effect independently of receptors</w:t>
      </w:r>
      <w:r>
        <w:rPr>
          <w:lang w:val="en-US"/>
        </w:rPr>
        <w:t xml:space="preserve"> </w:t>
      </w:r>
      <w:r>
        <w:rPr>
          <w:lang w:val="en-US"/>
        </w:rPr>
        <w:fldChar w:fldCharType="begin"/>
      </w:r>
      <w:r>
        <w:rPr>
          <w:lang w:val="en-US"/>
        </w:rPr>
        <w:instrText xml:space="preserve"> ADDIN ZOTERO_ITEM CSL_CITATION {"citationID":"41Krq8hL","properties":{"formattedCitation":"[30]","plainCitation":"[30]","noteIndex":0},"citationItems":[{"id":1339,"uris":["http://zotero.org/users/local/WlULxIDC/items/M2H4PA6C"],"itemData":{"id":1339,"type":"article-journal","abstract":"Abstract\n            Prostaglandin E2 is a potent lipid mediator of inflammation that effects changes in cell functions through ligation of four distinct G protein-coupled receptors (E-prostanoid (EP)1, EP2, EP3, and EP4). During pneumonia, PGE2 production is enhanced. In the present study, we sought to assess the effect of endogenously produced and exogenously added PGE2 on FcRγ-mediated phagocytosis of bacterial pathogens by alveolar macrophages (AMs), which are critical participants in lung innate immunity. We also sought to characterize the EP receptor signaling pathways responsible for these effects. PGE2 (1–1000 nM) dose-dependently suppressed the phagocytosis by rat AMs of IgG-opsonized erythrocytes, immune serum-opsonized Klebsiella pneumoniae, and IgG-opsonized Escherichia coli. Conversely, phagocytosis was stimulated by pretreatment with the cyclooxygenase inhibitor indomethacin. PGE2 suppression of phagocytosis was associated with enhanced intracellular cAMP production. Experiments using both forskolin (adenylate cyclase activator) and rolipram (phosphodiesterase IV inhibitor) confirmed the inhibitory effect of cAMP stimulation. Immunoblot analysis of rat AMs identified expression of only EP2 and EP3 receptors. The selective EP2 agonist butaprost, but neither the EP1/EP3 agonist sulprostone nor the EP4-selective agonist ONO-AE1-329, mimicked the effects of PGE2 on phagocytosis and cAMP stimulation. Additionally, the EP2 antagonist AH-6809 abrogated the inhibitory effects of both PGE2 and butaprost. We confirmed the specificity of our results by showing that AMs from EP2-deficient mice were resistant to the inhibitory effects of PGE2. Our data support a negative regulatory role for PGE2 on the antimicrobial activity of AMs, which has important implications for future efforts to prevent and treat bacterial pneumonia.","container-title":"The Journal of Immunology","DOI":"10.4049/jimmunol.173.1.559","ISSN":"0022-1767, 1550-6606","issue":"1","language":"en","page":"559-565","source":"DOI.org (Crossref)","title":"Prostaglandin E2 Inhibits Alveolar Macrophage Phagocytosis through an E-Prostanoid 2 Receptor-Mediated Increase in Intracellular Cyclic AMP","volume":"173","author":[{"family":"Aronoff","given":"David M."},{"family":"Canetti","given":"Claudio"},{"family":"Peters-Golden","given":"Marc"}],"issued":{"date-parts":[["2004",7,1]]}}}],"schema":"https://github.com/citation-style-language/schema/raw/master/csl-citation.json"} </w:instrText>
      </w:r>
      <w:r>
        <w:rPr>
          <w:lang w:val="en-US"/>
        </w:rPr>
        <w:fldChar w:fldCharType="separate"/>
      </w:r>
      <w:r>
        <w:rPr>
          <w:noProof/>
          <w:lang w:val="en-US"/>
        </w:rPr>
        <w:t>[30]</w:t>
      </w:r>
      <w:r>
        <w:rPr>
          <w:lang w:val="en-US"/>
        </w:rPr>
        <w:fldChar w:fldCharType="end"/>
      </w:r>
      <w:r w:rsidRPr="002A419E">
        <w:rPr>
          <w:lang w:val="en-US"/>
        </w:rPr>
        <w:t xml:space="preserve">. In own experiments, forskolin was used in the concentration specified in the publication (100 µM) </w:t>
      </w:r>
      <w:r>
        <w:rPr>
          <w:lang w:val="en-US"/>
        </w:rPr>
        <w:t xml:space="preserve">(supplemental figure 7E) </w:t>
      </w:r>
      <w:r w:rsidRPr="002A419E">
        <w:rPr>
          <w:lang w:val="en-US"/>
        </w:rPr>
        <w:t>and in a lower concentration (10 µM)</w:t>
      </w:r>
      <w:r>
        <w:rPr>
          <w:lang w:val="en-US"/>
        </w:rPr>
        <w:t xml:space="preserve"> (supplemental figure 7F)</w:t>
      </w:r>
      <w:r w:rsidRPr="00085D40">
        <w:rPr>
          <w:lang w:val="en-US"/>
        </w:rPr>
        <w:t>.</w:t>
      </w:r>
      <w:r w:rsidRPr="002A419E">
        <w:rPr>
          <w:lang w:val="en-US"/>
        </w:rPr>
        <w:t xml:space="preserve"> The aim was to show whether inhibition of phagocytosis could improve the transduction efficiency of AAV on AM</w:t>
      </w:r>
      <w:r>
        <w:rPr>
          <w:lang w:val="en-US"/>
        </w:rPr>
        <w:t>s</w:t>
      </w:r>
      <w:r w:rsidRPr="002A419E">
        <w:rPr>
          <w:lang w:val="en-US"/>
        </w:rPr>
        <w:t xml:space="preserve">. No increase in efficiency was observed with </w:t>
      </w:r>
      <w:r>
        <w:rPr>
          <w:lang w:val="en-US"/>
        </w:rPr>
        <w:t xml:space="preserve">the use of </w:t>
      </w:r>
      <w:r w:rsidRPr="002A419E">
        <w:rPr>
          <w:lang w:val="en-US"/>
        </w:rPr>
        <w:t>forskolin</w:t>
      </w:r>
      <w:r>
        <w:rPr>
          <w:lang w:val="en-US"/>
        </w:rPr>
        <w:t xml:space="preserve"> independent of the concentration being used</w:t>
      </w:r>
      <w:r w:rsidRPr="002A419E">
        <w:rPr>
          <w:lang w:val="en-US"/>
        </w:rPr>
        <w:t>.</w:t>
      </w:r>
      <w:r>
        <w:rPr>
          <w:lang w:val="en-US"/>
        </w:rPr>
        <w:t xml:space="preserve"> The substance was added 15 min before transduction and was incubated 24 h with the AAV on the cells.</w:t>
      </w:r>
    </w:p>
    <w:p w14:paraId="1F2BAB49" w14:textId="77777777" w:rsidR="003B445C" w:rsidRPr="00244B67" w:rsidRDefault="003B445C" w:rsidP="003B445C">
      <w:pPr>
        <w:spacing w:line="276" w:lineRule="auto"/>
        <w:jc w:val="both"/>
        <w:rPr>
          <w:lang w:val="en-US"/>
        </w:rPr>
      </w:pPr>
      <w:r>
        <w:rPr>
          <w:lang w:val="en-US"/>
        </w:rPr>
        <w:lastRenderedPageBreak/>
        <w:t xml:space="preserve">The next tested substance was </w:t>
      </w:r>
      <w:r w:rsidRPr="00244B67">
        <w:rPr>
          <w:lang w:val="en-US"/>
        </w:rPr>
        <w:t>Hydroxychloroquine</w:t>
      </w:r>
      <w:r>
        <w:rPr>
          <w:lang w:val="en-US"/>
        </w:rPr>
        <w:t xml:space="preserve"> (Sigma, Ref. H0915), which is</w:t>
      </w:r>
      <w:r w:rsidRPr="00244B67">
        <w:rPr>
          <w:lang w:val="en-US"/>
        </w:rPr>
        <w:t xml:space="preserve"> an active ingredient used to treat malaria that acts as an antagonist for TLR9. The group </w:t>
      </w:r>
      <w:r>
        <w:rPr>
          <w:lang w:val="en-US"/>
        </w:rPr>
        <w:t>of</w:t>
      </w:r>
      <w:r w:rsidRPr="00244B67">
        <w:rPr>
          <w:lang w:val="en-US"/>
        </w:rPr>
        <w:t xml:space="preserve"> Chandler et al. was able to generate three times higher GFP expression when treated one hour before transduction with AAV2 or AAV8 using ubiquitous and photoreceptor-specific promoters. They demonstrated increased transgene expression for up to 8 weeks </w:t>
      </w:r>
      <w:r w:rsidRPr="003A0B75">
        <w:rPr>
          <w:i/>
          <w:iCs/>
          <w:lang w:val="en-US"/>
        </w:rPr>
        <w:t>in vitro</w:t>
      </w:r>
      <w:r w:rsidRPr="00244B67">
        <w:rPr>
          <w:lang w:val="en-US"/>
        </w:rPr>
        <w:t>, </w:t>
      </w:r>
      <w:r w:rsidRPr="003A0B75">
        <w:rPr>
          <w:i/>
          <w:iCs/>
          <w:lang w:val="en-US"/>
        </w:rPr>
        <w:t>ex vivo</w:t>
      </w:r>
      <w:r w:rsidRPr="00244B67">
        <w:rPr>
          <w:lang w:val="en-US"/>
        </w:rPr>
        <w:t>, and </w:t>
      </w:r>
      <w:r w:rsidRPr="003A0B75">
        <w:rPr>
          <w:i/>
          <w:iCs/>
          <w:lang w:val="en-US"/>
        </w:rPr>
        <w:t>in vivo</w:t>
      </w:r>
      <w:r w:rsidRPr="00244B67">
        <w:rPr>
          <w:lang w:val="en-US"/>
        </w:rPr>
        <w:t xml:space="preserve">. The research group used mouse embryonic fibroblasts, primate retinal pigment epithelial cells, and human retinal explants. After treatment with hydroxychloroquine, the localization of AAV shifted from the cytosol to the cell nucleus </w:t>
      </w:r>
      <w:r>
        <w:rPr>
          <w:lang w:val="en-US"/>
        </w:rPr>
        <w:fldChar w:fldCharType="begin"/>
      </w:r>
      <w:r>
        <w:rPr>
          <w:lang w:val="en-US"/>
        </w:rPr>
        <w:instrText xml:space="preserve"> ADDIN ZOTERO_ITEM CSL_CITATION {"citationID":"0TMFS9U2","properties":{"formattedCitation":"[31]","plainCitation":"[31]","noteIndex":0},"citationItems":[{"id":1101,"uris":["http://zotero.org/users/local/WlULxIDC/items/F7N8LSPC"],"itemData":{"id":1101,"type":"article-journal","container-title":"Molecular Therapy - Methods &amp; Clinical Development","DOI":"10.1016/j.omtm.2019.05.012","ISSN":"23290501","journalAbbreviation":"Molecular Therapy - Methods &amp; Clinical Development","language":"en","page":"77-89","source":"DOI.org (Crossref)","title":"Enhancement of Adeno-Associated Virus-Mediated Gene Therapy Using Hydroxychloroquine in Murine and Human Tissues","volume":"14","author":[{"family":"Chandler","given":"Laurel C."},{"family":"Barnard","given":"Alun R."},{"family":"Caddy","given":"Sarah L."},{"family":"Patrício","given":"Maria I."},{"family":"McClements","given":"Michelle E."},{"family":"Fu","given":"Howell"},{"family":"Rada","given":"Cristina"},{"family":"MacLaren","given":"Robert E."},{"family":"Xue","given":"Kanmin"}],"issued":{"date-parts":[["2019",9]]}}}],"schema":"https://github.com/citation-style-language/schema/raw/master/csl-citation.json"} </w:instrText>
      </w:r>
      <w:r>
        <w:rPr>
          <w:lang w:val="en-US"/>
        </w:rPr>
        <w:fldChar w:fldCharType="separate"/>
      </w:r>
      <w:r>
        <w:rPr>
          <w:noProof/>
          <w:lang w:val="en-US"/>
        </w:rPr>
        <w:t>[31]</w:t>
      </w:r>
      <w:r>
        <w:rPr>
          <w:lang w:val="en-US"/>
        </w:rPr>
        <w:fldChar w:fldCharType="end"/>
      </w:r>
      <w:r w:rsidRPr="00244B67">
        <w:rPr>
          <w:lang w:val="en-US"/>
        </w:rPr>
        <w:t>. The two concentrations used in the publication (18.75 µM</w:t>
      </w:r>
      <w:r>
        <w:rPr>
          <w:lang w:val="en-US"/>
        </w:rPr>
        <w:t xml:space="preserve"> (supplemental figure 7G)</w:t>
      </w:r>
      <w:r w:rsidRPr="00244B67">
        <w:rPr>
          <w:lang w:val="en-US"/>
        </w:rPr>
        <w:t xml:space="preserve"> and </w:t>
      </w:r>
      <w:r>
        <w:rPr>
          <w:lang w:val="en-US"/>
        </w:rPr>
        <w:t>3.13</w:t>
      </w:r>
      <w:r w:rsidRPr="00244B67">
        <w:rPr>
          <w:lang w:val="en-US"/>
        </w:rPr>
        <w:t xml:space="preserve"> µM</w:t>
      </w:r>
      <w:r>
        <w:rPr>
          <w:lang w:val="en-US"/>
        </w:rPr>
        <w:t xml:space="preserve"> (supplemental figure 7H)</w:t>
      </w:r>
      <w:r w:rsidRPr="00244B67">
        <w:rPr>
          <w:lang w:val="en-US"/>
        </w:rPr>
        <w:t>) were tested for AAV transduction on the AM</w:t>
      </w:r>
      <w:r>
        <w:rPr>
          <w:lang w:val="en-US"/>
        </w:rPr>
        <w:t>s</w:t>
      </w:r>
      <w:r w:rsidRPr="00244B67">
        <w:rPr>
          <w:lang w:val="en-US"/>
        </w:rPr>
        <w:t xml:space="preserve"> in own experiments and showed no increase in efficiency.</w:t>
      </w:r>
      <w:r>
        <w:rPr>
          <w:lang w:val="en-US"/>
        </w:rPr>
        <w:t xml:space="preserve"> The substance was added 1 h before transduction and was incubated 24 h with the AAV on the cells.</w:t>
      </w:r>
    </w:p>
    <w:p w14:paraId="6956C4A4" w14:textId="0C858CC7" w:rsidR="003B445C" w:rsidRDefault="003B445C" w:rsidP="003B445C">
      <w:pPr>
        <w:spacing w:after="240" w:line="276" w:lineRule="auto"/>
        <w:jc w:val="both"/>
        <w:rPr>
          <w:lang w:val="en-US"/>
        </w:rPr>
      </w:pPr>
      <w:r>
        <w:rPr>
          <w:lang w:val="en-US"/>
        </w:rPr>
        <w:t xml:space="preserve">Supplemental table </w:t>
      </w:r>
      <w:r w:rsidR="00787B57">
        <w:rPr>
          <w:lang w:val="en-US"/>
        </w:rPr>
        <w:t>1</w:t>
      </w:r>
      <w:r>
        <w:rPr>
          <w:lang w:val="en-US"/>
        </w:rPr>
        <w:t xml:space="preserve"> summarizes the efficiency of AAV transduction on AMs with different substances 6 days after transduction. AMs were transduced with AAV6-GFP with MOI 87,500. With ImageJ total number of cells on microscopic pictures was counted. Then with ImageJ GFP-positive cells were counted. And the percentage of GFP-positive cells of total cell number was calculated.</w:t>
      </w:r>
    </w:p>
    <w:p w14:paraId="40C2BF77" w14:textId="2D3AD597" w:rsidR="003B445C" w:rsidRDefault="003B445C" w:rsidP="003B445C">
      <w:pPr>
        <w:spacing w:after="240" w:line="276" w:lineRule="auto"/>
        <w:jc w:val="both"/>
        <w:rPr>
          <w:lang w:val="en-US"/>
        </w:rPr>
      </w:pPr>
      <w:r>
        <w:rPr>
          <w:lang w:val="en-US"/>
        </w:rPr>
        <w:t xml:space="preserve">Supplemental table </w:t>
      </w:r>
      <w:r w:rsidR="00787B57">
        <w:rPr>
          <w:lang w:val="en-US"/>
        </w:rPr>
        <w:t>1</w:t>
      </w:r>
      <w:r>
        <w:rPr>
          <w:lang w:val="en-US"/>
        </w:rPr>
        <w:t>: AM AAV6-GFP Optimization methods</w:t>
      </w:r>
    </w:p>
    <w:tbl>
      <w:tblPr>
        <w:tblStyle w:val="Tabellenraster"/>
        <w:tblW w:w="0" w:type="auto"/>
        <w:tblLook w:val="04A0" w:firstRow="1" w:lastRow="0" w:firstColumn="1" w:lastColumn="0" w:noHBand="0" w:noVBand="1"/>
      </w:tblPr>
      <w:tblGrid>
        <w:gridCol w:w="1866"/>
        <w:gridCol w:w="1118"/>
        <w:gridCol w:w="1146"/>
        <w:gridCol w:w="1149"/>
        <w:gridCol w:w="1149"/>
        <w:gridCol w:w="1314"/>
        <w:gridCol w:w="1314"/>
      </w:tblGrid>
      <w:tr w:rsidR="003B445C" w:rsidRPr="002B0146" w14:paraId="1D5B85A6" w14:textId="77777777" w:rsidTr="007A211C">
        <w:tc>
          <w:tcPr>
            <w:tcW w:w="1872" w:type="dxa"/>
          </w:tcPr>
          <w:p w14:paraId="0A3803B0" w14:textId="77777777" w:rsidR="003B445C" w:rsidRPr="007C0E14" w:rsidRDefault="003B445C" w:rsidP="007A211C">
            <w:pPr>
              <w:pStyle w:val="DrStandard"/>
              <w:jc w:val="right"/>
              <w:rPr>
                <w:rFonts w:asciiTheme="minorHAnsi" w:hAnsiTheme="minorHAnsi" w:cstheme="minorHAnsi"/>
                <w:b/>
                <w:bCs/>
                <w:lang w:val="en-US"/>
              </w:rPr>
            </w:pPr>
            <w:r w:rsidRPr="007C0E14">
              <w:rPr>
                <w:rFonts w:asciiTheme="minorHAnsi" w:hAnsiTheme="minorHAnsi" w:cstheme="minorHAnsi"/>
                <w:b/>
                <w:bCs/>
                <w:lang w:val="en-US"/>
              </w:rPr>
              <w:t>Optimization method</w:t>
            </w:r>
          </w:p>
        </w:tc>
        <w:tc>
          <w:tcPr>
            <w:tcW w:w="1121" w:type="dxa"/>
          </w:tcPr>
          <w:p w14:paraId="21F2270B" w14:textId="77777777" w:rsidR="003B445C" w:rsidRPr="007C0E14" w:rsidRDefault="003B445C" w:rsidP="007A211C">
            <w:pPr>
              <w:pStyle w:val="DrStandard"/>
              <w:rPr>
                <w:rFonts w:asciiTheme="minorHAnsi" w:hAnsiTheme="minorHAnsi" w:cstheme="minorHAnsi"/>
                <w:b/>
                <w:bCs/>
                <w:lang w:val="en-US"/>
              </w:rPr>
            </w:pPr>
            <w:r w:rsidRPr="007C0E14">
              <w:rPr>
                <w:rFonts w:asciiTheme="minorHAnsi" w:hAnsiTheme="minorHAnsi" w:cstheme="minorHAnsi"/>
                <w:b/>
                <w:bCs/>
                <w:lang w:val="en-US"/>
              </w:rPr>
              <w:t>Control</w:t>
            </w:r>
          </w:p>
        </w:tc>
        <w:tc>
          <w:tcPr>
            <w:tcW w:w="1105" w:type="dxa"/>
          </w:tcPr>
          <w:p w14:paraId="61D09BFF" w14:textId="77777777" w:rsidR="003B445C" w:rsidRPr="007C0E14" w:rsidRDefault="003B445C" w:rsidP="007A211C">
            <w:pPr>
              <w:pStyle w:val="DrStandard"/>
              <w:rPr>
                <w:rFonts w:asciiTheme="minorHAnsi" w:hAnsiTheme="minorHAnsi" w:cstheme="minorHAnsi"/>
                <w:b/>
                <w:bCs/>
                <w:lang w:val="en-US"/>
              </w:rPr>
            </w:pPr>
            <w:r w:rsidRPr="007C0E14">
              <w:rPr>
                <w:rFonts w:asciiTheme="minorHAnsi" w:hAnsiTheme="minorHAnsi" w:cstheme="minorHAnsi"/>
                <w:b/>
                <w:bCs/>
                <w:lang w:val="en-US"/>
              </w:rPr>
              <w:t>8 µg/ml Polybrene</w:t>
            </w:r>
          </w:p>
        </w:tc>
        <w:tc>
          <w:tcPr>
            <w:tcW w:w="1150" w:type="dxa"/>
          </w:tcPr>
          <w:p w14:paraId="1AFD7F06" w14:textId="77777777" w:rsidR="003B445C" w:rsidRPr="007C0E14" w:rsidRDefault="003B445C" w:rsidP="007A211C">
            <w:pPr>
              <w:pStyle w:val="DrStandard"/>
              <w:rPr>
                <w:rFonts w:asciiTheme="minorHAnsi" w:hAnsiTheme="minorHAnsi" w:cstheme="minorHAnsi"/>
                <w:b/>
                <w:bCs/>
                <w:lang w:val="en-US"/>
              </w:rPr>
            </w:pPr>
            <w:r w:rsidRPr="007C0E14">
              <w:rPr>
                <w:rFonts w:asciiTheme="minorHAnsi" w:hAnsiTheme="minorHAnsi" w:cstheme="minorHAnsi"/>
                <w:b/>
                <w:bCs/>
                <w:lang w:val="en-US"/>
              </w:rPr>
              <w:t>100 µM Forskolin</w:t>
            </w:r>
          </w:p>
        </w:tc>
        <w:tc>
          <w:tcPr>
            <w:tcW w:w="1150" w:type="dxa"/>
          </w:tcPr>
          <w:p w14:paraId="09FEC68D" w14:textId="77777777" w:rsidR="003B445C" w:rsidRPr="007C0E14" w:rsidRDefault="003B445C" w:rsidP="007A211C">
            <w:pPr>
              <w:pStyle w:val="DrStandard"/>
              <w:rPr>
                <w:rFonts w:asciiTheme="minorHAnsi" w:hAnsiTheme="minorHAnsi" w:cstheme="minorHAnsi"/>
                <w:b/>
                <w:bCs/>
                <w:lang w:val="en-US"/>
              </w:rPr>
            </w:pPr>
            <w:r w:rsidRPr="007C0E14">
              <w:rPr>
                <w:rFonts w:asciiTheme="minorHAnsi" w:hAnsiTheme="minorHAnsi" w:cstheme="minorHAnsi"/>
                <w:b/>
                <w:bCs/>
                <w:lang w:val="en-US"/>
              </w:rPr>
              <w:t>10 µM Forskolin</w:t>
            </w:r>
          </w:p>
        </w:tc>
        <w:tc>
          <w:tcPr>
            <w:tcW w:w="1243" w:type="dxa"/>
          </w:tcPr>
          <w:p w14:paraId="0E13B9A3" w14:textId="73A6D986" w:rsidR="003B445C" w:rsidRPr="007C0E14" w:rsidRDefault="003B445C" w:rsidP="007A211C">
            <w:pPr>
              <w:pStyle w:val="DrStandard"/>
              <w:rPr>
                <w:rFonts w:asciiTheme="minorHAnsi" w:hAnsiTheme="minorHAnsi" w:cstheme="minorHAnsi"/>
                <w:b/>
                <w:bCs/>
                <w:lang w:val="en-US"/>
              </w:rPr>
            </w:pPr>
            <w:r w:rsidRPr="007C0E14">
              <w:rPr>
                <w:rFonts w:asciiTheme="minorHAnsi" w:hAnsiTheme="minorHAnsi" w:cstheme="minorHAnsi"/>
                <w:b/>
                <w:bCs/>
                <w:lang w:val="en-US"/>
              </w:rPr>
              <w:t>18</w:t>
            </w:r>
            <w:r w:rsidR="0063623C">
              <w:rPr>
                <w:rFonts w:asciiTheme="minorHAnsi" w:hAnsiTheme="minorHAnsi" w:cstheme="minorHAnsi"/>
                <w:b/>
                <w:bCs/>
                <w:lang w:val="en-US"/>
              </w:rPr>
              <w:t>.</w:t>
            </w:r>
            <w:r w:rsidRPr="007C0E14">
              <w:rPr>
                <w:rFonts w:asciiTheme="minorHAnsi" w:hAnsiTheme="minorHAnsi" w:cstheme="minorHAnsi"/>
                <w:b/>
                <w:bCs/>
                <w:lang w:val="en-US"/>
              </w:rPr>
              <w:t>75 µM Hydroxy-chloroquine</w:t>
            </w:r>
          </w:p>
        </w:tc>
        <w:tc>
          <w:tcPr>
            <w:tcW w:w="1243" w:type="dxa"/>
          </w:tcPr>
          <w:p w14:paraId="25C54E59" w14:textId="3F133ADF" w:rsidR="003B445C" w:rsidRPr="007C0E14" w:rsidRDefault="003B445C" w:rsidP="007A211C">
            <w:pPr>
              <w:pStyle w:val="DrStandard"/>
              <w:rPr>
                <w:rFonts w:asciiTheme="minorHAnsi" w:hAnsiTheme="minorHAnsi" w:cstheme="minorHAnsi"/>
                <w:b/>
                <w:bCs/>
                <w:lang w:val="en-US"/>
              </w:rPr>
            </w:pPr>
            <w:r w:rsidRPr="007C0E14">
              <w:rPr>
                <w:rFonts w:asciiTheme="minorHAnsi" w:hAnsiTheme="minorHAnsi" w:cstheme="minorHAnsi"/>
                <w:b/>
                <w:bCs/>
                <w:lang w:val="en-US"/>
              </w:rPr>
              <w:t>3</w:t>
            </w:r>
            <w:r w:rsidR="0063623C">
              <w:rPr>
                <w:rFonts w:asciiTheme="minorHAnsi" w:hAnsiTheme="minorHAnsi" w:cstheme="minorHAnsi"/>
                <w:b/>
                <w:bCs/>
                <w:lang w:val="en-US"/>
              </w:rPr>
              <w:t>.</w:t>
            </w:r>
            <w:r w:rsidRPr="007C0E14">
              <w:rPr>
                <w:rFonts w:asciiTheme="minorHAnsi" w:hAnsiTheme="minorHAnsi" w:cstheme="minorHAnsi"/>
                <w:b/>
                <w:bCs/>
                <w:lang w:val="en-US"/>
              </w:rPr>
              <w:t>13 µM Hydroxy-chloroquine</w:t>
            </w:r>
          </w:p>
        </w:tc>
      </w:tr>
      <w:tr w:rsidR="003B445C" w:rsidRPr="002B0146" w14:paraId="6C90FD82" w14:textId="77777777" w:rsidTr="007A211C">
        <w:tc>
          <w:tcPr>
            <w:tcW w:w="1872" w:type="dxa"/>
          </w:tcPr>
          <w:p w14:paraId="5B22F88F" w14:textId="77777777" w:rsidR="003B445C" w:rsidRPr="007C0E14" w:rsidRDefault="003B445C" w:rsidP="007A211C">
            <w:pPr>
              <w:pStyle w:val="DrStandard"/>
              <w:rPr>
                <w:rFonts w:asciiTheme="minorHAnsi" w:hAnsiTheme="minorHAnsi" w:cstheme="minorHAnsi"/>
                <w:b/>
                <w:bCs/>
                <w:lang w:val="en-US"/>
              </w:rPr>
            </w:pPr>
            <w:r w:rsidRPr="007C0E14">
              <w:rPr>
                <w:rFonts w:asciiTheme="minorHAnsi" w:hAnsiTheme="minorHAnsi" w:cstheme="minorHAnsi"/>
                <w:b/>
                <w:bCs/>
                <w:lang w:val="en-US"/>
              </w:rPr>
              <w:t>ImageJ (Day 6)</w:t>
            </w:r>
          </w:p>
        </w:tc>
        <w:tc>
          <w:tcPr>
            <w:tcW w:w="1121" w:type="dxa"/>
          </w:tcPr>
          <w:p w14:paraId="67A67C2F" w14:textId="77777777" w:rsidR="003B445C" w:rsidRPr="007C0E14" w:rsidRDefault="003B445C" w:rsidP="007A211C">
            <w:pPr>
              <w:pStyle w:val="DrStandard"/>
              <w:rPr>
                <w:rFonts w:asciiTheme="minorHAnsi" w:hAnsiTheme="minorHAnsi" w:cstheme="minorHAnsi"/>
                <w:lang w:val="en-US"/>
              </w:rPr>
            </w:pPr>
            <w:r w:rsidRPr="007C0E14">
              <w:rPr>
                <w:rFonts w:asciiTheme="minorHAnsi" w:hAnsiTheme="minorHAnsi" w:cstheme="minorHAnsi"/>
                <w:lang w:val="en-US"/>
              </w:rPr>
              <w:t>9,4 %</w:t>
            </w:r>
            <w:r>
              <w:rPr>
                <w:rFonts w:asciiTheme="minorHAnsi" w:hAnsiTheme="minorHAnsi" w:cstheme="minorHAnsi"/>
                <w:lang w:val="en-US"/>
              </w:rPr>
              <w:t xml:space="preserve"> ± 0,9 %</w:t>
            </w:r>
          </w:p>
        </w:tc>
        <w:tc>
          <w:tcPr>
            <w:tcW w:w="1105" w:type="dxa"/>
          </w:tcPr>
          <w:p w14:paraId="78F70909" w14:textId="77777777" w:rsidR="003B445C" w:rsidRPr="007C0E14" w:rsidRDefault="003B445C" w:rsidP="007A211C">
            <w:pPr>
              <w:pStyle w:val="DrStandard"/>
              <w:rPr>
                <w:rFonts w:asciiTheme="minorHAnsi" w:hAnsiTheme="minorHAnsi" w:cstheme="minorHAnsi"/>
                <w:lang w:val="en-US"/>
              </w:rPr>
            </w:pPr>
            <w:r>
              <w:rPr>
                <w:rFonts w:asciiTheme="minorHAnsi" w:hAnsiTheme="minorHAnsi" w:cstheme="minorHAnsi"/>
                <w:lang w:val="en-US"/>
              </w:rPr>
              <w:t>10,0</w:t>
            </w:r>
            <w:r w:rsidRPr="007C0E14">
              <w:rPr>
                <w:rFonts w:asciiTheme="minorHAnsi" w:hAnsiTheme="minorHAnsi" w:cstheme="minorHAnsi"/>
                <w:lang w:val="en-US"/>
              </w:rPr>
              <w:t> %</w:t>
            </w:r>
            <w:r>
              <w:rPr>
                <w:rFonts w:asciiTheme="minorHAnsi" w:hAnsiTheme="minorHAnsi" w:cstheme="minorHAnsi"/>
                <w:lang w:val="en-US"/>
              </w:rPr>
              <w:t xml:space="preserve"> ± 0,6 %</w:t>
            </w:r>
          </w:p>
        </w:tc>
        <w:tc>
          <w:tcPr>
            <w:tcW w:w="1150" w:type="dxa"/>
          </w:tcPr>
          <w:p w14:paraId="3822A90A" w14:textId="77777777" w:rsidR="003B445C" w:rsidRPr="007C0E14" w:rsidRDefault="003B445C" w:rsidP="007A211C">
            <w:pPr>
              <w:pStyle w:val="DrStandard"/>
              <w:rPr>
                <w:rFonts w:asciiTheme="minorHAnsi" w:hAnsiTheme="minorHAnsi" w:cstheme="minorHAnsi"/>
                <w:lang w:val="en-US"/>
              </w:rPr>
            </w:pPr>
            <w:r w:rsidRPr="007C0E14">
              <w:rPr>
                <w:rFonts w:asciiTheme="minorHAnsi" w:hAnsiTheme="minorHAnsi" w:cstheme="minorHAnsi"/>
                <w:lang w:val="en-US"/>
              </w:rPr>
              <w:t>8,3 %</w:t>
            </w:r>
            <w:r>
              <w:rPr>
                <w:rFonts w:asciiTheme="minorHAnsi" w:hAnsiTheme="minorHAnsi" w:cstheme="minorHAnsi"/>
                <w:lang w:val="en-US"/>
              </w:rPr>
              <w:t xml:space="preserve"> ± 0,0 %</w:t>
            </w:r>
          </w:p>
        </w:tc>
        <w:tc>
          <w:tcPr>
            <w:tcW w:w="1150" w:type="dxa"/>
          </w:tcPr>
          <w:p w14:paraId="24BBA765" w14:textId="77777777" w:rsidR="003B445C" w:rsidRPr="007C0E14" w:rsidRDefault="003B445C" w:rsidP="007A211C">
            <w:pPr>
              <w:pStyle w:val="DrStandard"/>
              <w:rPr>
                <w:rFonts w:asciiTheme="minorHAnsi" w:hAnsiTheme="minorHAnsi" w:cstheme="minorHAnsi"/>
                <w:lang w:val="en-US"/>
              </w:rPr>
            </w:pPr>
            <w:r w:rsidRPr="007C0E14">
              <w:rPr>
                <w:rFonts w:asciiTheme="minorHAnsi" w:hAnsiTheme="minorHAnsi" w:cstheme="minorHAnsi"/>
                <w:lang w:val="en-US"/>
              </w:rPr>
              <w:t>6,6 %</w:t>
            </w:r>
            <w:r>
              <w:rPr>
                <w:rFonts w:asciiTheme="minorHAnsi" w:hAnsiTheme="minorHAnsi" w:cstheme="minorHAnsi"/>
                <w:lang w:val="en-US"/>
              </w:rPr>
              <w:t xml:space="preserve"> ± 2,0 %</w:t>
            </w:r>
          </w:p>
        </w:tc>
        <w:tc>
          <w:tcPr>
            <w:tcW w:w="1243" w:type="dxa"/>
          </w:tcPr>
          <w:p w14:paraId="4E11A176" w14:textId="77777777" w:rsidR="003B445C" w:rsidRPr="007C0E14" w:rsidRDefault="003B445C" w:rsidP="007A211C">
            <w:pPr>
              <w:pStyle w:val="DrStandard"/>
              <w:rPr>
                <w:rFonts w:asciiTheme="minorHAnsi" w:hAnsiTheme="minorHAnsi" w:cstheme="minorHAnsi"/>
                <w:lang w:val="en-US"/>
              </w:rPr>
            </w:pPr>
            <w:r w:rsidRPr="007C0E14">
              <w:rPr>
                <w:rFonts w:asciiTheme="minorHAnsi" w:hAnsiTheme="minorHAnsi" w:cstheme="minorHAnsi"/>
                <w:lang w:val="en-US"/>
              </w:rPr>
              <w:t>7,2 %</w:t>
            </w:r>
            <w:r>
              <w:rPr>
                <w:rFonts w:asciiTheme="minorHAnsi" w:hAnsiTheme="minorHAnsi" w:cstheme="minorHAnsi"/>
                <w:lang w:val="en-US"/>
              </w:rPr>
              <w:t xml:space="preserve"> ± 2,3 %</w:t>
            </w:r>
          </w:p>
        </w:tc>
        <w:tc>
          <w:tcPr>
            <w:tcW w:w="1243" w:type="dxa"/>
          </w:tcPr>
          <w:p w14:paraId="156C088E" w14:textId="77777777" w:rsidR="003B445C" w:rsidRPr="007C0E14" w:rsidRDefault="003B445C" w:rsidP="007A211C">
            <w:pPr>
              <w:pStyle w:val="DrStandard"/>
              <w:rPr>
                <w:rFonts w:asciiTheme="minorHAnsi" w:hAnsiTheme="minorHAnsi" w:cstheme="minorHAnsi"/>
                <w:lang w:val="en-US"/>
              </w:rPr>
            </w:pPr>
            <w:r w:rsidRPr="007C0E14">
              <w:rPr>
                <w:rFonts w:asciiTheme="minorHAnsi" w:hAnsiTheme="minorHAnsi" w:cstheme="minorHAnsi"/>
                <w:lang w:val="en-US"/>
              </w:rPr>
              <w:t>7,</w:t>
            </w:r>
            <w:r>
              <w:rPr>
                <w:rFonts w:asciiTheme="minorHAnsi" w:hAnsiTheme="minorHAnsi" w:cstheme="minorHAnsi"/>
                <w:lang w:val="en-US"/>
              </w:rPr>
              <w:t>4</w:t>
            </w:r>
            <w:r w:rsidRPr="007C0E14">
              <w:rPr>
                <w:rFonts w:asciiTheme="minorHAnsi" w:hAnsiTheme="minorHAnsi" w:cstheme="minorHAnsi"/>
                <w:lang w:val="en-US"/>
              </w:rPr>
              <w:t> %</w:t>
            </w:r>
            <w:r>
              <w:rPr>
                <w:rFonts w:asciiTheme="minorHAnsi" w:hAnsiTheme="minorHAnsi" w:cstheme="minorHAnsi"/>
                <w:lang w:val="en-US"/>
              </w:rPr>
              <w:t xml:space="preserve"> ± 0,5 %</w:t>
            </w:r>
          </w:p>
        </w:tc>
      </w:tr>
    </w:tbl>
    <w:p w14:paraId="115A60D6" w14:textId="77777777" w:rsidR="003B445C" w:rsidRDefault="003B445C" w:rsidP="003B445C">
      <w:pPr>
        <w:spacing w:line="276" w:lineRule="auto"/>
        <w:jc w:val="both"/>
        <w:rPr>
          <w:lang w:val="en-US"/>
        </w:rPr>
      </w:pPr>
    </w:p>
    <w:p w14:paraId="5341A7EA" w14:textId="77777777" w:rsidR="003B445C" w:rsidRDefault="003B445C" w:rsidP="003B445C">
      <w:pPr>
        <w:spacing w:after="240" w:line="276" w:lineRule="auto"/>
        <w:jc w:val="center"/>
        <w:rPr>
          <w:lang w:val="en-US"/>
        </w:rPr>
      </w:pPr>
      <w:r>
        <w:rPr>
          <w:noProof/>
          <w:lang w:val="en-US"/>
        </w:rPr>
        <w:lastRenderedPageBreak/>
        <w:drawing>
          <wp:inline distT="0" distB="0" distL="0" distR="0" wp14:anchorId="3738B2CB" wp14:editId="65DBE079">
            <wp:extent cx="4970108" cy="7708956"/>
            <wp:effectExtent l="0" t="0" r="0" b="0"/>
            <wp:docPr id="18192976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297694" name="Grafik 1"/>
                    <pic:cNvPicPr/>
                  </pic:nvPicPr>
                  <pic:blipFill>
                    <a:blip r:embed="rId10">
                      <a:extLst>
                        <a:ext uri="{28A0092B-C50C-407E-A947-70E740481C1C}">
                          <a14:useLocalDpi xmlns:a14="http://schemas.microsoft.com/office/drawing/2010/main" val="0"/>
                        </a:ext>
                      </a:extLst>
                    </a:blip>
                    <a:stretch>
                      <a:fillRect/>
                    </a:stretch>
                  </pic:blipFill>
                  <pic:spPr>
                    <a:xfrm>
                      <a:off x="0" y="0"/>
                      <a:ext cx="4970108" cy="7708956"/>
                    </a:xfrm>
                    <a:prstGeom prst="rect">
                      <a:avLst/>
                    </a:prstGeom>
                  </pic:spPr>
                </pic:pic>
              </a:graphicData>
            </a:graphic>
          </wp:inline>
        </w:drawing>
      </w:r>
    </w:p>
    <w:p w14:paraId="18D3A25D" w14:textId="77777777" w:rsidR="003B445C" w:rsidRDefault="003B445C" w:rsidP="003B445C">
      <w:pPr>
        <w:spacing w:line="276" w:lineRule="auto"/>
        <w:jc w:val="both"/>
        <w:rPr>
          <w:lang w:val="en-US"/>
        </w:rPr>
      </w:pPr>
      <w:r>
        <w:rPr>
          <w:lang w:val="en-US"/>
        </w:rPr>
        <w:t>Supplemental figure 7: Optimization methods for transduction</w:t>
      </w:r>
    </w:p>
    <w:p w14:paraId="0A0881E9" w14:textId="77777777" w:rsidR="003B445C" w:rsidRPr="00AE2884" w:rsidRDefault="003B445C" w:rsidP="000B12E9">
      <w:pPr>
        <w:jc w:val="both"/>
        <w:rPr>
          <w:lang w:val="en-US"/>
        </w:rPr>
      </w:pPr>
      <w:r>
        <w:rPr>
          <w:lang w:val="en-US"/>
        </w:rPr>
        <w:t>Phase contrast or GFP Fluorescence Microscopy of AMs transduced with AAV6-GFP with MOI 87,500 (scale bar 500 µm), 6 days post transduction. (</w:t>
      </w:r>
      <w:r w:rsidRPr="00625217">
        <w:rPr>
          <w:b/>
          <w:bCs/>
          <w:lang w:val="en-US"/>
        </w:rPr>
        <w:t>A</w:t>
      </w:r>
      <w:r>
        <w:rPr>
          <w:lang w:val="en-US"/>
        </w:rPr>
        <w:t>) Control phase contrast (</w:t>
      </w:r>
      <w:r>
        <w:rPr>
          <w:b/>
          <w:bCs/>
          <w:lang w:val="en-US"/>
        </w:rPr>
        <w:t>B</w:t>
      </w:r>
      <w:r>
        <w:rPr>
          <w:lang w:val="en-US"/>
        </w:rPr>
        <w:t>) Control GFP fluorescence (</w:t>
      </w:r>
      <w:r>
        <w:rPr>
          <w:b/>
          <w:bCs/>
          <w:lang w:val="en-US"/>
        </w:rPr>
        <w:t>C</w:t>
      </w:r>
      <w:r>
        <w:rPr>
          <w:lang w:val="en-US"/>
        </w:rPr>
        <w:t>) 10 % mouse serum instead of 10 % HI-FBS, phase contrast (</w:t>
      </w:r>
      <w:r>
        <w:rPr>
          <w:b/>
          <w:bCs/>
          <w:lang w:val="en-US"/>
        </w:rPr>
        <w:t>D</w:t>
      </w:r>
      <w:r>
        <w:rPr>
          <w:lang w:val="en-US"/>
        </w:rPr>
        <w:t>) 8 µg/ml Polybrene (</w:t>
      </w:r>
      <w:r>
        <w:rPr>
          <w:b/>
          <w:bCs/>
          <w:lang w:val="en-US"/>
        </w:rPr>
        <w:t>E</w:t>
      </w:r>
      <w:r>
        <w:rPr>
          <w:lang w:val="en-US"/>
        </w:rPr>
        <w:t>) 100 µM Forskolin (</w:t>
      </w:r>
      <w:r>
        <w:rPr>
          <w:b/>
          <w:bCs/>
          <w:lang w:val="en-US"/>
        </w:rPr>
        <w:t>F</w:t>
      </w:r>
      <w:r>
        <w:rPr>
          <w:lang w:val="en-US"/>
        </w:rPr>
        <w:t>) 10 µM Forskolin (</w:t>
      </w:r>
      <w:r>
        <w:rPr>
          <w:b/>
          <w:bCs/>
          <w:lang w:val="en-US"/>
        </w:rPr>
        <w:t>G</w:t>
      </w:r>
      <w:r>
        <w:rPr>
          <w:lang w:val="en-US"/>
        </w:rPr>
        <w:t>) 18.75 µM Hydroxychloroquine (</w:t>
      </w:r>
      <w:r>
        <w:rPr>
          <w:b/>
          <w:bCs/>
          <w:lang w:val="en-US"/>
        </w:rPr>
        <w:t>H</w:t>
      </w:r>
      <w:r>
        <w:rPr>
          <w:lang w:val="en-US"/>
        </w:rPr>
        <w:t>) 3.13 µM Hydroxychloroquine.</w:t>
      </w:r>
    </w:p>
    <w:p w14:paraId="126C825B" w14:textId="77777777" w:rsidR="000B12E9" w:rsidRDefault="000B12E9" w:rsidP="000B12E9">
      <w:pPr>
        <w:jc w:val="both"/>
        <w:rPr>
          <w:lang w:val="en-US"/>
        </w:rPr>
      </w:pPr>
    </w:p>
    <w:p w14:paraId="4F0A378B" w14:textId="2365C613" w:rsidR="000B12E9" w:rsidRDefault="000B12E9" w:rsidP="000B12E9">
      <w:pPr>
        <w:jc w:val="both"/>
        <w:rPr>
          <w:lang w:val="en-US"/>
        </w:rPr>
      </w:pPr>
      <w:r>
        <w:rPr>
          <w:noProof/>
          <w:lang w:val="en-US"/>
          <w14:ligatures w14:val="none"/>
        </w:rPr>
        <w:drawing>
          <wp:inline distT="0" distB="0" distL="0" distR="0" wp14:anchorId="56C51BDA" wp14:editId="5591AB4A">
            <wp:extent cx="5760000" cy="2852174"/>
            <wp:effectExtent l="0" t="0" r="0" b="5715"/>
            <wp:docPr id="1566257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5724" name="Grafik 15662572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00" cy="2852174"/>
                    </a:xfrm>
                    <a:prstGeom prst="rect">
                      <a:avLst/>
                    </a:prstGeom>
                  </pic:spPr>
                </pic:pic>
              </a:graphicData>
            </a:graphic>
          </wp:inline>
        </w:drawing>
      </w:r>
    </w:p>
    <w:p w14:paraId="5DA64B99" w14:textId="3F4A6B95" w:rsidR="000B12E9" w:rsidRDefault="000B12E9" w:rsidP="000B12E9">
      <w:pPr>
        <w:spacing w:line="276" w:lineRule="auto"/>
        <w:jc w:val="both"/>
        <w:rPr>
          <w:lang w:val="en-US"/>
        </w:rPr>
      </w:pPr>
      <w:r>
        <w:rPr>
          <w:lang w:val="en-US"/>
        </w:rPr>
        <w:t xml:space="preserve">Supplemental figure </w:t>
      </w:r>
      <w:r w:rsidR="006C732D">
        <w:rPr>
          <w:lang w:val="en-US"/>
        </w:rPr>
        <w:t>8</w:t>
      </w:r>
      <w:r>
        <w:rPr>
          <w:lang w:val="en-US"/>
        </w:rPr>
        <w:t>: Growth curve AM after AAV transduction and LPS stimulation</w:t>
      </w:r>
    </w:p>
    <w:p w14:paraId="4FAF13E8" w14:textId="4FFB279D" w:rsidR="000B12E9" w:rsidRDefault="000B12E9" w:rsidP="000B12E9">
      <w:pPr>
        <w:jc w:val="both"/>
        <w:rPr>
          <w:lang w:val="en-US"/>
        </w:rPr>
      </w:pPr>
      <w:r>
        <w:rPr>
          <w:lang w:val="en-US"/>
        </w:rPr>
        <w:t>AM confluency normalized to start conditions after AAV transduction. Grey bar means 20 h stimulation with 1 µg/ml LPS.</w:t>
      </w:r>
      <w:r w:rsidR="00B90658">
        <w:rPr>
          <w:lang w:val="en-US"/>
        </w:rPr>
        <w:t xml:space="preserve"> More than 100 % shows proliferation. </w:t>
      </w:r>
      <w:r>
        <w:rPr>
          <w:lang w:val="en-US"/>
        </w:rPr>
        <w:t xml:space="preserve"> </w:t>
      </w:r>
    </w:p>
    <w:p w14:paraId="7AD6329C" w14:textId="77777777" w:rsidR="00B115FF" w:rsidRDefault="00B115FF" w:rsidP="000B12E9">
      <w:pPr>
        <w:jc w:val="both"/>
        <w:rPr>
          <w:lang w:val="en-US"/>
        </w:rPr>
      </w:pPr>
    </w:p>
    <w:p w14:paraId="701F5CCB" w14:textId="77777777" w:rsidR="000B12E9" w:rsidRDefault="000B12E9" w:rsidP="000B12E9">
      <w:pPr>
        <w:jc w:val="both"/>
        <w:rPr>
          <w:lang w:val="en-US"/>
        </w:rPr>
      </w:pPr>
    </w:p>
    <w:p w14:paraId="06858BF8" w14:textId="4E30E297" w:rsidR="003C19B1" w:rsidRDefault="003C19B1" w:rsidP="000B12E9">
      <w:pPr>
        <w:jc w:val="both"/>
        <w:rPr>
          <w:lang w:val="en-US"/>
        </w:rPr>
      </w:pPr>
      <w:r>
        <w:rPr>
          <w:noProof/>
          <w:lang w:val="en-US"/>
          <w14:ligatures w14:val="none"/>
        </w:rPr>
        <w:drawing>
          <wp:inline distT="0" distB="0" distL="0" distR="0" wp14:anchorId="44719CC9" wp14:editId="046B1806">
            <wp:extent cx="5691756" cy="2358390"/>
            <wp:effectExtent l="0" t="0" r="0" b="3810"/>
            <wp:docPr id="117775823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758230" name="Grafik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91756" cy="2358390"/>
                    </a:xfrm>
                    <a:prstGeom prst="rect">
                      <a:avLst/>
                    </a:prstGeom>
                  </pic:spPr>
                </pic:pic>
              </a:graphicData>
            </a:graphic>
          </wp:inline>
        </w:drawing>
      </w:r>
    </w:p>
    <w:p w14:paraId="07DC12E5" w14:textId="28E602D1" w:rsidR="003C19B1" w:rsidRDefault="003C19B1" w:rsidP="003C19B1">
      <w:pPr>
        <w:spacing w:line="276" w:lineRule="auto"/>
        <w:jc w:val="both"/>
        <w:rPr>
          <w:lang w:val="en-US"/>
        </w:rPr>
      </w:pPr>
      <w:r>
        <w:rPr>
          <w:lang w:val="en-US"/>
        </w:rPr>
        <w:t xml:space="preserve">Supplemental figure </w:t>
      </w:r>
      <w:r w:rsidR="006C732D">
        <w:rPr>
          <w:lang w:val="en-US"/>
        </w:rPr>
        <w:t>9</w:t>
      </w:r>
      <w:r>
        <w:rPr>
          <w:lang w:val="en-US"/>
        </w:rPr>
        <w:t>: Titration of response of AM to LPS stimulation</w:t>
      </w:r>
    </w:p>
    <w:p w14:paraId="28F63E50" w14:textId="71A56FFD" w:rsidR="003C19B1" w:rsidRDefault="00455909" w:rsidP="000B12E9">
      <w:pPr>
        <w:jc w:val="both"/>
        <w:rPr>
          <w:lang w:val="en-US"/>
        </w:rPr>
      </w:pPr>
      <w:r>
        <w:rPr>
          <w:lang w:val="en-US"/>
        </w:rPr>
        <w:t>ELISA of supernatant of AMs with stimulation with 100/ 10/ 1/ 0.1/ 0.01 ng/ml LPS for 20 h. (</w:t>
      </w:r>
      <w:r>
        <w:rPr>
          <w:b/>
          <w:bCs/>
          <w:lang w:val="en-US"/>
        </w:rPr>
        <w:t>A</w:t>
      </w:r>
      <w:r>
        <w:rPr>
          <w:lang w:val="en-US"/>
        </w:rPr>
        <w:t>) KC, (</w:t>
      </w:r>
      <w:r>
        <w:rPr>
          <w:b/>
          <w:bCs/>
          <w:lang w:val="en-US"/>
        </w:rPr>
        <w:t>B</w:t>
      </w:r>
      <w:r>
        <w:rPr>
          <w:lang w:val="en-US"/>
        </w:rPr>
        <w:t>) IL-6, (</w:t>
      </w:r>
      <w:r>
        <w:rPr>
          <w:b/>
          <w:bCs/>
          <w:lang w:val="en-US"/>
        </w:rPr>
        <w:t>C</w:t>
      </w:r>
      <w:r>
        <w:rPr>
          <w:lang w:val="en-US"/>
        </w:rPr>
        <w:t>) TNF-</w:t>
      </w:r>
      <m:oMath>
        <m:r>
          <w:rPr>
            <w:rFonts w:ascii="Cambria Math" w:hAnsi="Cambria Math"/>
            <w:lang w:val="en-US"/>
          </w:rPr>
          <m:t>α</m:t>
        </m:r>
      </m:oMath>
      <w:r>
        <w:rPr>
          <w:lang w:val="en-US"/>
        </w:rPr>
        <w:t>. n = 3.</w:t>
      </w:r>
    </w:p>
    <w:p w14:paraId="6D762F59" w14:textId="77777777" w:rsidR="007A6A71" w:rsidRDefault="007A6A71" w:rsidP="000B12E9">
      <w:pPr>
        <w:jc w:val="both"/>
        <w:rPr>
          <w:lang w:val="en-US"/>
        </w:rPr>
      </w:pPr>
    </w:p>
    <w:p w14:paraId="1C654797" w14:textId="41A9D6C8" w:rsidR="007A6A71" w:rsidRDefault="007A6A71" w:rsidP="007A6A71">
      <w:pPr>
        <w:jc w:val="center"/>
        <w:rPr>
          <w:lang w:val="en-US"/>
        </w:rPr>
      </w:pPr>
      <w:r>
        <w:rPr>
          <w:noProof/>
          <w:lang w:val="en-US"/>
          <w14:ligatures w14:val="none"/>
        </w:rPr>
        <w:lastRenderedPageBreak/>
        <w:drawing>
          <wp:inline distT="0" distB="0" distL="0" distR="0" wp14:anchorId="2BA1870E" wp14:editId="67BACD83">
            <wp:extent cx="3284753" cy="3175000"/>
            <wp:effectExtent l="0" t="0" r="5080" b="0"/>
            <wp:docPr id="7775017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501782" name="Grafik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4753" cy="3175000"/>
                    </a:xfrm>
                    <a:prstGeom prst="rect">
                      <a:avLst/>
                    </a:prstGeom>
                  </pic:spPr>
                </pic:pic>
              </a:graphicData>
            </a:graphic>
          </wp:inline>
        </w:drawing>
      </w:r>
    </w:p>
    <w:p w14:paraId="1A686718" w14:textId="7047FD4A" w:rsidR="007A6A71" w:rsidRDefault="007A6A71" w:rsidP="007A6A71">
      <w:pPr>
        <w:spacing w:line="276" w:lineRule="auto"/>
        <w:jc w:val="both"/>
        <w:rPr>
          <w:lang w:val="en-US"/>
        </w:rPr>
      </w:pPr>
      <w:r>
        <w:rPr>
          <w:lang w:val="en-US"/>
        </w:rPr>
        <w:t>Supplemental figure 1</w:t>
      </w:r>
      <w:r w:rsidR="006C732D">
        <w:rPr>
          <w:lang w:val="en-US"/>
        </w:rPr>
        <w:t>0</w:t>
      </w:r>
      <w:r>
        <w:rPr>
          <w:lang w:val="en-US"/>
        </w:rPr>
        <w:t>: Phagocytosis</w:t>
      </w:r>
    </w:p>
    <w:p w14:paraId="1865F4AE" w14:textId="69F4C912" w:rsidR="007A6A71" w:rsidRPr="003B445C" w:rsidRDefault="00632A7D" w:rsidP="000B12E9">
      <w:pPr>
        <w:jc w:val="both"/>
        <w:rPr>
          <w:lang w:val="en-US"/>
        </w:rPr>
      </w:pPr>
      <w:r>
        <w:rPr>
          <w:lang w:val="en-US"/>
        </w:rPr>
        <w:t xml:space="preserve">Phagocytosis of AM after AAV6-GFP transduction and 1 µg/ml LPS stimulation for 20 h. Negative control treated with 20 µM Cytochalasin D for 1 h before Assay. n = 4. </w:t>
      </w:r>
    </w:p>
    <w:sectPr w:rsidR="007A6A71" w:rsidRPr="003B445C" w:rsidSect="009337D7">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45C"/>
    <w:rsid w:val="000B12E9"/>
    <w:rsid w:val="00155D49"/>
    <w:rsid w:val="00214859"/>
    <w:rsid w:val="003B445C"/>
    <w:rsid w:val="003C19B1"/>
    <w:rsid w:val="00455909"/>
    <w:rsid w:val="005D4CAA"/>
    <w:rsid w:val="00632A7D"/>
    <w:rsid w:val="0063623C"/>
    <w:rsid w:val="006C732D"/>
    <w:rsid w:val="006D5DE9"/>
    <w:rsid w:val="00787B57"/>
    <w:rsid w:val="007A6A71"/>
    <w:rsid w:val="00B115FF"/>
    <w:rsid w:val="00B906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1BD5A"/>
  <w15:chartTrackingRefBased/>
  <w15:docId w15:val="{631132E9-46AD-41F0-909E-5FC9C9FF6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445C"/>
    <w:pPr>
      <w:spacing w:after="0" w:line="240" w:lineRule="auto"/>
    </w:pPr>
    <w:rPr>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3B445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B445C"/>
    <w:rPr>
      <w:rFonts w:asciiTheme="majorHAnsi" w:eastAsiaTheme="majorEastAsia" w:hAnsiTheme="majorHAnsi" w:cstheme="majorBidi"/>
      <w:spacing w:val="-10"/>
      <w:kern w:val="28"/>
      <w:sz w:val="56"/>
      <w:szCs w:val="56"/>
      <w14:ligatures w14:val="standardContextual"/>
    </w:rPr>
  </w:style>
  <w:style w:type="paragraph" w:customStyle="1" w:styleId="DrStandard">
    <w:name w:val="Dr Standard"/>
    <w:basedOn w:val="Standard"/>
    <w:link w:val="DrStandardZchn"/>
    <w:qFormat/>
    <w:rsid w:val="003B445C"/>
    <w:pPr>
      <w:spacing w:line="360" w:lineRule="auto"/>
      <w:jc w:val="both"/>
    </w:pPr>
    <w:rPr>
      <w:rFonts w:ascii="Times New Roman" w:hAnsi="Times New Roman"/>
      <w:kern w:val="0"/>
      <w:sz w:val="22"/>
      <w14:ligatures w14:val="none"/>
    </w:rPr>
  </w:style>
  <w:style w:type="table" w:styleId="Tabellenraster">
    <w:name w:val="Table Grid"/>
    <w:basedOn w:val="NormaleTabelle"/>
    <w:uiPriority w:val="39"/>
    <w:rsid w:val="003B445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rStandardZchn">
    <w:name w:val="Dr Standard Zchn"/>
    <w:basedOn w:val="Absatz-Standardschriftart"/>
    <w:link w:val="DrStandard"/>
    <w:rsid w:val="003B445C"/>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2177</Words>
  <Characters>13720</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Herr</dc:creator>
  <cp:keywords/>
  <dc:description/>
  <cp:lastModifiedBy>Isabell Theisohn</cp:lastModifiedBy>
  <cp:revision>14</cp:revision>
  <dcterms:created xsi:type="dcterms:W3CDTF">2025-12-17T13:49:00Z</dcterms:created>
  <dcterms:modified xsi:type="dcterms:W3CDTF">2026-09-09T11:37:00Z</dcterms:modified>
</cp:coreProperties>
</file>