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2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itemProps2.xml" ContentType="application/vnd.openxmlformats-officedocument.customXmlProperties+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olo2"/>
        <w:spacing w:before="200" w:after="0"/>
        <w:jc w:val="both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eastAsia="Times New Roman" w:cs="Times New Roman" w:ascii="Times New Roman" w:hAnsi="Times New Roman"/>
          <w:sz w:val="22"/>
          <w:szCs w:val="22"/>
        </w:rPr>
        <w:t>Table 1. Baseline demographic, clinical and surgical characteristics</w:t>
      </w:r>
    </w:p>
    <w:p>
      <w:pPr>
        <w:pStyle w:val="LO-normal0"/>
        <w:widowControl w:val="false"/>
        <w:spacing w:lineRule="auto" w:line="240" w:before="0" w:after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tbl>
      <w:tblPr>
        <w:tblStyle w:val="a"/>
        <w:tblW w:w="90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7514"/>
        <w:gridCol w:w="1530"/>
      </w:tblGrid>
      <w:tr>
        <w:trPr>
          <w:tblHeader w:val="true"/>
        </w:trPr>
        <w:tc>
          <w:tcPr>
            <w:tcW w:w="7514" w:type="dxa"/>
            <w:tcBorders>
              <w:top w:val="single" w:sz="4" w:space="0" w:color="000000"/>
            </w:tcBorders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6"/>
                <w:szCs w:val="16"/>
              </w:rPr>
              <w:t>Characteristic</w:t>
            </w:r>
          </w:p>
        </w:tc>
        <w:tc>
          <w:tcPr>
            <w:tcW w:w="1530" w:type="dxa"/>
            <w:tcBorders>
              <w:top w:val="single" w:sz="4" w:space="0" w:color="000000"/>
            </w:tcBorders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6"/>
                <w:szCs w:val="16"/>
              </w:rPr>
              <w:t>Value  n (%)</w:t>
            </w:r>
          </w:p>
        </w:tc>
      </w:tr>
      <w:tr>
        <w:trPr/>
        <w:tc>
          <w:tcPr>
            <w:tcW w:w="7514" w:type="dxa"/>
            <w:tcBorders/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ind w:left="720" w:hanging="0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Age, years, mean ± SD</w:t>
            </w:r>
          </w:p>
        </w:tc>
        <w:tc>
          <w:tcPr>
            <w:tcW w:w="1530" w:type="dxa"/>
            <w:tcBorders/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63.0 ± 14.4</w:t>
            </w:r>
          </w:p>
        </w:tc>
      </w:tr>
      <w:tr>
        <w:trPr/>
        <w:tc>
          <w:tcPr>
            <w:tcW w:w="7514" w:type="dxa"/>
            <w:tcBorders/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ind w:left="720" w:hanging="0"/>
              <w:rPr>
                <w:rFonts w:ascii="Times New Roman" w:hAnsi="Times New Roman" w:eastAsia="Times New Roman" w:cs="Times New Roman"/>
                <w:color w:val="auto"/>
                <w:kern w:val="0"/>
                <w:sz w:val="16"/>
                <w:szCs w:val="16"/>
                <w:highlight w:val="none"/>
                <w:shd w:fill="auto" w:val="clear"/>
                <w:lang w:val="it-IT" w:eastAsia="zh-CN" w:bidi="hi-I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16"/>
                <w:szCs w:val="16"/>
                <w:shd w:fill="auto" w:val="clear"/>
                <w:lang w:val="it-IT" w:eastAsia="zh-CN" w:bidi="hi-IN"/>
              </w:rPr>
              <w:t>Age ≥70 years</w:t>
            </w:r>
          </w:p>
        </w:tc>
        <w:tc>
          <w:tcPr>
            <w:tcW w:w="1530" w:type="dxa"/>
            <w:tcBorders/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35 (33.3)</w:t>
            </w:r>
          </w:p>
        </w:tc>
      </w:tr>
      <w:tr>
        <w:trPr/>
        <w:tc>
          <w:tcPr>
            <w:tcW w:w="7514" w:type="dxa"/>
            <w:tcBorders/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ind w:left="720" w:hanging="0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Neoplasm</w:t>
            </w:r>
          </w:p>
        </w:tc>
        <w:tc>
          <w:tcPr>
            <w:tcW w:w="1530" w:type="dxa"/>
            <w:tcBorders/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105 (100.0)</w:t>
            </w:r>
          </w:p>
        </w:tc>
      </w:tr>
      <w:tr>
        <w:trPr/>
        <w:tc>
          <w:tcPr>
            <w:tcW w:w="7514" w:type="dxa"/>
            <w:tcBorders/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ind w:left="720" w:hanging="0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Caregiver available</w:t>
            </w:r>
          </w:p>
        </w:tc>
        <w:tc>
          <w:tcPr>
            <w:tcW w:w="1530" w:type="dxa"/>
            <w:tcBorders/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91 (86.7)</w:t>
            </w:r>
          </w:p>
        </w:tc>
      </w:tr>
      <w:tr>
        <w:trPr/>
        <w:tc>
          <w:tcPr>
            <w:tcW w:w="7514" w:type="dxa"/>
            <w:tcBorders/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ind w:left="720" w:hanging="0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Employed</w:t>
            </w:r>
          </w:p>
        </w:tc>
        <w:tc>
          <w:tcPr>
            <w:tcW w:w="1530" w:type="dxa"/>
            <w:tcBorders/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49 (46.7)</w:t>
            </w:r>
          </w:p>
        </w:tc>
      </w:tr>
      <w:tr>
        <w:trPr/>
        <w:tc>
          <w:tcPr>
            <w:tcW w:w="7514" w:type="dxa"/>
            <w:tcBorders/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6"/>
                <w:szCs w:val="16"/>
              </w:rPr>
              <w:t>Neoadjuvant therapy</w:t>
            </w:r>
          </w:p>
        </w:tc>
        <w:tc>
          <w:tcPr>
            <w:tcW w:w="1530" w:type="dxa"/>
            <w:tcBorders/>
            <w:vAlign w:val="center"/>
          </w:tcPr>
          <w:p>
            <w:pPr>
              <w:pStyle w:val="LO-normal0"/>
              <w:widowControl w:val="false"/>
              <w:spacing w:before="0" w:after="200"/>
              <w:jc w:val="right"/>
              <w:rPr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15 (14.3)</w:t>
            </w:r>
          </w:p>
        </w:tc>
      </w:tr>
      <w:tr>
        <w:trPr/>
        <w:tc>
          <w:tcPr>
            <w:tcW w:w="7514" w:type="dxa"/>
            <w:tcBorders/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6"/>
                <w:szCs w:val="16"/>
              </w:rPr>
              <w:t>Comorbidities</w:t>
            </w:r>
          </w:p>
        </w:tc>
        <w:tc>
          <w:tcPr>
            <w:tcW w:w="1530" w:type="dxa"/>
            <w:tcBorders/>
            <w:vAlign w:val="center"/>
          </w:tcPr>
          <w:p>
            <w:pPr>
              <w:pStyle w:val="LO-normal0"/>
              <w:widowControl w:val="false"/>
              <w:spacing w:before="0" w:after="200"/>
              <w:jc w:val="righ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/>
        <w:tc>
          <w:tcPr>
            <w:tcW w:w="7514" w:type="dxa"/>
            <w:tcBorders/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ind w:left="720" w:hanging="0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Cardiovascular</w:t>
            </w:r>
          </w:p>
        </w:tc>
        <w:tc>
          <w:tcPr>
            <w:tcW w:w="1530" w:type="dxa"/>
            <w:tcBorders/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44 (41.9)</w:t>
            </w:r>
          </w:p>
        </w:tc>
      </w:tr>
      <w:tr>
        <w:trPr/>
        <w:tc>
          <w:tcPr>
            <w:tcW w:w="7514" w:type="dxa"/>
            <w:tcBorders/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ind w:left="720" w:hanging="0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Neurologic</w:t>
            </w:r>
          </w:p>
        </w:tc>
        <w:tc>
          <w:tcPr>
            <w:tcW w:w="1530" w:type="dxa"/>
            <w:tcBorders/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14 (13.3)</w:t>
            </w:r>
          </w:p>
        </w:tc>
      </w:tr>
      <w:tr>
        <w:trPr/>
        <w:tc>
          <w:tcPr>
            <w:tcW w:w="7514" w:type="dxa"/>
            <w:tcBorders/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ind w:left="720" w:hanging="0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Diabetes</w:t>
            </w:r>
          </w:p>
        </w:tc>
        <w:tc>
          <w:tcPr>
            <w:tcW w:w="1530" w:type="dxa"/>
            <w:tcBorders/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11 (10.4)</w:t>
            </w:r>
          </w:p>
        </w:tc>
      </w:tr>
      <w:tr>
        <w:trPr/>
        <w:tc>
          <w:tcPr>
            <w:tcW w:w="7514" w:type="dxa"/>
            <w:tcBorders/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ind w:left="720" w:hanging="0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Respiratory</w:t>
            </w:r>
          </w:p>
        </w:tc>
        <w:tc>
          <w:tcPr>
            <w:tcW w:w="1530" w:type="dxa"/>
            <w:tcBorders/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 (7.6)</w:t>
            </w:r>
          </w:p>
        </w:tc>
      </w:tr>
      <w:tr>
        <w:trPr/>
        <w:tc>
          <w:tcPr>
            <w:tcW w:w="7514" w:type="dxa"/>
            <w:tcBorders/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ind w:left="720" w:hanging="0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Renal</w:t>
            </w:r>
          </w:p>
        </w:tc>
        <w:tc>
          <w:tcPr>
            <w:tcW w:w="1530" w:type="dxa"/>
            <w:tcBorders/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0</w:t>
            </w:r>
          </w:p>
        </w:tc>
      </w:tr>
      <w:tr>
        <w:trPr/>
        <w:tc>
          <w:tcPr>
            <w:tcW w:w="7514" w:type="dxa"/>
            <w:tcBorders/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ind w:left="720" w:hanging="0"/>
              <w:rPr>
                <w:rFonts w:ascii="Times New Roman" w:hAnsi="Times New Roman" w:eastAsia="Times New Roman" w:cs="Times New Roman"/>
                <w:color w:val="auto"/>
                <w:kern w:val="0"/>
                <w:sz w:val="16"/>
                <w:szCs w:val="16"/>
                <w:lang w:val="it-IT" w:eastAsia="zh-CN" w:bidi="hi-IN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16"/>
                <w:szCs w:val="16"/>
                <w:lang w:val="it-IT" w:eastAsia="zh-CN" w:bidi="hi-IN"/>
              </w:rPr>
              <w:t>≥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16"/>
                <w:szCs w:val="16"/>
                <w:lang w:val="it-IT" w:eastAsia="zh-CN" w:bidi="hi-IN"/>
              </w:rPr>
              <w:t>2 comorbidities</w:t>
            </w:r>
          </w:p>
        </w:tc>
        <w:tc>
          <w:tcPr>
            <w:tcW w:w="1530" w:type="dxa"/>
            <w:tcBorders/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19 (18.1)</w:t>
            </w:r>
          </w:p>
        </w:tc>
      </w:tr>
      <w:tr>
        <w:trPr/>
        <w:tc>
          <w:tcPr>
            <w:tcW w:w="7514" w:type="dxa"/>
            <w:tcBorders/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6"/>
                <w:szCs w:val="16"/>
              </w:rPr>
              <w:t>Baseline functional status</w:t>
            </w: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1530" w:type="dxa"/>
            <w:tcBorders/>
            <w:vAlign w:val="center"/>
          </w:tcPr>
          <w:p>
            <w:pPr>
              <w:pStyle w:val="LO-normal0"/>
              <w:widowControl w:val="false"/>
              <w:spacing w:before="0" w:after="20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/>
        <w:tc>
          <w:tcPr>
            <w:tcW w:w="7514" w:type="dxa"/>
            <w:tcBorders/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ind w:left="720" w:hanging="0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 xml:space="preserve">ADL score, median (IQR) </w:t>
            </w:r>
          </w:p>
        </w:tc>
        <w:tc>
          <w:tcPr>
            <w:tcW w:w="1530" w:type="dxa"/>
            <w:tcBorders/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6 (6-6)</w:t>
            </w:r>
          </w:p>
        </w:tc>
      </w:tr>
      <w:tr>
        <w:trPr/>
        <w:tc>
          <w:tcPr>
            <w:tcW w:w="7514" w:type="dxa"/>
            <w:tcBorders/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ind w:left="720" w:hanging="0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 xml:space="preserve">IADL score, median (IQR) </w:t>
            </w:r>
          </w:p>
        </w:tc>
        <w:tc>
          <w:tcPr>
            <w:tcW w:w="1530" w:type="dxa"/>
            <w:tcBorders/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 (8-8)</w:t>
            </w:r>
          </w:p>
        </w:tc>
      </w:tr>
      <w:tr>
        <w:trPr/>
        <w:tc>
          <w:tcPr>
            <w:tcW w:w="7514" w:type="dxa"/>
            <w:tcBorders/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ind w:left="720" w:hanging="0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 xml:space="preserve">WHO Performance Status </w:t>
            </w:r>
          </w:p>
        </w:tc>
        <w:tc>
          <w:tcPr>
            <w:tcW w:w="1530" w:type="dxa"/>
            <w:tcBorders/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</w:r>
          </w:p>
        </w:tc>
      </w:tr>
      <w:tr>
        <w:trPr/>
        <w:tc>
          <w:tcPr>
            <w:tcW w:w="7514" w:type="dxa"/>
            <w:tcBorders/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ind w:left="1440" w:hanging="0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530" w:type="dxa"/>
            <w:tcBorders/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61 (58.1)</w:t>
            </w:r>
          </w:p>
        </w:tc>
      </w:tr>
      <w:tr>
        <w:trPr/>
        <w:tc>
          <w:tcPr>
            <w:tcW w:w="7514" w:type="dxa"/>
            <w:tcBorders/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ind w:left="1440" w:hanging="0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530" w:type="dxa"/>
            <w:tcBorders/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39 (37.1)</w:t>
            </w:r>
          </w:p>
        </w:tc>
      </w:tr>
      <w:tr>
        <w:trPr/>
        <w:tc>
          <w:tcPr>
            <w:tcW w:w="7514" w:type="dxa"/>
            <w:tcBorders/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ind w:left="1440" w:hanging="0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530" w:type="dxa"/>
            <w:tcBorders/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 (4.8)</w:t>
            </w:r>
          </w:p>
        </w:tc>
      </w:tr>
      <w:tr>
        <w:trPr/>
        <w:tc>
          <w:tcPr>
            <w:tcW w:w="7514" w:type="dxa"/>
            <w:tcBorders/>
            <w:vAlign w:val="center"/>
          </w:tcPr>
          <w:p>
            <w:pPr>
              <w:pStyle w:val="LO-normal0"/>
              <w:widowControl w:val="false"/>
              <w:spacing w:before="0" w:after="200"/>
              <w:rPr>
                <w:color w:val="000000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6"/>
                <w:szCs w:val="16"/>
              </w:rPr>
              <w:t xml:space="preserve">Surgical </w:t>
            </w:r>
            <w:commentRangeStart w:id="0"/>
            <w:r>
              <w:rPr>
                <w:rFonts w:eastAsia="Times New Roman" w:cs="Times New Roman" w:ascii="Times New Roman" w:hAnsi="Times New Roman"/>
                <w:b/>
                <w:bCs/>
                <w:sz w:val="16"/>
                <w:szCs w:val="16"/>
              </w:rPr>
              <w:t>complexity</w:t>
            </w:r>
            <w:commentRangeEnd w:id="0"/>
            <w:r>
              <w:commentReference w:id="0"/>
            </w:r>
            <w:r>
              <w:rPr>
                <w:rFonts w:eastAsia="Times New Roman" w:cs="Times New Roman" w:ascii="Times New Roman" w:hAnsi="Times New Roman"/>
                <w:b/>
                <w:bCs/>
                <w:sz w:val="16"/>
                <w:szCs w:val="16"/>
              </w:rPr>
            </w:r>
          </w:p>
        </w:tc>
        <w:tc>
          <w:tcPr>
            <w:tcW w:w="1530" w:type="dxa"/>
            <w:tcBorders/>
            <w:vAlign w:val="center"/>
          </w:tcPr>
          <w:p>
            <w:pPr>
              <w:pStyle w:val="LO-normal0"/>
              <w:widowControl w:val="false"/>
              <w:spacing w:before="0" w:after="200"/>
              <w:jc w:val="right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</w:r>
          </w:p>
        </w:tc>
      </w:tr>
      <w:tr>
        <w:trPr>
          <w:trHeight w:val="325" w:hRule="atLeast"/>
        </w:trPr>
        <w:tc>
          <w:tcPr>
            <w:tcW w:w="7514" w:type="dxa"/>
            <w:tcBorders/>
            <w:vAlign w:val="center"/>
          </w:tcPr>
          <w:p>
            <w:pPr>
              <w:pStyle w:val="LO-normal0"/>
              <w:widowControl w:val="false"/>
              <w:spacing w:before="0" w:after="200"/>
              <w:rPr>
                <w:color w:val="000000"/>
                <w:sz w:val="16"/>
                <w:szCs w:val="16"/>
                <w:u w:val="single"/>
              </w:rPr>
            </w:pPr>
            <w:commentRangeStart w:id="1"/>
            <w:r>
              <w:rPr>
                <w:sz w:val="16"/>
                <w:szCs w:val="16"/>
                <w:u w:val="single"/>
              </w:rPr>
              <w:t>Low complexity</w:t>
            </w:r>
            <w:commentRangeEnd w:id="1"/>
            <w:r>
              <w:commentReference w:id="1"/>
            </w:r>
            <w:r>
              <w:rPr>
                <w:sz w:val="16"/>
                <w:szCs w:val="16"/>
                <w:u w:val="single"/>
              </w:rPr>
            </w:r>
          </w:p>
        </w:tc>
        <w:tc>
          <w:tcPr>
            <w:tcW w:w="1530" w:type="dxa"/>
            <w:tcBorders/>
            <w:vAlign w:val="center"/>
          </w:tcPr>
          <w:p>
            <w:pPr>
              <w:pStyle w:val="LO-normal0"/>
              <w:widowControl w:val="false"/>
              <w:spacing w:before="0" w:after="200"/>
              <w:jc w:val="right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</w:r>
          </w:p>
        </w:tc>
      </w:tr>
      <w:tr>
        <w:trPr/>
        <w:tc>
          <w:tcPr>
            <w:tcW w:w="7514" w:type="dxa"/>
            <w:tcBorders/>
            <w:vAlign w:val="center"/>
          </w:tcPr>
          <w:p>
            <w:pPr>
              <w:pStyle w:val="LO-normal0"/>
              <w:widowControl w:val="false"/>
              <w:spacing w:before="0" w:after="200"/>
              <w:rPr>
                <w:color w:val="000000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  </w:t>
            </w: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Breast-conserving surgery without axillary surgery</w:t>
            </w:r>
          </w:p>
        </w:tc>
        <w:tc>
          <w:tcPr>
            <w:tcW w:w="1530" w:type="dxa"/>
            <w:tcBorders/>
            <w:vAlign w:val="center"/>
          </w:tcPr>
          <w:p>
            <w:pPr>
              <w:pStyle w:val="LO-normal0"/>
              <w:widowControl w:val="false"/>
              <w:spacing w:before="0" w:after="200"/>
              <w:jc w:val="right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32 (30.5)</w:t>
            </w:r>
          </w:p>
        </w:tc>
      </w:tr>
      <w:tr>
        <w:trPr/>
        <w:tc>
          <w:tcPr>
            <w:tcW w:w="7514" w:type="dxa"/>
            <w:tcBorders/>
            <w:vAlign w:val="center"/>
          </w:tcPr>
          <w:p>
            <w:pPr>
              <w:pStyle w:val="LO-normal0"/>
              <w:widowControl w:val="false"/>
              <w:spacing w:before="0" w:after="200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  <w:u w:val="single"/>
              </w:rPr>
              <w:t>Intermediate complexity</w:t>
            </w:r>
          </w:p>
        </w:tc>
        <w:tc>
          <w:tcPr>
            <w:tcW w:w="1530" w:type="dxa"/>
            <w:tcBorders/>
            <w:vAlign w:val="center"/>
          </w:tcPr>
          <w:p>
            <w:pPr>
              <w:pStyle w:val="LO-normal0"/>
              <w:widowControl w:val="false"/>
              <w:spacing w:before="0" w:after="200"/>
              <w:rPr>
                <w:color w:val="000000"/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</w:rPr>
            </w:r>
          </w:p>
        </w:tc>
      </w:tr>
      <w:tr>
        <w:trPr/>
        <w:tc>
          <w:tcPr>
            <w:tcW w:w="7514" w:type="dxa"/>
            <w:tcBorders/>
            <w:vAlign w:val="center"/>
          </w:tcPr>
          <w:p>
            <w:pPr>
              <w:pStyle w:val="LO-normal0"/>
              <w:widowControl w:val="false"/>
              <w:spacing w:before="0" w:after="200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  </w:t>
            </w: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Breast-conserving surgery with sentinel lymph node biopsy</w:t>
            </w:r>
          </w:p>
        </w:tc>
        <w:tc>
          <w:tcPr>
            <w:tcW w:w="1530" w:type="dxa"/>
            <w:tcBorders/>
            <w:vAlign w:val="center"/>
          </w:tcPr>
          <w:p>
            <w:pPr>
              <w:pStyle w:val="LO-normal0"/>
              <w:widowControl w:val="false"/>
              <w:spacing w:before="0" w:after="200"/>
              <w:jc w:val="right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36 (34.3)</w:t>
            </w:r>
          </w:p>
        </w:tc>
      </w:tr>
      <w:tr>
        <w:trPr/>
        <w:tc>
          <w:tcPr>
            <w:tcW w:w="7514" w:type="dxa"/>
            <w:tcBorders/>
            <w:vAlign w:val="center"/>
          </w:tcPr>
          <w:p>
            <w:pPr>
              <w:pStyle w:val="LO-normal0"/>
              <w:widowControl w:val="false"/>
              <w:spacing w:before="0" w:after="200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  </w:t>
            </w: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Simple mastectomy without axillary surgery</w:t>
            </w:r>
          </w:p>
        </w:tc>
        <w:tc>
          <w:tcPr>
            <w:tcW w:w="1530" w:type="dxa"/>
            <w:tcBorders/>
            <w:vAlign w:val="center"/>
          </w:tcPr>
          <w:p>
            <w:pPr>
              <w:pStyle w:val="LO-normal0"/>
              <w:widowControl w:val="false"/>
              <w:spacing w:before="0" w:after="200"/>
              <w:jc w:val="right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6 (5.7)</w:t>
            </w:r>
          </w:p>
        </w:tc>
      </w:tr>
      <w:tr>
        <w:trPr/>
        <w:tc>
          <w:tcPr>
            <w:tcW w:w="7514" w:type="dxa"/>
            <w:tcBorders/>
            <w:vAlign w:val="center"/>
          </w:tcPr>
          <w:p>
            <w:pPr>
              <w:pStyle w:val="LO-normal0"/>
              <w:widowControl w:val="false"/>
              <w:spacing w:before="0" w:after="200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  <w:u w:val="single"/>
              </w:rPr>
              <w:t>High complexity</w:t>
            </w:r>
          </w:p>
        </w:tc>
        <w:tc>
          <w:tcPr>
            <w:tcW w:w="1530" w:type="dxa"/>
            <w:tcBorders/>
            <w:vAlign w:val="center"/>
          </w:tcPr>
          <w:p>
            <w:pPr>
              <w:pStyle w:val="LO-normal0"/>
              <w:widowControl w:val="false"/>
              <w:spacing w:before="0" w:after="200"/>
              <w:jc w:val="right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</w:r>
          </w:p>
        </w:tc>
      </w:tr>
      <w:tr>
        <w:trPr/>
        <w:tc>
          <w:tcPr>
            <w:tcW w:w="7514" w:type="dxa"/>
            <w:tcBorders/>
            <w:vAlign w:val="center"/>
          </w:tcPr>
          <w:p>
            <w:pPr>
              <w:pStyle w:val="LO-normal0"/>
              <w:widowControl w:val="false"/>
              <w:spacing w:before="0" w:after="200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  </w:t>
            </w: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Breast-conserving surgery with axillary lymph node dissection</w:t>
            </w:r>
          </w:p>
        </w:tc>
        <w:tc>
          <w:tcPr>
            <w:tcW w:w="1530" w:type="dxa"/>
            <w:tcBorders/>
            <w:vAlign w:val="center"/>
          </w:tcPr>
          <w:p>
            <w:pPr>
              <w:pStyle w:val="LO-normal0"/>
              <w:widowControl w:val="false"/>
              <w:spacing w:before="0" w:after="200"/>
              <w:jc w:val="right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9 (8.6)</w:t>
            </w:r>
          </w:p>
        </w:tc>
      </w:tr>
      <w:tr>
        <w:trPr/>
        <w:tc>
          <w:tcPr>
            <w:tcW w:w="7514" w:type="dxa"/>
            <w:tcBorders/>
            <w:vAlign w:val="center"/>
          </w:tcPr>
          <w:p>
            <w:pPr>
              <w:pStyle w:val="LO-normal0"/>
              <w:widowControl w:val="false"/>
              <w:spacing w:before="0" w:after="200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  </w:t>
            </w: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Mastectomy with immediate reconstruction</w:t>
            </w:r>
          </w:p>
        </w:tc>
        <w:tc>
          <w:tcPr>
            <w:tcW w:w="1530" w:type="dxa"/>
            <w:tcBorders/>
            <w:vAlign w:val="center"/>
          </w:tcPr>
          <w:p>
            <w:pPr>
              <w:pStyle w:val="LO-normal0"/>
              <w:widowControl w:val="false"/>
              <w:spacing w:before="0" w:after="200"/>
              <w:jc w:val="right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15 (14.3)</w:t>
            </w:r>
          </w:p>
        </w:tc>
      </w:tr>
      <w:tr>
        <w:trPr/>
        <w:tc>
          <w:tcPr>
            <w:tcW w:w="7514" w:type="dxa"/>
            <w:tcBorders/>
            <w:vAlign w:val="center"/>
          </w:tcPr>
          <w:p>
            <w:pPr>
              <w:pStyle w:val="LO-normal0"/>
              <w:widowControl w:val="false"/>
              <w:spacing w:before="0" w:after="200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  </w:t>
            </w: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Bilateral mastectomy</w:t>
            </w:r>
          </w:p>
        </w:tc>
        <w:tc>
          <w:tcPr>
            <w:tcW w:w="1530" w:type="dxa"/>
            <w:tcBorders/>
            <w:vAlign w:val="center"/>
          </w:tcPr>
          <w:p>
            <w:pPr>
              <w:pStyle w:val="LO-normal0"/>
              <w:widowControl w:val="false"/>
              <w:spacing w:before="0" w:after="200"/>
              <w:jc w:val="right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2 (1.9)</w:t>
            </w:r>
          </w:p>
        </w:tc>
      </w:tr>
      <w:tr>
        <w:trPr/>
        <w:tc>
          <w:tcPr>
            <w:tcW w:w="7514" w:type="dxa"/>
            <w:tcBorders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LO-normal0"/>
              <w:widowControl w:val="false"/>
              <w:spacing w:before="0" w:after="200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Mastectomy with sentinel lymph node biopsy</w:t>
            </w:r>
          </w:p>
        </w:tc>
        <w:tc>
          <w:tcPr>
            <w:tcW w:w="1530" w:type="dxa"/>
            <w:tcBorders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LO-normal0"/>
              <w:widowControl w:val="false"/>
              <w:spacing w:before="0" w:after="200"/>
              <w:jc w:val="right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 (1.0)</w:t>
            </w:r>
          </w:p>
        </w:tc>
      </w:tr>
      <w:tr>
        <w:trPr/>
        <w:tc>
          <w:tcPr>
            <w:tcW w:w="7514" w:type="dxa"/>
            <w:tcBorders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LO-normal0"/>
              <w:widowControl w:val="false"/>
              <w:spacing w:before="0" w:after="200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Mastectomy with axillary lymph node dissection</w:t>
            </w:r>
          </w:p>
        </w:tc>
        <w:tc>
          <w:tcPr>
            <w:tcW w:w="1530" w:type="dxa"/>
            <w:tcBorders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LO-normal0"/>
              <w:widowControl w:val="false"/>
              <w:spacing w:before="0" w:after="200"/>
              <w:jc w:val="right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 (1.0)</w:t>
            </w:r>
          </w:p>
        </w:tc>
      </w:tr>
      <w:tr>
        <w:trPr/>
        <w:tc>
          <w:tcPr>
            <w:tcW w:w="7514" w:type="dxa"/>
            <w:tcBorders>
              <w:bottom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LO-normal0"/>
              <w:widowControl w:val="false"/>
              <w:spacing w:before="0" w:after="200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Isolated axillary lymph node dissection</w:t>
            </w:r>
          </w:p>
        </w:tc>
        <w:tc>
          <w:tcPr>
            <w:tcW w:w="1530" w:type="dxa"/>
            <w:tcBorders>
              <w:bottom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LO-normal0"/>
              <w:widowControl w:val="false"/>
              <w:spacing w:before="0" w:after="200"/>
              <w:jc w:val="right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3 (2.9)</w:t>
            </w:r>
          </w:p>
        </w:tc>
      </w:tr>
    </w:tbl>
    <w:p>
      <w:pPr>
        <w:pStyle w:val="Titolo2"/>
        <w:jc w:val="both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eastAsia="Times New Roman" w:cs="Times New Roman" w:ascii="Times New Roman" w:hAnsi="Times New Roman"/>
          <w:sz w:val="22"/>
          <w:szCs w:val="22"/>
        </w:rPr>
      </w:r>
    </w:p>
    <w:p>
      <w:pPr>
        <w:pStyle w:val="LO-normal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Titolo2"/>
        <w:jc w:val="both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eastAsia="Times New Roman" w:cs="Times New Roman" w:ascii="Times New Roman" w:hAnsi="Times New Roman"/>
          <w:sz w:val="22"/>
          <w:szCs w:val="22"/>
        </w:rPr>
      </w:r>
    </w:p>
    <w:p>
      <w:pPr>
        <w:pStyle w:val="Titolo2"/>
        <w:jc w:val="both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eastAsia="Times New Roman" w:cs="Times New Roman" w:ascii="Times New Roman" w:hAnsi="Times New Roman"/>
          <w:sz w:val="22"/>
          <w:szCs w:val="22"/>
        </w:rPr>
        <w:t>Table 2. Delivery of Case Management interventions across preoperative counseling, in-hospital phase, and follow-up</w:t>
      </w:r>
    </w:p>
    <w:tbl>
      <w:tblPr>
        <w:tblStyle w:val="a0"/>
        <w:tblW w:w="9585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1" w:lastRow="0" w:firstColumn="0" w:lastColumn="0" w:noHBand="0" w:val="0400"/>
      </w:tblPr>
      <w:tblGrid>
        <w:gridCol w:w="6535"/>
        <w:gridCol w:w="3049"/>
      </w:tblGrid>
      <w:tr>
        <w:trPr>
          <w:tblHeader w:val="true"/>
          <w:trHeight w:val="298" w:hRule="atLeast"/>
        </w:trPr>
        <w:tc>
          <w:tcPr>
            <w:tcW w:w="6535" w:type="dxa"/>
            <w:tcBorders>
              <w:top w:val="single" w:sz="4" w:space="0" w:color="000000"/>
            </w:tcBorders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</w:rPr>
              <w:t>Intervention</w:t>
            </w:r>
          </w:p>
        </w:tc>
        <w:tc>
          <w:tcPr>
            <w:tcW w:w="3049" w:type="dxa"/>
            <w:tcBorders>
              <w:top w:val="single" w:sz="4" w:space="0" w:color="000000"/>
            </w:tcBorders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</w:rPr>
              <w:t>n (%)</w:t>
            </w:r>
          </w:p>
        </w:tc>
      </w:tr>
      <w:tr>
        <w:trPr>
          <w:trHeight w:val="281" w:hRule="atLeast"/>
        </w:trPr>
        <w:tc>
          <w:tcPr>
            <w:tcW w:w="6535" w:type="dxa"/>
            <w:tcBorders/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Preoperative assessment</w:t>
            </w:r>
          </w:p>
        </w:tc>
        <w:tc>
          <w:tcPr>
            <w:tcW w:w="3049" w:type="dxa"/>
            <w:tcBorders/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102 (97.1)</w:t>
            </w:r>
          </w:p>
        </w:tc>
      </w:tr>
      <w:tr>
        <w:trPr>
          <w:trHeight w:val="298" w:hRule="atLeast"/>
        </w:trPr>
        <w:tc>
          <w:tcPr>
            <w:tcW w:w="6535" w:type="dxa"/>
            <w:tcBorders/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Risk stratification</w:t>
            </w:r>
          </w:p>
        </w:tc>
        <w:tc>
          <w:tcPr>
            <w:tcW w:w="3049" w:type="dxa"/>
            <w:tcBorders/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102 (97.1)</w:t>
            </w:r>
          </w:p>
        </w:tc>
      </w:tr>
      <w:tr>
        <w:trPr>
          <w:trHeight w:val="298" w:hRule="atLeast"/>
        </w:trPr>
        <w:tc>
          <w:tcPr>
            <w:tcW w:w="6535" w:type="dxa"/>
            <w:tcBorders/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Teach-back education</w:t>
            </w:r>
          </w:p>
        </w:tc>
        <w:tc>
          <w:tcPr>
            <w:tcW w:w="3049" w:type="dxa"/>
            <w:tcBorders/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102 (97.1)</w:t>
            </w:r>
          </w:p>
        </w:tc>
      </w:tr>
      <w:tr>
        <w:trPr>
          <w:trHeight w:val="298" w:hRule="atLeast"/>
        </w:trPr>
        <w:tc>
          <w:tcPr>
            <w:tcW w:w="6535" w:type="dxa"/>
            <w:tcBorders/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In-hospytal evaluation</w:t>
            </w:r>
          </w:p>
        </w:tc>
        <w:tc>
          <w:tcPr>
            <w:tcW w:w="3049" w:type="dxa"/>
            <w:tcBorders/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94 (89.5)</w:t>
            </w:r>
          </w:p>
        </w:tc>
      </w:tr>
      <w:tr>
        <w:trPr>
          <w:trHeight w:val="298" w:hRule="atLeast"/>
        </w:trPr>
        <w:tc>
          <w:tcPr>
            <w:tcW w:w="6535" w:type="dxa"/>
            <w:tcBorders/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Telephone Follow-up&gt;=3</w:t>
            </w:r>
          </w:p>
        </w:tc>
        <w:tc>
          <w:tcPr>
            <w:tcW w:w="3049" w:type="dxa"/>
            <w:tcBorders/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96 (91.4)</w:t>
            </w:r>
          </w:p>
        </w:tc>
      </w:tr>
      <w:tr>
        <w:trPr>
          <w:trHeight w:val="298" w:hRule="atLeast"/>
        </w:trPr>
        <w:tc>
          <w:tcPr>
            <w:tcW w:w="6535" w:type="dxa"/>
            <w:tcBorders>
              <w:bottom w:val="single" w:sz="4" w:space="0" w:color="000000"/>
            </w:tcBorders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Total telephone Follow-up; median (range)</w:t>
            </w:r>
          </w:p>
        </w:tc>
        <w:tc>
          <w:tcPr>
            <w:tcW w:w="3049" w:type="dxa"/>
            <w:tcBorders>
              <w:bottom w:val="single" w:sz="4" w:space="0" w:color="000000"/>
            </w:tcBorders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371; 3 (2-10)</w:t>
            </w:r>
          </w:p>
        </w:tc>
      </w:tr>
    </w:tbl>
    <w:p>
      <w:pPr>
        <w:pStyle w:val="LO-normal0"/>
        <w:spacing w:before="0" w:after="14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LO-normal0"/>
        <w:spacing w:before="0" w:after="14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LO-normal0"/>
        <w:spacing w:before="0" w:after="14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Titolo2"/>
        <w:jc w:val="both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eastAsia="Times New Roman" w:cs="Times New Roman" w:ascii="Times New Roman" w:hAnsi="Times New Roman"/>
          <w:sz w:val="22"/>
          <w:szCs w:val="22"/>
        </w:rPr>
        <w:t xml:space="preserve">Table 3. Identification and resolution of nursing needs throughout the Case Management pathway </w:t>
      </w:r>
    </w:p>
    <w:tbl>
      <w:tblPr>
        <w:tblStyle w:val="a1"/>
        <w:tblW w:w="10396" w:type="dxa"/>
        <w:jc w:val="left"/>
        <w:tblInd w:w="-4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1" w:lastRow="0" w:firstColumn="0" w:lastColumn="0" w:noHBand="0" w:val="0400"/>
      </w:tblPr>
      <w:tblGrid>
        <w:gridCol w:w="1419"/>
        <w:gridCol w:w="3534"/>
        <w:gridCol w:w="2149"/>
        <w:gridCol w:w="1541"/>
        <w:gridCol w:w="1753"/>
      </w:tblGrid>
      <w:tr>
        <w:trPr>
          <w:tblHeader w:val="true"/>
        </w:trPr>
        <w:tc>
          <w:tcPr>
            <w:tcW w:w="1419" w:type="dxa"/>
            <w:tcBorders>
              <w:top w:val="single" w:sz="4" w:space="0" w:color="000000"/>
            </w:tcBorders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Care phase</w:t>
            </w:r>
          </w:p>
        </w:tc>
        <w:tc>
          <w:tcPr>
            <w:tcW w:w="3534" w:type="dxa"/>
            <w:tcBorders>
              <w:top w:val="single" w:sz="4" w:space="0" w:color="000000"/>
            </w:tcBorders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sdt>
              <w:sdtPr>
                <w:tag w:val="goog_rdk_2"/>
                <w:id w:val="-1118707786"/>
              </w:sdtPr>
              <w:sdtContent>
                <w:r>
                  <w:rPr>
                    <w:rFonts w:eastAsia="Times New Roman" w:cs="Times New Roman" w:ascii="Times New Roman" w:hAnsi="Times New Roman"/>
                    <w:b/>
                    <w:bCs/>
                    <w:color w:val="000000"/>
                    <w:sz w:val="20"/>
                    <w:szCs w:val="20"/>
                  </w:rPr>
                </w:r>
                <w:r>
                  <w:rPr>
                    <w:rFonts w:eastAsia="Times New Roman" w:cs="Times New Roman" w:ascii="Times New Roman" w:hAnsi="Times New Roman"/>
                    <w:b/>
                    <w:bCs/>
                    <w:color w:val="000000"/>
                    <w:sz w:val="20"/>
                    <w:szCs w:val="20"/>
                  </w:rPr>
                  <w:t>Patients with ≥1 identified need n (%)</w:t>
                </w:r>
              </w:sdtContent>
            </w:sdt>
          </w:p>
        </w:tc>
        <w:tc>
          <w:tcPr>
            <w:tcW w:w="2149" w:type="dxa"/>
            <w:tcBorders>
              <w:top w:val="single" w:sz="4" w:space="0" w:color="000000"/>
            </w:tcBorders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Total identified needs</w:t>
            </w:r>
          </w:p>
        </w:tc>
        <w:tc>
          <w:tcPr>
            <w:tcW w:w="1541" w:type="dxa"/>
            <w:tcBorders>
              <w:top w:val="single" w:sz="4" w:space="0" w:color="000000"/>
            </w:tcBorders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Resolved needs</w:t>
            </w:r>
          </w:p>
        </w:tc>
        <w:tc>
          <w:tcPr>
            <w:tcW w:w="1753" w:type="dxa"/>
            <w:tcBorders>
              <w:top w:val="single" w:sz="4" w:space="0" w:color="000000"/>
            </w:tcBorders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Resolution rate </w:t>
            </w:r>
          </w:p>
        </w:tc>
      </w:tr>
      <w:tr>
        <w:trPr/>
        <w:tc>
          <w:tcPr>
            <w:tcW w:w="1419" w:type="dxa"/>
            <w:tcBorders/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 xml:space="preserve">Preoperative </w:t>
            </w:r>
          </w:p>
        </w:tc>
        <w:tc>
          <w:tcPr>
            <w:tcW w:w="3534" w:type="dxa"/>
            <w:tcBorders/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102 (97.1)</w:t>
            </w:r>
          </w:p>
        </w:tc>
        <w:tc>
          <w:tcPr>
            <w:tcW w:w="2149" w:type="dxa"/>
            <w:tcBorders/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208</w:t>
            </w:r>
          </w:p>
        </w:tc>
        <w:tc>
          <w:tcPr>
            <w:tcW w:w="1541" w:type="dxa"/>
            <w:tcBorders/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204</w:t>
            </w:r>
          </w:p>
        </w:tc>
        <w:tc>
          <w:tcPr>
            <w:tcW w:w="1753" w:type="dxa"/>
            <w:tcBorders/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98.1</w:t>
            </w:r>
          </w:p>
        </w:tc>
      </w:tr>
      <w:tr>
        <w:trPr/>
        <w:tc>
          <w:tcPr>
            <w:tcW w:w="1419" w:type="dxa"/>
            <w:tcBorders/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In-hospital stay</w:t>
            </w:r>
          </w:p>
        </w:tc>
        <w:tc>
          <w:tcPr>
            <w:tcW w:w="3534" w:type="dxa"/>
            <w:tcBorders/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74 (70.5)</w:t>
            </w:r>
          </w:p>
        </w:tc>
        <w:tc>
          <w:tcPr>
            <w:tcW w:w="2149" w:type="dxa"/>
            <w:tcBorders/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1541" w:type="dxa"/>
            <w:tcBorders/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176</w:t>
            </w:r>
          </w:p>
        </w:tc>
        <w:tc>
          <w:tcPr>
            <w:tcW w:w="1753" w:type="dxa"/>
            <w:tcBorders/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96.7</w:t>
            </w:r>
          </w:p>
        </w:tc>
      </w:tr>
      <w:tr>
        <w:trPr/>
        <w:tc>
          <w:tcPr>
            <w:tcW w:w="1419" w:type="dxa"/>
            <w:tcBorders/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Post-discharge follow-up</w:t>
            </w:r>
          </w:p>
        </w:tc>
        <w:tc>
          <w:tcPr>
            <w:tcW w:w="3534" w:type="dxa"/>
            <w:tcBorders/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105 (100.0)</w:t>
            </w:r>
          </w:p>
        </w:tc>
        <w:tc>
          <w:tcPr>
            <w:tcW w:w="2149" w:type="dxa"/>
            <w:tcBorders/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252</w:t>
            </w:r>
          </w:p>
        </w:tc>
        <w:tc>
          <w:tcPr>
            <w:tcW w:w="1541" w:type="dxa"/>
            <w:tcBorders/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1753" w:type="dxa"/>
            <w:tcBorders/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99.2</w:t>
            </w:r>
          </w:p>
        </w:tc>
      </w:tr>
      <w:tr>
        <w:trPr/>
        <w:tc>
          <w:tcPr>
            <w:tcW w:w="1419" w:type="dxa"/>
            <w:tcBorders>
              <w:bottom w:val="single" w:sz="4" w:space="0" w:color="000000"/>
            </w:tcBorders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Overall</w:t>
            </w:r>
          </w:p>
        </w:tc>
        <w:tc>
          <w:tcPr>
            <w:tcW w:w="3534" w:type="dxa"/>
            <w:tcBorders>
              <w:bottom w:val="single" w:sz="4" w:space="0" w:color="000000"/>
            </w:tcBorders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105 (100.0)</w:t>
            </w:r>
          </w:p>
        </w:tc>
        <w:tc>
          <w:tcPr>
            <w:tcW w:w="2149" w:type="dxa"/>
            <w:tcBorders>
              <w:bottom w:val="single" w:sz="4" w:space="0" w:color="000000"/>
            </w:tcBorders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642</w:t>
            </w:r>
          </w:p>
        </w:tc>
        <w:tc>
          <w:tcPr>
            <w:tcW w:w="1541" w:type="dxa"/>
            <w:tcBorders>
              <w:bottom w:val="single" w:sz="4" w:space="0" w:color="000000"/>
            </w:tcBorders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630</w:t>
            </w:r>
          </w:p>
        </w:tc>
        <w:tc>
          <w:tcPr>
            <w:tcW w:w="1753" w:type="dxa"/>
            <w:tcBorders>
              <w:bottom w:val="single" w:sz="4" w:space="0" w:color="000000"/>
            </w:tcBorders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98.1</w:t>
            </w:r>
          </w:p>
        </w:tc>
      </w:tr>
    </w:tbl>
    <w:p>
      <w:pPr>
        <w:pStyle w:val="LO-normal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LO-normal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LO-normal0"/>
        <w:spacing w:before="0" w:after="14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Titolo2"/>
        <w:jc w:val="both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eastAsia="Times New Roman" w:cs="Times New Roman" w:ascii="Times New Roman" w:hAnsi="Times New Roman"/>
          <w:sz w:val="22"/>
          <w:szCs w:val="22"/>
        </w:rPr>
        <w:t>Table 4. Clinical outcomes</w:t>
      </w:r>
    </w:p>
    <w:tbl>
      <w:tblPr>
        <w:tblStyle w:val="a2"/>
        <w:tblW w:w="10125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1" w:lastRow="0" w:firstColumn="0" w:lastColumn="0" w:noHBand="0" w:val="0400"/>
      </w:tblPr>
      <w:tblGrid>
        <w:gridCol w:w="6270"/>
        <w:gridCol w:w="3854"/>
      </w:tblGrid>
      <w:tr>
        <w:trPr>
          <w:tblHeader w:val="true"/>
          <w:trHeight w:val="277" w:hRule="atLeast"/>
        </w:trPr>
        <w:tc>
          <w:tcPr>
            <w:tcW w:w="6270" w:type="dxa"/>
            <w:tcBorders>
              <w:top w:val="single" w:sz="4" w:space="0" w:color="000000"/>
            </w:tcBorders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</w:rPr>
              <w:t>Outcome within 30 days</w:t>
            </w:r>
          </w:p>
        </w:tc>
        <w:tc>
          <w:tcPr>
            <w:tcW w:w="3854" w:type="dxa"/>
            <w:tcBorders>
              <w:top w:val="single" w:sz="4" w:space="0" w:color="000000"/>
            </w:tcBorders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</w:rPr>
              <w:t>N 105 (%)</w:t>
            </w:r>
          </w:p>
        </w:tc>
      </w:tr>
      <w:tr>
        <w:trPr>
          <w:trHeight w:val="277" w:hRule="atLeast"/>
        </w:trPr>
        <w:tc>
          <w:tcPr>
            <w:tcW w:w="6270" w:type="dxa"/>
            <w:tcBorders/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Clavien-Dindo classification &lt;=2</w:t>
            </w:r>
          </w:p>
        </w:tc>
        <w:tc>
          <w:tcPr>
            <w:tcW w:w="3854" w:type="dxa"/>
            <w:tcBorders/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102 (97.2)</w:t>
            </w:r>
          </w:p>
        </w:tc>
      </w:tr>
      <w:tr>
        <w:trPr>
          <w:trHeight w:val="277" w:hRule="atLeast"/>
        </w:trPr>
        <w:tc>
          <w:tcPr>
            <w:tcW w:w="6270" w:type="dxa"/>
            <w:tcBorders/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Clavien-Dindo Dindo classification &gt;2</w:t>
            </w:r>
          </w:p>
        </w:tc>
        <w:tc>
          <w:tcPr>
            <w:tcW w:w="3854" w:type="dxa"/>
            <w:tcBorders/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3 (2.9)</w:t>
            </w:r>
          </w:p>
        </w:tc>
      </w:tr>
      <w:tr>
        <w:trPr>
          <w:trHeight w:val="277" w:hRule="atLeast"/>
        </w:trPr>
        <w:tc>
          <w:tcPr>
            <w:tcW w:w="6270" w:type="dxa"/>
            <w:tcBorders/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Length of stay, days, median (IQR)</w:t>
            </w:r>
          </w:p>
        </w:tc>
        <w:tc>
          <w:tcPr>
            <w:tcW w:w="3854" w:type="dxa"/>
            <w:tcBorders/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1 (1–2)</w:t>
            </w:r>
          </w:p>
        </w:tc>
      </w:tr>
      <w:tr>
        <w:trPr>
          <w:trHeight w:val="277" w:hRule="atLeast"/>
        </w:trPr>
        <w:tc>
          <w:tcPr>
            <w:tcW w:w="6270" w:type="dxa"/>
            <w:tcBorders/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Lymphedema</w:t>
            </w:r>
          </w:p>
        </w:tc>
        <w:tc>
          <w:tcPr>
            <w:tcW w:w="3854" w:type="dxa"/>
            <w:tcBorders/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5 (4.8)</w:t>
            </w:r>
          </w:p>
        </w:tc>
      </w:tr>
      <w:tr>
        <w:trPr>
          <w:trHeight w:val="277" w:hRule="atLeast"/>
        </w:trPr>
        <w:tc>
          <w:tcPr>
            <w:tcW w:w="6270" w:type="dxa"/>
            <w:tcBorders/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MARS-5 score at follow-up, </w:t>
            </w:r>
            <w:r>
              <w:rPr>
                <w:rFonts w:eastAsia="Times New Roman" w:cs="Times New Roman" w:ascii="Times New Roman" w:hAnsi="Times New Roman"/>
                <w:color w:val="000000"/>
                <w:lang w:val="it-IT"/>
              </w:rPr>
              <w:t>mean ± SD (range)</w:t>
            </w:r>
          </w:p>
        </w:tc>
        <w:tc>
          <w:tcPr>
            <w:tcW w:w="3854" w:type="dxa"/>
            <w:tcBorders/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24.6 ± 2.7 (5-25) </w:t>
            </w:r>
          </w:p>
        </w:tc>
      </w:tr>
      <w:tr>
        <w:trPr>
          <w:trHeight w:val="277" w:hRule="atLeast"/>
        </w:trPr>
        <w:tc>
          <w:tcPr>
            <w:tcW w:w="6270" w:type="dxa"/>
            <w:tcBorders/>
          </w:tcPr>
          <w:p>
            <w:pPr>
              <w:pStyle w:val="LO-normal0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Hypertrophic axillary scar</w:t>
            </w:r>
          </w:p>
        </w:tc>
        <w:tc>
          <w:tcPr>
            <w:tcW w:w="3854" w:type="dxa"/>
            <w:tcBorders/>
          </w:tcPr>
          <w:p>
            <w:pPr>
              <w:pStyle w:val="LO-normal0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10 (9.5)</w:t>
            </w:r>
          </w:p>
        </w:tc>
      </w:tr>
      <w:tr>
        <w:trPr>
          <w:trHeight w:val="277" w:hRule="atLeast"/>
        </w:trPr>
        <w:tc>
          <w:tcPr>
            <w:tcW w:w="6270" w:type="dxa"/>
            <w:tcBorders/>
          </w:tcPr>
          <w:p>
            <w:pPr>
              <w:pStyle w:val="LO-normal0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Seroma</w:t>
            </w:r>
          </w:p>
        </w:tc>
        <w:tc>
          <w:tcPr>
            <w:tcW w:w="3854" w:type="dxa"/>
            <w:tcBorders/>
          </w:tcPr>
          <w:p>
            <w:pPr>
              <w:pStyle w:val="LO-normal0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</w:rPr>
            </w:pPr>
            <w:bookmarkStart w:id="0" w:name="_heading=h.jy6gbp8q98r4"/>
            <w:bookmarkEnd w:id="0"/>
            <w:r>
              <w:rPr>
                <w:rFonts w:eastAsia="Times New Roman" w:cs="Times New Roman" w:ascii="Times New Roman" w:hAnsi="Times New Roman"/>
                <w:color w:val="000000"/>
              </w:rPr>
              <w:t>3 (2.8)</w:t>
            </w:r>
          </w:p>
        </w:tc>
      </w:tr>
      <w:tr>
        <w:trPr>
          <w:trHeight w:val="277" w:hRule="atLeast"/>
        </w:trPr>
        <w:tc>
          <w:tcPr>
            <w:tcW w:w="6270" w:type="dxa"/>
            <w:tcBorders/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Home discharge without unplanned healthcare utilization </w:t>
            </w:r>
          </w:p>
        </w:tc>
        <w:tc>
          <w:tcPr>
            <w:tcW w:w="3854" w:type="dxa"/>
            <w:tcBorders/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jc w:val="right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93 (88.5)</w:t>
            </w:r>
          </w:p>
        </w:tc>
      </w:tr>
      <w:tr>
        <w:trPr>
          <w:trHeight w:val="277" w:hRule="atLeast"/>
        </w:trPr>
        <w:tc>
          <w:tcPr>
            <w:tcW w:w="6270" w:type="dxa"/>
            <w:tcBorders/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Emergency department visit (discharged without tratments)</w:t>
            </w:r>
          </w:p>
        </w:tc>
        <w:tc>
          <w:tcPr>
            <w:tcW w:w="3854" w:type="dxa"/>
            <w:tcBorders/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8 (7.7)</w:t>
            </w:r>
          </w:p>
        </w:tc>
      </w:tr>
      <w:tr>
        <w:trPr>
          <w:trHeight w:val="261" w:hRule="atLeast"/>
        </w:trPr>
        <w:tc>
          <w:tcPr>
            <w:tcW w:w="6270" w:type="dxa"/>
            <w:tcBorders/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Hospital access requiring treatment (without admission)</w:t>
            </w:r>
          </w:p>
        </w:tc>
        <w:tc>
          <w:tcPr>
            <w:tcW w:w="3854" w:type="dxa"/>
            <w:tcBorders/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3 (2.9)</w:t>
            </w:r>
          </w:p>
        </w:tc>
      </w:tr>
      <w:tr>
        <w:trPr>
          <w:trHeight w:val="292" w:hRule="atLeast"/>
        </w:trPr>
        <w:tc>
          <w:tcPr>
            <w:tcW w:w="6270" w:type="dxa"/>
            <w:tcBorders>
              <w:bottom w:val="single" w:sz="4" w:space="0" w:color="000000"/>
            </w:tcBorders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Hospital readmission</w:t>
            </w:r>
          </w:p>
        </w:tc>
        <w:tc>
          <w:tcPr>
            <w:tcW w:w="3854" w:type="dxa"/>
            <w:tcBorders>
              <w:bottom w:val="single" w:sz="4" w:space="0" w:color="000000"/>
            </w:tcBorders>
            <w:vAlign w:val="center"/>
          </w:tcPr>
          <w:p>
            <w:pPr>
              <w:pStyle w:val="LO-normal0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1 (1.0)</w:t>
            </w:r>
          </w:p>
        </w:tc>
      </w:tr>
    </w:tbl>
    <w:p>
      <w:pPr>
        <w:pStyle w:val="LO-normal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LO-normal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LO-normal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LO-normal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LO-normal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LO-normal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LO-normal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LO-normal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LO-normal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LO-normal0"/>
        <w:spacing w:lineRule="auto" w:line="276" w:before="1" w:after="140"/>
        <w:rPr>
          <w:rFonts w:ascii="Times New Roman" w:hAnsi="Times New Roman" w:eastAsia="Times New Roman" w:cs="Times New Roman"/>
          <w:b/>
          <w:bCs/>
          <w:color w:val="4F81BD"/>
        </w:rPr>
      </w:pPr>
      <w:r>
        <w:rPr>
          <w:rFonts w:eastAsia="Times New Roman" w:cs="Times New Roman" w:ascii="Times New Roman" w:hAnsi="Times New Roman"/>
          <w:b/>
          <w:bCs/>
          <w:color w:val="4F81BD"/>
        </w:rPr>
        <w:t>Table 5. Case Management intensity by surgical complexity: pairwise Cliff’s delta comparisons</w:t>
      </w:r>
    </w:p>
    <w:p>
      <w:pPr>
        <w:pStyle w:val="LO-normal0"/>
        <w:spacing w:before="1" w:after="1"/>
        <w:rPr>
          <w:color w:val="000000"/>
          <w:sz w:val="17"/>
          <w:szCs w:val="17"/>
        </w:rPr>
      </w:pPr>
      <w:r>
        <w:rPr>
          <w:color w:val="000000"/>
          <w:sz w:val="17"/>
          <w:szCs w:val="17"/>
        </w:rPr>
      </w:r>
    </w:p>
    <w:tbl>
      <w:tblPr>
        <w:tblStyle w:val="a3"/>
        <w:tblW w:w="10133" w:type="dxa"/>
        <w:jc w:val="left"/>
        <w:tblInd w:w="-4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141"/>
        <w:gridCol w:w="2395"/>
        <w:gridCol w:w="1277"/>
        <w:gridCol w:w="1416"/>
        <w:gridCol w:w="1480"/>
        <w:gridCol w:w="1423"/>
      </w:tblGrid>
      <w:tr>
        <w:trPr>
          <w:trHeight w:val="467" w:hRule="atLeast"/>
        </w:trPr>
        <w:tc>
          <w:tcPr>
            <w:tcW w:w="2141" w:type="dxa"/>
            <w:tcBorders>
              <w:bottom w:val="single" w:sz="12" w:space="0" w:color="666666"/>
            </w:tcBorders>
          </w:tcPr>
          <w:p>
            <w:pPr>
              <w:pStyle w:val="LO-normal0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</w:rPr>
              <w:t>Group 1</w:t>
            </w:r>
          </w:p>
        </w:tc>
        <w:tc>
          <w:tcPr>
            <w:tcW w:w="2395" w:type="dxa"/>
            <w:tcBorders>
              <w:bottom w:val="single" w:sz="12" w:space="0" w:color="666666"/>
            </w:tcBorders>
          </w:tcPr>
          <w:p>
            <w:pPr>
              <w:pStyle w:val="LO-normal0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</w:rPr>
              <w:t>Group 2</w:t>
            </w:r>
          </w:p>
        </w:tc>
        <w:tc>
          <w:tcPr>
            <w:tcW w:w="1277" w:type="dxa"/>
            <w:tcBorders>
              <w:bottom w:val="single" w:sz="12" w:space="0" w:color="666666"/>
            </w:tcBorders>
          </w:tcPr>
          <w:p>
            <w:pPr>
              <w:pStyle w:val="LO-normal0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</w:rPr>
              <w:t>Cliff's delta</w:t>
            </w:r>
          </w:p>
        </w:tc>
        <w:tc>
          <w:tcPr>
            <w:tcW w:w="1416" w:type="dxa"/>
            <w:tcBorders>
              <w:bottom w:val="single" w:sz="12" w:space="0" w:color="666666"/>
            </w:tcBorders>
          </w:tcPr>
          <w:p>
            <w:pPr>
              <w:pStyle w:val="LO-normal0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</w:rPr>
              <w:t xml:space="preserve">Lower 95% CI </w:t>
            </w:r>
          </w:p>
        </w:tc>
        <w:tc>
          <w:tcPr>
            <w:tcW w:w="1480" w:type="dxa"/>
            <w:tcBorders>
              <w:bottom w:val="single" w:sz="12" w:space="0" w:color="666666"/>
            </w:tcBorders>
          </w:tcPr>
          <w:p>
            <w:pPr>
              <w:pStyle w:val="LO-normal0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</w:rPr>
              <w:t xml:space="preserve">Upper 95% CI </w:t>
            </w:r>
          </w:p>
        </w:tc>
        <w:tc>
          <w:tcPr>
            <w:tcW w:w="1423" w:type="dxa"/>
            <w:tcBorders>
              <w:bottom w:val="single" w:sz="12" w:space="0" w:color="666666"/>
            </w:tcBorders>
          </w:tcPr>
          <w:p>
            <w:pPr>
              <w:pStyle w:val="LO-normal0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</w:rPr>
              <w:t>Magnitude</w:t>
            </w:r>
          </w:p>
        </w:tc>
      </w:tr>
      <w:tr>
        <w:trPr>
          <w:trHeight w:val="659" w:hRule="atLeast"/>
        </w:trPr>
        <w:tc>
          <w:tcPr>
            <w:tcW w:w="2141" w:type="dxa"/>
            <w:tcBorders>
              <w:top w:val="single" w:sz="12" w:space="0" w:color="666666"/>
            </w:tcBorders>
          </w:tcPr>
          <w:p>
            <w:pPr>
              <w:pStyle w:val="LO-normal0"/>
              <w:widowControl w:val="false"/>
              <w:spacing w:lineRule="auto" w:line="240" w:before="178" w:after="0"/>
              <w:ind w:left="2" w:hanging="0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High complexity</w:t>
            </w:r>
          </w:p>
        </w:tc>
        <w:tc>
          <w:tcPr>
            <w:tcW w:w="2395" w:type="dxa"/>
            <w:tcBorders>
              <w:top w:val="single" w:sz="12" w:space="0" w:color="666666"/>
            </w:tcBorders>
          </w:tcPr>
          <w:p>
            <w:pPr>
              <w:pStyle w:val="LO-normal0"/>
              <w:widowControl w:val="false"/>
              <w:spacing w:lineRule="auto" w:line="240" w:before="178" w:after="0"/>
              <w:ind w:left="1" w:hanging="0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Low complexity</w:t>
            </w:r>
          </w:p>
        </w:tc>
        <w:tc>
          <w:tcPr>
            <w:tcW w:w="1277" w:type="dxa"/>
            <w:tcBorders>
              <w:top w:val="single" w:sz="12" w:space="0" w:color="666666"/>
            </w:tcBorders>
          </w:tcPr>
          <w:p>
            <w:pPr>
              <w:pStyle w:val="LO-normal0"/>
              <w:widowControl w:val="false"/>
              <w:spacing w:lineRule="auto" w:line="240" w:before="178" w:after="0"/>
              <w:ind w:left="1" w:hanging="0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0.085</w:t>
            </w:r>
          </w:p>
        </w:tc>
        <w:tc>
          <w:tcPr>
            <w:tcW w:w="1416" w:type="dxa"/>
            <w:tcBorders>
              <w:top w:val="single" w:sz="12" w:space="0" w:color="666666"/>
            </w:tcBorders>
          </w:tcPr>
          <w:p>
            <w:pPr>
              <w:pStyle w:val="LO-normal0"/>
              <w:widowControl w:val="false"/>
              <w:spacing w:lineRule="auto" w:line="240" w:before="178" w:after="0"/>
              <w:ind w:left="1" w:hanging="0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-0.193</w:t>
            </w:r>
          </w:p>
        </w:tc>
        <w:tc>
          <w:tcPr>
            <w:tcW w:w="1480" w:type="dxa"/>
            <w:tcBorders>
              <w:top w:val="single" w:sz="12" w:space="0" w:color="666666"/>
            </w:tcBorders>
          </w:tcPr>
          <w:p>
            <w:pPr>
              <w:pStyle w:val="LO-normal0"/>
              <w:widowControl w:val="false"/>
              <w:spacing w:lineRule="auto" w:line="240" w:before="178" w:after="0"/>
              <w:ind w:left="1" w:hanging="0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0.350</w:t>
            </w:r>
          </w:p>
        </w:tc>
        <w:tc>
          <w:tcPr>
            <w:tcW w:w="1423" w:type="dxa"/>
            <w:tcBorders>
              <w:top w:val="single" w:sz="12" w:space="0" w:color="666666"/>
            </w:tcBorders>
          </w:tcPr>
          <w:p>
            <w:pPr>
              <w:pStyle w:val="LO-normal0"/>
              <w:widowControl w:val="false"/>
              <w:spacing w:lineRule="auto" w:line="240" w:before="178" w:after="0"/>
              <w:ind w:left="2" w:hanging="0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negligible</w:t>
            </w:r>
          </w:p>
        </w:tc>
      </w:tr>
      <w:tr>
        <w:trPr>
          <w:trHeight w:val="648" w:hRule="atLeast"/>
        </w:trPr>
        <w:tc>
          <w:tcPr>
            <w:tcW w:w="2141" w:type="dxa"/>
            <w:tcBorders/>
          </w:tcPr>
          <w:p>
            <w:pPr>
              <w:pStyle w:val="LO-normal0"/>
              <w:widowControl w:val="false"/>
              <w:spacing w:lineRule="auto" w:line="240" w:before="0" w:after="0"/>
              <w:ind w:left="2" w:hanging="0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High complexity</w:t>
            </w:r>
          </w:p>
        </w:tc>
        <w:tc>
          <w:tcPr>
            <w:tcW w:w="2395" w:type="dxa"/>
            <w:tcBorders/>
          </w:tcPr>
          <w:p>
            <w:pPr>
              <w:pStyle w:val="LO-normal0"/>
              <w:widowControl w:val="false"/>
              <w:spacing w:lineRule="auto" w:line="240" w:before="0" w:after="0"/>
              <w:ind w:left="1" w:hanging="0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Intermediate complexity</w:t>
            </w:r>
          </w:p>
        </w:tc>
        <w:tc>
          <w:tcPr>
            <w:tcW w:w="1277" w:type="dxa"/>
            <w:tcBorders/>
          </w:tcPr>
          <w:p>
            <w:pPr>
              <w:pStyle w:val="LO-normal0"/>
              <w:widowControl w:val="false"/>
              <w:spacing w:lineRule="auto" w:line="240" w:before="0" w:after="0"/>
              <w:ind w:left="1" w:hanging="0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0.174</w:t>
            </w:r>
          </w:p>
        </w:tc>
        <w:tc>
          <w:tcPr>
            <w:tcW w:w="1416" w:type="dxa"/>
            <w:tcBorders/>
          </w:tcPr>
          <w:p>
            <w:pPr>
              <w:pStyle w:val="LO-normal0"/>
              <w:widowControl w:val="false"/>
              <w:spacing w:lineRule="auto" w:line="240" w:before="0" w:after="0"/>
              <w:ind w:left="1" w:hanging="0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-0.088</w:t>
            </w:r>
          </w:p>
        </w:tc>
        <w:tc>
          <w:tcPr>
            <w:tcW w:w="1480" w:type="dxa"/>
            <w:tcBorders/>
          </w:tcPr>
          <w:p>
            <w:pPr>
              <w:pStyle w:val="LO-normal0"/>
              <w:widowControl w:val="false"/>
              <w:spacing w:lineRule="auto" w:line="240" w:before="0" w:after="0"/>
              <w:ind w:left="1" w:hanging="0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0.412</w:t>
            </w:r>
          </w:p>
        </w:tc>
        <w:tc>
          <w:tcPr>
            <w:tcW w:w="1423" w:type="dxa"/>
            <w:tcBorders/>
          </w:tcPr>
          <w:p>
            <w:pPr>
              <w:pStyle w:val="LO-normal0"/>
              <w:widowControl w:val="false"/>
              <w:spacing w:lineRule="auto" w:line="240" w:before="0" w:after="0"/>
              <w:ind w:left="2" w:hanging="0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small</w:t>
            </w:r>
          </w:p>
        </w:tc>
      </w:tr>
      <w:tr>
        <w:trPr>
          <w:trHeight w:val="656" w:hRule="atLeast"/>
        </w:trPr>
        <w:tc>
          <w:tcPr>
            <w:tcW w:w="2141" w:type="dxa"/>
            <w:tcBorders>
              <w:bottom w:val="single" w:sz="4" w:space="0" w:color="000000"/>
            </w:tcBorders>
          </w:tcPr>
          <w:p>
            <w:pPr>
              <w:pStyle w:val="LO-normal0"/>
              <w:widowControl w:val="false"/>
              <w:spacing w:lineRule="auto" w:line="240" w:before="0" w:after="0"/>
              <w:ind w:left="2" w:right="2" w:hanging="0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Low complexity</w:t>
            </w:r>
          </w:p>
        </w:tc>
        <w:tc>
          <w:tcPr>
            <w:tcW w:w="2395" w:type="dxa"/>
            <w:tcBorders>
              <w:bottom w:val="single" w:sz="4" w:space="0" w:color="000000"/>
            </w:tcBorders>
          </w:tcPr>
          <w:p>
            <w:pPr>
              <w:pStyle w:val="LO-normal0"/>
              <w:widowControl w:val="false"/>
              <w:spacing w:lineRule="auto" w:line="240" w:before="0" w:after="0"/>
              <w:ind w:left="1" w:hanging="0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Intermediate complexity</w:t>
            </w:r>
          </w:p>
        </w:tc>
        <w:tc>
          <w:tcPr>
            <w:tcW w:w="1277" w:type="dxa"/>
            <w:tcBorders>
              <w:bottom w:val="single" w:sz="4" w:space="0" w:color="000000"/>
            </w:tcBorders>
          </w:tcPr>
          <w:p>
            <w:pPr>
              <w:pStyle w:val="LO-normal0"/>
              <w:widowControl w:val="false"/>
              <w:spacing w:lineRule="auto" w:line="240" w:before="0" w:after="0"/>
              <w:ind w:left="1" w:hanging="0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0.124</w:t>
            </w:r>
          </w:p>
        </w:tc>
        <w:tc>
          <w:tcPr>
            <w:tcW w:w="1416" w:type="dxa"/>
            <w:tcBorders>
              <w:bottom w:val="single" w:sz="4" w:space="0" w:color="000000"/>
            </w:tcBorders>
          </w:tcPr>
          <w:p>
            <w:pPr>
              <w:pStyle w:val="LO-normal0"/>
              <w:widowControl w:val="false"/>
              <w:spacing w:lineRule="auto" w:line="240" w:before="0" w:after="0"/>
              <w:ind w:left="1" w:hanging="0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-0.129</w:t>
            </w:r>
          </w:p>
        </w:tc>
        <w:tc>
          <w:tcPr>
            <w:tcW w:w="1480" w:type="dxa"/>
            <w:tcBorders>
              <w:bottom w:val="single" w:sz="4" w:space="0" w:color="000000"/>
            </w:tcBorders>
          </w:tcPr>
          <w:p>
            <w:pPr>
              <w:pStyle w:val="LO-normal0"/>
              <w:widowControl w:val="false"/>
              <w:spacing w:lineRule="auto" w:line="240" w:before="0" w:after="0"/>
              <w:ind w:left="1" w:hanging="0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0.361</w:t>
            </w:r>
          </w:p>
        </w:tc>
        <w:tc>
          <w:tcPr>
            <w:tcW w:w="1423" w:type="dxa"/>
            <w:tcBorders>
              <w:bottom w:val="single" w:sz="4" w:space="0" w:color="000000"/>
            </w:tcBorders>
          </w:tcPr>
          <w:p>
            <w:pPr>
              <w:pStyle w:val="LO-normal0"/>
              <w:widowControl w:val="false"/>
              <w:spacing w:lineRule="auto" w:line="240" w:before="0" w:after="0"/>
              <w:ind w:left="2" w:hanging="0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negligible</w:t>
            </w:r>
          </w:p>
        </w:tc>
      </w:tr>
      <w:tr>
        <w:trPr>
          <w:trHeight w:val="656" w:hRule="atLeast"/>
        </w:trPr>
        <w:tc>
          <w:tcPr>
            <w:tcW w:w="10132" w:type="dxa"/>
            <w:gridSpan w:val="6"/>
            <w:tcBorders>
              <w:top w:val="single" w:sz="4" w:space="0" w:color="000000"/>
            </w:tcBorders>
          </w:tcPr>
          <w:p>
            <w:pPr>
              <w:pStyle w:val="LO-normal0"/>
              <w:widowControl w:val="false"/>
              <w:spacing w:lineRule="auto" w:line="240" w:before="0" w:after="0"/>
              <w:ind w:left="2" w:hanging="0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val="it-IT"/>
              </w:rPr>
              <w:t>Positive Cliff’s delta values indicate a higher number of Case Management interventions in Group 1 compared with Group 2. Effect-size magnitude was classified according to established thresholds. CI, confidence interval.</w:t>
            </w:r>
          </w:p>
        </w:tc>
      </w:tr>
    </w:tbl>
    <w:p>
      <w:pPr>
        <w:pStyle w:val="LO-normal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Titolo2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sz w:val="22"/>
          <w:szCs w:val="22"/>
        </w:rPr>
        <w:t>Table 6. Determinants of total identified unmeet needs across the Case Management pathway</w:t>
      </w:r>
    </w:p>
    <w:tbl>
      <w:tblPr>
        <w:tblStyle w:val="a4"/>
        <w:tblW w:w="9180" w:type="dxa"/>
        <w:jc w:val="left"/>
        <w:tblInd w:w="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624"/>
        <w:gridCol w:w="2431"/>
        <w:gridCol w:w="3273"/>
        <w:gridCol w:w="851"/>
      </w:tblGrid>
      <w:tr>
        <w:trPr>
          <w:trHeight w:val="389" w:hRule="atLeast"/>
        </w:trPr>
        <w:tc>
          <w:tcPr>
            <w:tcW w:w="9179" w:type="dxa"/>
            <w:gridSpan w:val="4"/>
            <w:tcBorders>
              <w:top w:val="single" w:sz="4" w:space="0" w:color="000000"/>
            </w:tcBorders>
          </w:tcPr>
          <w:p>
            <w:pPr>
              <w:pStyle w:val="LO-normal0"/>
              <w:widowControl w:val="false"/>
              <w:spacing w:lineRule="auto" w:line="259" w:before="108" w:after="0"/>
              <w:ind w:hanging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Total identified unmeet needs</w:t>
            </w:r>
          </w:p>
        </w:tc>
      </w:tr>
      <w:tr>
        <w:trPr>
          <w:trHeight w:val="298" w:hRule="atLeast"/>
        </w:trPr>
        <w:tc>
          <w:tcPr>
            <w:tcW w:w="2624" w:type="dxa"/>
            <w:tcBorders>
              <w:bottom w:val="single" w:sz="4" w:space="0" w:color="000000"/>
            </w:tcBorders>
          </w:tcPr>
          <w:p>
            <w:pPr>
              <w:pStyle w:val="LO-normal0"/>
              <w:widowControl w:val="false"/>
              <w:spacing w:lineRule="auto" w:line="271" w:before="0" w:after="0"/>
              <w:ind w:left="1" w:hanging="0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4"/>
                <w:szCs w:val="24"/>
              </w:rPr>
              <w:t>Predictors</w:t>
            </w:r>
          </w:p>
        </w:tc>
        <w:tc>
          <w:tcPr>
            <w:tcW w:w="2431" w:type="dxa"/>
            <w:tcBorders>
              <w:bottom w:val="single" w:sz="4" w:space="0" w:color="000000"/>
            </w:tcBorders>
          </w:tcPr>
          <w:p>
            <w:pPr>
              <w:pStyle w:val="LO-normal0"/>
              <w:widowControl w:val="false"/>
              <w:spacing w:lineRule="auto" w:line="271" w:before="0" w:after="0"/>
              <w:ind w:left="102" w:hanging="0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4"/>
                <w:szCs w:val="24"/>
              </w:rPr>
              <w:t>Incidence Rate Ratios</w:t>
            </w:r>
          </w:p>
        </w:tc>
        <w:tc>
          <w:tcPr>
            <w:tcW w:w="3273" w:type="dxa"/>
            <w:tcBorders>
              <w:bottom w:val="single" w:sz="4" w:space="0" w:color="000000"/>
            </w:tcBorders>
          </w:tcPr>
          <w:p>
            <w:pPr>
              <w:pStyle w:val="LO-normal0"/>
              <w:widowControl w:val="false"/>
              <w:spacing w:lineRule="auto" w:line="271" w:before="0" w:after="0"/>
              <w:ind w:right="26" w:hanging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4"/>
                <w:szCs w:val="24"/>
              </w:rPr>
              <w:t>95% CI</w:t>
            </w:r>
          </w:p>
        </w:tc>
        <w:tc>
          <w:tcPr>
            <w:tcW w:w="851" w:type="dxa"/>
            <w:tcBorders>
              <w:bottom w:val="single" w:sz="4" w:space="0" w:color="000000"/>
            </w:tcBorders>
          </w:tcPr>
          <w:p>
            <w:pPr>
              <w:pStyle w:val="LO-normal0"/>
              <w:widowControl w:val="false"/>
              <w:spacing w:lineRule="auto" w:line="271" w:before="0" w:after="0"/>
              <w:ind w:right="34" w:hanging="0"/>
              <w:jc w:val="right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4"/>
                <w:szCs w:val="24"/>
              </w:rPr>
              <w:t>p</w:t>
            </w:r>
          </w:p>
        </w:tc>
      </w:tr>
      <w:tr>
        <w:trPr>
          <w:trHeight w:val="275" w:hRule="atLeast"/>
        </w:trPr>
        <w:tc>
          <w:tcPr>
            <w:tcW w:w="2624" w:type="dxa"/>
            <w:tcBorders/>
          </w:tcPr>
          <w:p>
            <w:pPr>
              <w:pStyle w:val="LO-normal0"/>
              <w:widowControl w:val="false"/>
              <w:spacing w:lineRule="auto" w:line="240" w:before="0" w:after="0"/>
              <w:ind w:left="2" w:hanging="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Age</w:t>
            </w:r>
          </w:p>
        </w:tc>
        <w:tc>
          <w:tcPr>
            <w:tcW w:w="2431" w:type="dxa"/>
            <w:tcBorders/>
          </w:tcPr>
          <w:p>
            <w:pPr>
              <w:pStyle w:val="LO-normal0"/>
              <w:widowControl w:val="false"/>
              <w:spacing w:lineRule="auto" w:line="252" w:before="0" w:after="0"/>
              <w:ind w:left="68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1.00</w:t>
            </w:r>
          </w:p>
        </w:tc>
        <w:tc>
          <w:tcPr>
            <w:tcW w:w="3273" w:type="dxa"/>
            <w:tcBorders/>
          </w:tcPr>
          <w:p>
            <w:pPr>
              <w:pStyle w:val="LO-normal0"/>
              <w:widowControl w:val="false"/>
              <w:spacing w:lineRule="auto" w:line="252" w:before="0" w:after="0"/>
              <w:ind w:left="178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0.990 – 1.002</w:t>
            </w:r>
          </w:p>
        </w:tc>
        <w:tc>
          <w:tcPr>
            <w:tcW w:w="851" w:type="dxa"/>
            <w:tcBorders/>
          </w:tcPr>
          <w:p>
            <w:pPr>
              <w:pStyle w:val="LO-normal0"/>
              <w:widowControl w:val="false"/>
              <w:spacing w:lineRule="auto" w:line="252" w:before="0" w:after="0"/>
              <w:ind w:left="58"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0.207</w:t>
            </w:r>
          </w:p>
        </w:tc>
      </w:tr>
      <w:tr>
        <w:trPr>
          <w:trHeight w:val="275" w:hRule="atLeast"/>
        </w:trPr>
        <w:tc>
          <w:tcPr>
            <w:tcW w:w="2624" w:type="dxa"/>
            <w:tcBorders/>
          </w:tcPr>
          <w:p>
            <w:pPr>
              <w:pStyle w:val="LO-normal0"/>
              <w:widowControl w:val="false"/>
              <w:spacing w:lineRule="auto" w:line="240" w:before="0" w:after="0"/>
              <w:ind w:left="2" w:hanging="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Comorbidity count</w:t>
            </w:r>
          </w:p>
        </w:tc>
        <w:tc>
          <w:tcPr>
            <w:tcW w:w="2431" w:type="dxa"/>
            <w:tcBorders/>
          </w:tcPr>
          <w:p>
            <w:pPr>
              <w:pStyle w:val="LO-normal0"/>
              <w:widowControl w:val="false"/>
              <w:spacing w:lineRule="auto" w:line="252" w:before="0" w:after="0"/>
              <w:ind w:left="68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1.12</w:t>
            </w:r>
          </w:p>
        </w:tc>
        <w:tc>
          <w:tcPr>
            <w:tcW w:w="3273" w:type="dxa"/>
            <w:tcBorders/>
          </w:tcPr>
          <w:p>
            <w:pPr>
              <w:pStyle w:val="LO-normal0"/>
              <w:widowControl w:val="false"/>
              <w:spacing w:lineRule="auto" w:line="252" w:before="0" w:after="0"/>
              <w:ind w:left="178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1.01 – 1.25 </w:t>
            </w:r>
          </w:p>
        </w:tc>
        <w:tc>
          <w:tcPr>
            <w:tcW w:w="851" w:type="dxa"/>
            <w:tcBorders/>
          </w:tcPr>
          <w:p>
            <w:pPr>
              <w:pStyle w:val="LO-normal0"/>
              <w:widowControl w:val="false"/>
              <w:spacing w:lineRule="auto" w:line="252" w:before="0" w:after="0"/>
              <w:ind w:left="58" w:hanging="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0.038</w:t>
            </w:r>
          </w:p>
        </w:tc>
      </w:tr>
      <w:tr>
        <w:trPr>
          <w:trHeight w:val="275" w:hRule="atLeast"/>
        </w:trPr>
        <w:tc>
          <w:tcPr>
            <w:tcW w:w="2624" w:type="dxa"/>
            <w:tcBorders/>
          </w:tcPr>
          <w:p>
            <w:pPr>
              <w:pStyle w:val="LO-normal0"/>
              <w:widowControl w:val="false"/>
              <w:spacing w:lineRule="auto" w:line="240" w:before="0" w:after="0"/>
              <w:ind w:left="2" w:hanging="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ADL preoperative</w:t>
            </w:r>
          </w:p>
        </w:tc>
        <w:tc>
          <w:tcPr>
            <w:tcW w:w="2431" w:type="dxa"/>
            <w:tcBorders/>
          </w:tcPr>
          <w:p>
            <w:pPr>
              <w:pStyle w:val="LO-normal0"/>
              <w:widowControl w:val="false"/>
              <w:spacing w:lineRule="auto" w:line="252" w:before="0" w:after="0"/>
              <w:ind w:left="68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3273" w:type="dxa"/>
            <w:tcBorders/>
          </w:tcPr>
          <w:p>
            <w:pPr>
              <w:pStyle w:val="LO-normal0"/>
              <w:widowControl w:val="false"/>
              <w:spacing w:lineRule="auto" w:line="252" w:before="0" w:after="0"/>
              <w:ind w:left="178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0.55 – 2.63</w:t>
            </w:r>
          </w:p>
        </w:tc>
        <w:tc>
          <w:tcPr>
            <w:tcW w:w="851" w:type="dxa"/>
            <w:tcBorders/>
          </w:tcPr>
          <w:p>
            <w:pPr>
              <w:pStyle w:val="LO-normal0"/>
              <w:widowControl w:val="false"/>
              <w:spacing w:lineRule="auto" w:line="252" w:before="0" w:after="0"/>
              <w:ind w:left="58"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0.800</w:t>
            </w:r>
          </w:p>
        </w:tc>
      </w:tr>
      <w:tr>
        <w:trPr>
          <w:trHeight w:val="581" w:hRule="atLeast"/>
        </w:trPr>
        <w:tc>
          <w:tcPr>
            <w:tcW w:w="2624" w:type="dxa"/>
            <w:tcBorders/>
          </w:tcPr>
          <w:p>
            <w:pPr>
              <w:pStyle w:val="LO-normal0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No Neoadjuvant therapy</w:t>
              <w:tab/>
            </w:r>
          </w:p>
        </w:tc>
        <w:tc>
          <w:tcPr>
            <w:tcW w:w="2431" w:type="dxa"/>
            <w:tcBorders/>
          </w:tcPr>
          <w:p>
            <w:pPr>
              <w:pStyle w:val="LO-normal0"/>
              <w:widowControl w:val="false"/>
              <w:spacing w:lineRule="auto" w:line="252" w:before="0" w:after="0"/>
              <w:ind w:left="68"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0.75</w:t>
            </w:r>
          </w:p>
        </w:tc>
        <w:tc>
          <w:tcPr>
            <w:tcW w:w="3273" w:type="dxa"/>
            <w:tcBorders/>
          </w:tcPr>
          <w:p>
            <w:pPr>
              <w:pStyle w:val="LO-normal0"/>
              <w:widowControl w:val="false"/>
              <w:spacing w:lineRule="auto" w:line="252" w:before="0" w:after="0"/>
              <w:ind w:left="68"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0.60 – 0.94</w:t>
            </w:r>
          </w:p>
        </w:tc>
        <w:tc>
          <w:tcPr>
            <w:tcW w:w="851" w:type="dxa"/>
            <w:tcBorders/>
          </w:tcPr>
          <w:p>
            <w:pPr>
              <w:pStyle w:val="LO-normal0"/>
              <w:widowControl w:val="false"/>
              <w:spacing w:lineRule="auto" w:line="252" w:before="0" w:after="0"/>
              <w:ind w:left="58" w:hanging="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0.013</w:t>
            </w:r>
          </w:p>
        </w:tc>
      </w:tr>
      <w:tr>
        <w:trPr>
          <w:trHeight w:val="303" w:hRule="atLeast"/>
        </w:trPr>
        <w:tc>
          <w:tcPr>
            <w:tcW w:w="2624" w:type="dxa"/>
            <w:tcBorders/>
          </w:tcPr>
          <w:p>
            <w:pPr>
              <w:pStyle w:val="LO-normal0"/>
              <w:widowControl w:val="false"/>
              <w:spacing w:lineRule="auto" w:line="259" w:before="24" w:after="0"/>
              <w:ind w:left="1" w:hanging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Observations</w:t>
            </w:r>
          </w:p>
        </w:tc>
        <w:tc>
          <w:tcPr>
            <w:tcW w:w="2431" w:type="dxa"/>
            <w:tcBorders/>
          </w:tcPr>
          <w:p>
            <w:pPr>
              <w:pStyle w:val="LO-normal0"/>
              <w:widowControl w:val="false"/>
              <w:spacing w:lineRule="auto" w:line="259" w:before="24" w:after="0"/>
              <w:ind w:left="61" w:hanging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3273" w:type="dxa"/>
            <w:tcBorders/>
          </w:tcPr>
          <w:p>
            <w:pPr>
              <w:pStyle w:val="LO-normal0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</w:r>
          </w:p>
        </w:tc>
        <w:tc>
          <w:tcPr>
            <w:tcW w:w="851" w:type="dxa"/>
            <w:tcBorders/>
          </w:tcPr>
          <w:p>
            <w:pPr>
              <w:pStyle w:val="LO-normal0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</w:r>
          </w:p>
        </w:tc>
      </w:tr>
    </w:tbl>
    <w:p>
      <w:pPr>
        <w:pStyle w:val="LO-normal0"/>
        <w:spacing w:before="0" w:after="14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LO-normal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LO-normal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LO-normal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LO-normal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LO-normal0"/>
        <w:spacing w:before="0" w:after="20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sectPr>
      <w:type w:val="nextPage"/>
      <w:pgSz w:w="11906" w:h="16838"/>
      <w:pgMar w:left="1134" w:right="1134" w:gutter="0" w:header="0" w:top="1417" w:footer="0" w:bottom="1134"/>
      <w:pgNumType w:start="1" w:fmt="decimal"/>
      <w:formProt w:val="false"/>
      <w:textDirection w:val="lrTb"/>
      <w:docGrid w:type="default" w:linePitch="100" w:charSpace="4096"/>
    </w:sectPr>
  </w:body>
</w:document>
</file>

<file path=word/comments.xml><?xml version="1.0" encoding="utf-8"?>
<w:comment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comment w:id="0" w:author="antonio valenti" w:date="2026-09-03T05:17:00Z" w:initials="av">
    <w:p>
      <w:pPr>
        <w:overflowPunct w:val="true"/>
        <w:spacing w:before="0" w:after="0" w:lineRule="auto" w:line="240"/>
        <w:rPr/>
      </w:pPr>
      <w:r>
        <w:rPr>
          <w:rFonts w:ascii="Liberation Serif" w:hAnsi="Liberation Serif" w:eastAsia="Segoe UI" w:cs="Tahoma"/>
          <w:sz w:val="24"/>
          <w:szCs w:val="24"/>
          <w:lang w:val="en-US" w:eastAsia="en-US" w:bidi="en-US"/>
        </w:rPr>
        <w:t>Forse meglio non specificare la chirurgia, vediamo dopo</w:t>
      </w:r>
    </w:p>
  </w:comment>
  <w:comment w:id="1" w:author="Autore sconosciuto" w:date="2026-09-07T09:14:33Z" w:initials="">
    <w:p>
      <w:pPr>
        <w:overflowPunct w:val="true"/>
        <w:bidi w:val="0"/>
        <w:spacing w:before="0" w:after="0" w:lineRule="auto" w:line="240"/>
        <w:ind w:hanging="0"/>
        <w:jc w:val="left"/>
        <w:rPr/>
      </w:pPr>
      <w:r>
        <w:rPr>
          <w:rFonts w:ascii="Aptos" w:hAnsi="Aptos" w:eastAsia="Aptos" w:cs="Apto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2"/>
          <w:u w:val="none"/>
          <w:shd w:fill="auto" w:val="clear"/>
          <w:vertAlign w:val="baseline"/>
          <w:em w:val="none"/>
          <w:lang w:val="it-IT" w:eastAsia="it-IT" w:bidi="ar-SA"/>
        </w:rPr>
        <w:t>La classificazione di complessità chirurgica è dichiarata “developed for the study”, quindi non validata. Va chiarito chi l’ha definita, prima dell’analisi, e su quale razionale clinico. Idealmente: algoritmo in materiale supplementare</w:t>
      </w:r>
    </w:p>
  </w:comment>
</w:comments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0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Aptos">
    <w:charset w:val="00"/>
    <w:family w:val="roman"/>
    <w:pitch w:val="variable"/>
  </w:font>
  <w:font w:name="Cambria">
    <w:charset w:val="00"/>
    <w:family w:val="roman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Georgia">
    <w:charset w:val="00"/>
    <w:family w:val="roman"/>
    <w:pitch w:val="variable"/>
    <w:embedRegular r:id="rId18" w:fontKey="{12014A78-CABC-4EF0-12AC-5CD89AEFDE12}"/>
    <w:embedBold r:id="rId19" w:fontKey="{13014A78-CABC-4EF0-12AC-5CD89AEFDE13}"/>
    <w:embedItalic r:id="rId20" w:fontKey="{14014A78-CABC-4EF0-12AC-5CD89AEFDE14}"/>
    <w:embedBoldItalic r:id="rId21" w:fontKey="{15014A78-CABC-4EF0-12AC-5CD89AEFDE15}"/>
  </w:font>
</w:fonts>
</file>

<file path=word/settings.xml><?xml version="1.0" encoding="utf-8"?>
<w:settings xmlns:w="http://schemas.openxmlformats.org/wordprocessingml/2006/main">
  <w:zoom w:percent="160"/>
  <w:embedTrueTypeFonts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Aptos"/>
        <w:sz w:val="22"/>
        <w:szCs w:val="22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Aptos" w:hAnsi="Aptos" w:eastAsia="Aptos" w:cs="Aptos"/>
      <w:color w:val="auto"/>
      <w:kern w:val="0"/>
      <w:sz w:val="22"/>
      <w:szCs w:val="22"/>
      <w:lang w:val="it-IT" w:eastAsia="it-IT" w:bidi="ar-SA"/>
    </w:rPr>
  </w:style>
  <w:style w:type="paragraph" w:styleId="Titolo1">
    <w:name w:val="Heading 1"/>
    <w:basedOn w:val="Normal"/>
    <w:next w:val="Normal"/>
    <w:uiPriority w:val="9"/>
    <w:qFormat/>
    <w:pPr>
      <w:keepNext w:val="true"/>
      <w:keepLines/>
      <w:spacing w:lineRule="auto" w:line="240"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"/>
    <w:next w:val="Normal"/>
    <w:uiPriority w:val="9"/>
    <w:unhideWhenUsed/>
    <w:qFormat/>
    <w:pPr>
      <w:keepNext w:val="true"/>
      <w:keepLines/>
      <w:spacing w:lineRule="auto" w:line="240" w:before="200" w:after="0"/>
      <w:outlineLvl w:val="1"/>
    </w:pPr>
    <w:rPr>
      <w:rFonts w:ascii="Cambria" w:hAnsi="Cambria" w:eastAsia="Cambria" w:cs="Cambria"/>
      <w:b/>
      <w:bCs/>
      <w:color w:val="4F81BD"/>
      <w:sz w:val="26"/>
      <w:szCs w:val="26"/>
    </w:rPr>
  </w:style>
  <w:style w:type="paragraph" w:styleId="Titolo3">
    <w:name w:val="Heading 3"/>
    <w:basedOn w:val="Normal"/>
    <w:next w:val="Normal"/>
    <w:uiPriority w:val="9"/>
    <w:semiHidden/>
    <w:unhideWhenUsed/>
    <w:qFormat/>
    <w:pPr>
      <w:keepNext w:val="true"/>
      <w:spacing w:lineRule="auto" w:line="240" w:before="140" w:after="120"/>
      <w:outlineLvl w:val="2"/>
    </w:pPr>
    <w:rPr>
      <w:rFonts w:ascii="Liberation Serif" w:hAnsi="Liberation Serif" w:eastAsia="Liberation Serif" w:cs="Liberation Serif"/>
      <w:b/>
      <w:bCs/>
      <w:color w:val="000000"/>
      <w:sz w:val="28"/>
      <w:szCs w:val="28"/>
    </w:rPr>
  </w:style>
  <w:style w:type="paragraph" w:styleId="Titolo4">
    <w:name w:val="Heading 4"/>
    <w:basedOn w:val="Normal"/>
    <w:next w:val="Normal"/>
    <w:uiPriority w:val="9"/>
    <w:semiHidden/>
    <w:unhideWhenUsed/>
    <w:qFormat/>
    <w:pPr>
      <w:keepNext w:val="true"/>
      <w:keepLines/>
      <w:spacing w:lineRule="auto" w:line="240"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"/>
    <w:next w:val="Normal"/>
    <w:uiPriority w:val="9"/>
    <w:semiHidden/>
    <w:unhideWhenUsed/>
    <w:qFormat/>
    <w:pPr>
      <w:keepNext w:val="true"/>
      <w:keepLines/>
      <w:spacing w:lineRule="auto" w:line="240" w:before="220" w:after="40"/>
      <w:outlineLvl w:val="4"/>
    </w:pPr>
    <w:rPr>
      <w:b/>
      <w:bCs/>
    </w:rPr>
  </w:style>
  <w:style w:type="paragraph" w:styleId="Titolo6">
    <w:name w:val="Heading 6"/>
    <w:basedOn w:val="Normal"/>
    <w:next w:val="Normal"/>
    <w:uiPriority w:val="9"/>
    <w:semiHidden/>
    <w:unhideWhenUsed/>
    <w:qFormat/>
    <w:pPr>
      <w:keepNext w:val="true"/>
      <w:keepLines/>
      <w:spacing w:lineRule="auto" w:line="240" w:before="200" w:after="40"/>
      <w:outlineLvl w:val="5"/>
    </w:pPr>
    <w:rPr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olo3Carattere" w:customStyle="1">
    <w:name w:val="Titolo 3 Carattere"/>
    <w:basedOn w:val="DefaultParagraphFont"/>
    <w:qFormat/>
    <w:rsid w:val="00833431"/>
    <w:rPr>
      <w:rFonts w:ascii="Liberation Serif" w:hAnsi="Liberation Serif" w:eastAsia="Liberation Serif" w:cs="Liberation Serif"/>
      <w:b/>
      <w:bCs/>
      <w:sz w:val="28"/>
      <w:szCs w:val="28"/>
      <w:lang w:eastAsia="it-IT"/>
    </w:rPr>
  </w:style>
  <w:style w:type="character" w:styleId="TestofumettoCarattere" w:customStyle="1">
    <w:name w:val="Testo fumetto Carattere"/>
    <w:basedOn w:val="DefaultParagraphFont"/>
    <w:link w:val="BalloonText"/>
    <w:uiPriority w:val="99"/>
    <w:semiHidden/>
    <w:qFormat/>
    <w:rsid w:val="00833431"/>
    <w:rPr>
      <w:rFonts w:ascii="Tahoma" w:hAnsi="Tahoma" w:eastAsia="Aptos" w:cs="Tahoma"/>
      <w:sz w:val="16"/>
      <w:szCs w:val="16"/>
      <w:lang w:eastAsia="it-IT"/>
    </w:rPr>
  </w:style>
  <w:style w:type="character" w:styleId="Titolo2Carattere" w:customStyle="1">
    <w:name w:val="Titolo 2 Carattere"/>
    <w:basedOn w:val="DefaultParagraphFont"/>
    <w:uiPriority w:val="9"/>
    <w:semiHidden/>
    <w:qFormat/>
    <w:rsid w:val="00833431"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  <w:lang w:eastAsia="it-IT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9f095c"/>
    <w:rPr>
      <w:sz w:val="16"/>
      <w:szCs w:val="16"/>
    </w:rPr>
  </w:style>
  <w:style w:type="character" w:styleId="TestocommentoCarattere" w:customStyle="1">
    <w:name w:val="Testo commento Carattere"/>
    <w:basedOn w:val="DefaultParagraphFont"/>
    <w:link w:val="Annotationtext"/>
    <w:uiPriority w:val="99"/>
    <w:qFormat/>
    <w:rsid w:val="009f095c"/>
    <w:rPr>
      <w:rFonts w:ascii="Aptos" w:hAnsi="Aptos" w:eastAsia="Aptos" w:cs="Aptos"/>
      <w:sz w:val="20"/>
      <w:szCs w:val="20"/>
      <w:lang w:eastAsia="it-IT"/>
    </w:rPr>
  </w:style>
  <w:style w:type="character" w:styleId="Strong">
    <w:name w:val="Strong"/>
    <w:uiPriority w:val="22"/>
    <w:qFormat/>
    <w:rPr>
      <w:b/>
      <w:bCs/>
    </w:rPr>
  </w:style>
  <w:style w:type="character" w:styleId="SoggettocommentoCarattere" w:customStyle="1">
    <w:name w:val="Soggetto commento Carattere"/>
    <w:basedOn w:val="TestocommentoCarattere"/>
    <w:link w:val="Annotationsubject"/>
    <w:uiPriority w:val="99"/>
    <w:semiHidden/>
    <w:qFormat/>
    <w:rsid w:val="00b81995"/>
    <w:rPr>
      <w:rFonts w:ascii="Aptos" w:hAnsi="Aptos" w:eastAsia="Aptos" w:cs="Aptos"/>
      <w:b/>
      <w:bCs/>
      <w:sz w:val="20"/>
      <w:szCs w:val="20"/>
      <w:lang w:eastAsia="it-IT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 w:customStyle="1">
    <w:name w:val="Indice"/>
    <w:basedOn w:val="Normal"/>
    <w:qFormat/>
    <w:pPr>
      <w:suppressLineNumbers/>
    </w:pPr>
    <w:rPr>
      <w:rFonts w:cs="Arial"/>
    </w:rPr>
  </w:style>
  <w:style w:type="paragraph" w:styleId="Titoloprincipale">
    <w:name w:val="Title"/>
    <w:basedOn w:val="Normal"/>
    <w:next w:val="Corpodeltesto"/>
    <w:uiPriority w:val="10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ption">
    <w:name w:val="caption"/>
    <w:qFormat/>
    <w:pPr>
      <w:widowControl/>
      <w:suppressLineNumbers/>
      <w:suppressAutoHyphens w:val="true"/>
      <w:bidi w:val="0"/>
      <w:spacing w:lineRule="auto" w:line="276" w:before="120" w:after="120"/>
      <w:jc w:val="left"/>
    </w:pPr>
    <w:rPr>
      <w:rFonts w:ascii="Aptos" w:hAnsi="Aptos" w:eastAsia="Aptos" w:cs="Arial"/>
      <w:i/>
      <w:iCs/>
      <w:color w:val="auto"/>
      <w:kern w:val="0"/>
      <w:sz w:val="24"/>
      <w:szCs w:val="24"/>
      <w:lang w:val="it-IT" w:eastAsia="zh-CN" w:bidi="hi-IN"/>
    </w:rPr>
  </w:style>
  <w:style w:type="paragraph" w:styleId="LO-normal0" w:customStyle="1">
    <w:name w:val="LO-normal0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Aptos" w:hAnsi="Aptos" w:eastAsia="Aptos" w:cs="Aptos"/>
      <w:color w:val="auto"/>
      <w:kern w:val="0"/>
      <w:sz w:val="22"/>
      <w:szCs w:val="22"/>
      <w:lang w:val="it-IT" w:eastAsia="zh-CN" w:bidi="hi-IN"/>
    </w:rPr>
  </w:style>
  <w:style w:type="paragraph" w:styleId="LO-normal" w:customStyle="1">
    <w:name w:val="LO-normal"/>
    <w:qFormat/>
    <w:rsid w:val="00833431"/>
    <w:pPr>
      <w:widowControl/>
      <w:suppressAutoHyphens w:val="true"/>
      <w:bidi w:val="0"/>
      <w:spacing w:lineRule="auto" w:line="276" w:before="0" w:after="20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it-IT" w:eastAsia="it-IT" w:bidi="hi-IN"/>
    </w:rPr>
  </w:style>
  <w:style w:type="paragraph" w:styleId="BalloonText">
    <w:name w:val="Balloon Text"/>
    <w:link w:val="TestofumettoCarattere"/>
    <w:uiPriority w:val="99"/>
    <w:semiHidden/>
    <w:unhideWhenUsed/>
    <w:qFormat/>
    <w:rsid w:val="00833431"/>
    <w:pPr>
      <w:widowControl/>
      <w:suppressAutoHyphens w:val="true"/>
      <w:bidi w:val="0"/>
      <w:spacing w:lineRule="auto" w:line="240" w:before="0" w:after="0"/>
      <w:jc w:val="left"/>
    </w:pPr>
    <w:rPr>
      <w:rFonts w:ascii="Tahoma" w:hAnsi="Tahoma" w:eastAsia="Aptos" w:cs="Tahoma"/>
      <w:color w:val="auto"/>
      <w:kern w:val="0"/>
      <w:sz w:val="16"/>
      <w:szCs w:val="16"/>
      <w:lang w:val="it-IT" w:eastAsia="zh-CN" w:bidi="hi-IN"/>
    </w:rPr>
  </w:style>
  <w:style w:type="paragraph" w:styleId="Contenutotabella" w:customStyle="1">
    <w:name w:val="Contenuto tabella"/>
    <w:basedOn w:val="Normal"/>
    <w:qFormat/>
    <w:pPr>
      <w:widowControl w:val="false"/>
      <w:suppressLineNumbers/>
    </w:pPr>
    <w:rPr/>
  </w:style>
  <w:style w:type="paragraph" w:styleId="Titolotabella" w:customStyle="1">
    <w:name w:val="Titolo tabella"/>
    <w:basedOn w:val="Contenutotabella"/>
    <w:qFormat/>
    <w:pPr>
      <w:jc w:val="center"/>
    </w:pPr>
    <w:rPr>
      <w:b/>
      <w:bCs/>
    </w:rPr>
  </w:style>
  <w:style w:type="paragraph" w:styleId="Annotationtext">
    <w:name w:val="annotation text"/>
    <w:link w:val="TestocommentoCarattere"/>
    <w:uiPriority w:val="99"/>
    <w:unhideWhenUsed/>
    <w:qFormat/>
    <w:rsid w:val="009f095c"/>
    <w:pPr>
      <w:widowControl/>
      <w:suppressAutoHyphens w:val="true"/>
      <w:bidi w:val="0"/>
      <w:spacing w:lineRule="auto" w:line="240" w:before="0" w:after="200"/>
      <w:jc w:val="left"/>
    </w:pPr>
    <w:rPr>
      <w:rFonts w:ascii="Aptos" w:hAnsi="Aptos" w:eastAsia="Aptos" w:cs="Aptos"/>
      <w:color w:val="auto"/>
      <w:kern w:val="0"/>
      <w:sz w:val="20"/>
      <w:szCs w:val="20"/>
      <w:lang w:val="it-IT" w:eastAsia="zh-CN" w:bidi="hi-IN"/>
    </w:rPr>
  </w:style>
  <w:style w:type="paragraph" w:styleId="Normale1" w:customStyle="1">
    <w:name w:val="Normale1"/>
    <w:qFormat/>
    <w:rsid w:val="008a5ea2"/>
    <w:pPr>
      <w:widowControl/>
      <w:suppressAutoHyphens w:val="true"/>
      <w:bidi w:val="0"/>
      <w:spacing w:lineRule="auto" w:line="276" w:before="0" w:after="20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it-IT" w:eastAsia="it-IT" w:bidi="hi-IN"/>
    </w:rPr>
  </w:style>
  <w:style w:type="paragraph" w:styleId="TableParagraph" w:customStyle="1">
    <w:name w:val="Table Paragraph"/>
    <w:uiPriority w:val="1"/>
    <w:qFormat/>
    <w:rsid w:val="008a5ea2"/>
    <w:pPr>
      <w:widowControl w:val="false"/>
      <w:suppressAutoHyphens w:val="true"/>
      <w:bidi w:val="0"/>
      <w:spacing w:lineRule="auto" w:line="240" w:before="0" w:after="0"/>
      <w:ind w:left="1" w:hanging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it-IT" w:eastAsia="en-US" w:bidi="hi-IN"/>
    </w:rPr>
  </w:style>
  <w:style w:type="paragraph" w:styleId="Sottotitolo">
    <w:name w:val="Subtitle"/>
    <w:basedOn w:val="Normal"/>
    <w:next w:val="Normal"/>
    <w:uiPriority w:val="11"/>
    <w:qFormat/>
    <w:pPr>
      <w:keepNext w:val="true"/>
      <w:keepLines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Annotationsubject">
    <w:name w:val="annotation subject"/>
    <w:basedOn w:val="Annotationtext"/>
    <w:next w:val="Annotationtext"/>
    <w:link w:val="SoggettocommentoCarattere"/>
    <w:uiPriority w:val="99"/>
    <w:semiHidden/>
    <w:unhideWhenUsed/>
    <w:qFormat/>
    <w:rsid w:val="00b81995"/>
    <w:pPr/>
    <w:rPr>
      <w:b/>
      <w:bCs/>
      <w:lang w:val="it-IT" w:eastAsia="it-IT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uiPriority w:val="2"/>
    <w:semiHidden/>
    <w:unhideWhenUsed/>
    <w:qFormat/>
    <w:rsid w:val="009f095c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comments" Target="comment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Relationship Id="rId7" Type="http://schemas.openxmlformats.org/officeDocument/2006/relationships/customXml" Target="../customXml/item2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
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9tz3jg7L+HX5waJJZwfPb9xjyxA==">CgMxLjAaJQoBMBIgCh4IB0IaCg9UaW1lcyBOZXcgUm9tYW4SB0d1bmdzdWgaJQoBMRIgCh4IB0IaCg9UaW1lcyBOZXcgUm9tYW4SB0d1bmdzdWgaJQoBMhIgCh4IB0IaCg9UaW1lcyBOZXcgUm9tYW4SB0d1bmdzdWgaJwoBMxIiCiAIBCocCgtBQUFDR1hFbEtkRRAIGgtBQUFDR1hFbEtkRRonCgE0EiIKIAgEKhwKC0FBQUNHWEVsS2RNEAgaC0FBQUNHWEVsS2RNIvoECgtBQUFDR1hFbEtkTRLKBAoLQUFBQ0dYRWxLZE0SC0FBQUNHWEVsS2RNGpcBCgl0ZXh0L2h0bWwSiQFuZWkgTWV0b2RpIGRpY2hpYXJpYW1vIGxhIGNvbXBsZXNzaXTDoCBjaGlydXJnaWNhIGNvbWUgdmFyaWFiaWxlIGRpIGFnZ2l1c3RhbWVudG8sIG1hIHF1aSBub24gY29tcGFyZSBuZWwgbW9kZWxsby4gUmltdW92aWFtbyBkYWkgbWV0b2RpPyKYAQoKdGV4dC9wbGFpbhKJAW5laSBNZXRvZGkgZGljaGlhcmlhbW8gbGEgY29tcGxlc3NpdMOgIGNoaXJ1cmdpY2EgY29tZSB2YXJpYWJpbGUgZGkgYWdnaXVzdGFtZW50bywgbWEgcXVpIG5vbiBjb21wYXJlIG5lbCBtb2RlbGxvLiBSaW11b3ZpYW1vIGRhaSBtZXRvZGk/KhsiFTExMDIxMzc4MzgwNjA3NjcxMDUzNCgAOAAw+bfIk4Y0OPm3yJOGNEohCgp0ZXh0L3BsYWluEhNSMiBOYWdlbGtlcmtlCjAuMTkxWgxkazN1dG9wZTVwbGZyAiAAeACaAQYIABAAGACqAYwBEokBbmVpIE1ldG9kaSBkaWNoaWFyaWFtbyBsYSBjb21wbGVzc2l0w6AgY2hpcnVyZ2ljYSBjb21lIHZhcmlhYmlsZSBkaSBhZ2dpdXN0YW1lbnRvLCBtYSBxdWkgbm9uIGNvbXBhcmUgbmVsIG1vZGVsbG8uIFJpbXVvdmlhbW8gZGFpIG1ldG9kaT8Y+bfIk4Y0IPm3yJOGNEIQa2l4LmQyc28wYXhxcnNzNiKwMAoLQUFBQ0dYRWxLZEUSgDAKC0FBQUNHWEVsS2RFEgtBQUFDR1hFbEtkRRrkDwoJdGV4dC9odG1sEtYPTmVsIGNvbXBsZXNzbywgaWwgbW9kZWxsbyBpbmRpY2EgY2hlIGlsIG51bWVybyBjdW11bGF0aXZvIGRpIGJpc29nbmkgbm9uIHNvZGRpc2ZhdHRpIGx1bmdvIGlsIHBlcmNvcnNvIGRpIENhc2UgTWFuYWdlbWVudCDDqCBhc3NvY2lhdG8gaW5kaXBlbmRlbnRlbWVudGUgYSBkdWUgZmF0dG9yaTo8YnI+PGJyPkNvbW9yYmlkaXTDoDogcGVyIG9nbmkgY29tb3JiaWRpdMOgIGFnZ2l1bnRpdmEsIGlsIG51bWVybyBhdHRlc28gZGkgYmlzb2duaSBub24gc29kZGlzZmF0dGkgYXVtZW50YSBkZWwgMTIlIChJUlIgMS4xMjsgSUM5NSUgMS4wMeKAkzEuMjU7IHAgPSAwLjAzOCkuPGJyPkFzc2VuemEgZGkgdGVyYXBpYSBuZW9hZGl1dmFudGU6IGkgcGF6aWVudGkgc2VuemEgbmVvYWRpdXZhbnRlIGhhbm5vIHVuIG51bWVybyBhdHRlc28gZGkgYmlzb2duaSBub24gc29kZGlzZmF0dGkgaW5mZXJpb3JlIGRlbCAyNSUgcmlzcGV0dG8gYSBxdWVsbGkgdHJhdHRhdGkgY29uIG5lb2FkaXV2YW50ZSAoSVJSIDAuNzU7IElDOTUlIDAuNjDigJMwLjk0OyBwID0gMC4wMTMpLiBEZXR0byBkYWxs4oCZYWx0cm8gbGF0bzogY2hpIHJpY2V2ZSBuZW9hZGl1dmFudGUgaGEgdW4gdGFzc28gYXR0ZXNvIGRpIGJpc29nbmkgbm9uIHNvZGRpc2ZhdHRpIGNpcmNhIDMzJSBwacO5IGFsdG8uPGJyPjxicj5FdMOgLCBhdXRvbm9taWEgbmVsbGUgQURMIGUgSUFETCBlIFdITyBQZXJmb3JtYW5jZSBTdGF0dXMgbm9uIG1vc3RyYW5vIGFzc29jaWF6aW9uaSBzdGF0aXN0aWNhbWVudGUgc2lnbmlmaWNhdGl2ZSBjb24gbOKAmWVzaXRvLiBRdWVzdG8gbm9uIGRpbW9zdHJhIGNoZSBzaWFubyBpcnJpbGV2YW50aTogbmVsIGNhbXBpb25lIGhhbm5vIHZlcm9zaW1pbG1lbnRlIHBvY2EgdmFyaWFiaWxpdMOgIGUgZ2xpIGludGVydmFsbGkgZGkgY29uZmlkZW56YSwgc29wcmF0dHV0dG8gcGVyIEFETCwgc29ubyBhbXBpLjxicj48YnI+TOKAmWludGVycHJldGF6aW9uZSBjbGluaWNhIMOoIGxpbmVhcmU6IGkgYmlzb2duaSBjaGUgcmVzdGFubyBzZW56YSByaXNwb3N0YSBub24gc2VtYnJhbm8gZGlwZW5kZXJlIHRhbnRvIGRhbGzigJlldMOgIG8gZGFsbGEgZnVuemlvbmFsaXTDoCBpbml6aWFsZSwgcXVhbnRvIGRhbGxhIG11bHRpbW9yYmlkaXTDoCBlIGRhbGxhIG1hZ2dpb3JlIGNvbXBsZXNzaXTDoCBkZWwgcGVyY29yc28gb25jb2xvZ2ljby10ZXJhcGV1dGljbyBjaGUgY2FyYXR0ZXJpenphIGxlIHBhemllbnRpIHNvdHRvcG9zdGUgYSBuZW9hZGl1dmFudGUuPGJyPjxicj5JbCBtb2RlbGxvIHNwaWVnYSB1bmEgcXVvdGEgbW9kZXJhdGEgZGVsbGEgdmFyaWFiaWxpdMOgIGRlbGzigJllc2l0byAocHNldWRvLVLCsiBkaSBOYWdlbGtlcmtlID0gMC4xOTEpOiBpbmRpdmlkdWEgc2VnbmFsaSBjcmVkaWJpbGksIG1hIG5vbiBlc2F1cmlzY2UgaSBkZXRlcm1pbmFudGkgZGVpIGJpc29nbmkgbm9uIHNvZGRpc2ZhdHRpLjxicj48YnI+UGVyIGlsIG1hbm9zY3JpdHRvOjxicj48YnI+SW4gdGhlIG11bHRpdmFyaWFibGUgUG9pc3NvbiByZWdyZXNzaW9uIG1vZGVsLCBhIGhpZ2hlciBjb21vcmJpZGl0eSBjb3VudCB3YXMgYXNzb2NpYXRlZCB3aXRoIGFuIGluY3JlYXNlZCByYXRlIG9mIHVubWV0IG5lZWRzIGFjcm9zcyB0aGUgQ2FzZSBNYW5hZ2VtZW50IHBhdGh3YXkgKElSUiAxLjEyLCA5NSUgQ0kgMS4wMeKAkzEuMjU7IHAgPSAwLjAzOCkuIENvbnZlcnNlbHksIHBhdGllbnRzIHdobyBkaWQgbm90IHJlY2VpdmUgbmVvYWRqdXZhbnQgdGhlcmFweSBoYWQgYSBsb3dlciBleHBlY3RlZCByYXRlIG9mIHVubWV0IG5lZWRzIHRoYW4gdGhvc2UgcmVjZWl2aW5nIG5lb2FkanV2YW50IHRoZXJhcHkgKElSUiAwLjc1LCA5NSUgQ0kgMC42MOKAkzAuOTQ7IHAgPSAwLjAxMykuIEFnZSwgcHJlb3BlcmF0aXZlIGZ1bmN0aW9uYWwgc3RhdHVzLCBhbmQgV0hPIFBlcmZvcm1hbmNlIFN0YXR1cyB3ZXJlIG5vdCBzaWduaWZpY2FudGx5IGFzc29jaWF0ZWQgd2l0aCB1bm1ldCBuZWVkcy4ivg8KCnRleHQvcGxhaW4Srw9OZWwgY29tcGxlc3NvLCBpbCBtb2RlbGxvIGluZGljYSBjaGUgaWwgbnVtZXJvIGN1bXVsYXRpdm8gZGkgYmlzb2duaSBub24gc29kZGlzZmF0dGkgbHVuZ28gaWwgcGVyY29yc28gZGkgQ2FzZSBNYW5hZ2VtZW50IMOoIGFzc29jaWF0byBpbmRpcGVuZGVudGVtZW50ZSBhIGR1ZSBmYXR0b3JpOgoKQ29tb3JiaWRpdMOgOiBwZXIgb2duaSBjb21vcmJpZGl0w6AgYWdnaXVudGl2YSwgaWwgbnVtZXJvIGF0dGVzbyBkaSBiaXNvZ25pIG5vbiBzb2RkaXNmYXR0aSBhdW1lbnRhIGRlbCAxMiUgKElSUiAxLjEyOyBJQzk1JSAxLjAx4oCTMS4yNTsgcCA9IDAuMDM4KS4KQXNzZW56YSBkaSB0ZXJhcGlhIG5lb2FkaXV2YW50ZTogaSBwYXppZW50aSBzZW56YSBuZW9hZGl1dmFudGUgaGFubm8gdW4gbnVtZXJvIGF0dGVzbyBkaSBiaXNvZ25pIG5vbiBzb2RkaXNmYXR0aSBpbmZlcmlvcmUgZGVsIDI1JSByaXNwZXR0byBhIHF1ZWxsaSB0cmF0dGF0aSBjb24gbmVvYWRpdXZhbnRlIChJUlIgMC43NTsgSUM5NSUgMC42MOKAkzAuOTQ7IHAgPSAwLjAxMykuIERldHRvIGRhbGzigJlhbHRybyBsYXRvOiBjaGkgcmljZXZlIG5lb2FkaXV2YW50ZSBoYSB1biB0YXNzbyBhdHRlc28gZGkgYmlzb2duaSBub24gc29kZGlzZmF0dGkgY2lyY2EgMzMlIHBpw7kgYWx0by4KCkV0w6AsIGF1dG9ub21pYSBuZWxsZSBBREwgZSBJQURMIGUgV0hPIFBlcmZvcm1hbmNlIFN0YXR1cyBub24gbW9zdHJhbm8gYXNzb2NpYXppb25pIHN0YXRpc3RpY2FtZW50ZSBzaWduaWZpY2F0aXZlIGNvbiBs4oCZZXNpdG8uIFF1ZXN0byBub24gZGltb3N0cmEgY2hlIHNpYW5vIGlycmlsZXZhbnRpOiBuZWwgY2FtcGlvbmUgaGFubm8gdmVyb3NpbWlsbWVudGUgcG9jYSB2YXJpYWJpbGl0w6AgZSBnbGkgaW50ZXJ2YWxsaSBkaSBjb25maWRlbnphLCBzb3ByYXR0dXR0byBwZXIgQURMLCBzb25vIGFtcGkuCgpM4oCZaW50ZXJwcmV0YXppb25lIGNsaW5pY2Egw6ggbGluZWFyZTogaSBiaXNvZ25pIGNoZSByZXN0YW5vIHNlbnphIHJpc3Bvc3RhIG5vbiBzZW1icmFubyBkaXBlbmRlcmUgdGFudG8gZGFsbOKAmWV0w6AgbyBkYWxsYSBmdW56aW9uYWxpdMOgIGluaXppYWxlLCBxdWFudG8gZGFsbGEgbXVsdGltb3JiaWRpdMOgIGUgZGFsbGEgbWFnZ2lvcmUgY29tcGxlc3NpdMOgIGRlbCBwZXJjb3JzbyBvbmNvbG9naWNvLXRlcmFwZXV0aWNvIGNoZSBjYXJhdHRlcml6emEgbGUgcGF6aWVudGkgc290dG9wb3N0ZSBhIG5lb2FkaXV2YW50ZS4KCklsIG1vZGVsbG8gc3BpZWdhIHVuYSBxdW90YSBtb2RlcmF0YSBkZWxsYSB2YXJpYWJpbGl0w6AgZGVsbOKAmWVzaXRvIChwc2V1ZG8tUsKyIGRpIE5hZ2Vsa2Vya2UgPSAwLjE5MSk6IGluZGl2aWR1YSBzZWduYWxpIGNyZWRpYmlsaSwgbWEgbm9uIGVzYXVyaXNjZSBpIGRldGVybWluYW50aSBkZWkgYmlzb2duaSBub24gc29kZGlzZmF0dGkuCgpQZXIgaWwgbWFub3Njcml0dG86CgpJbiB0aGUgbXVsdGl2YXJpYWJsZSBQb2lzc29uIHJlZ3Jlc3Npb24gbW9kZWwsIGEgaGlnaGVyIGNvbW9yYmlkaXR5IGNvdW50IHdhcyBhc3NvY2lhdGVkIHdpdGggYW4gaW5jcmVhc2VkIHJhdGUgb2YgdW5tZXQgbmVlZHMgYWNyb3NzIHRoZSBDYXNlIE1hbmFnZW1lbnQgcGF0aHdheSAoSVJSIDEuMTIsIDk1JSBDSSAxLjAx4oCTMS4yNTsgcCA9IDAuMDM4KS4gQ29udmVyc2VseSwgcGF0aWVudHMgd2hvIGRpZCBub3QgcmVjZWl2ZSBuZW9hZGp1dmFudCB0aGVyYXB5IGhhZCBhIGxvd2VyIGV4cGVjdGVkIHJhdGUgb2YgdW5tZXQgbmVlZHMgdGhhbiB0aG9zZSByZWNlaXZpbmcgbmVvYWRqdXZhbnQgdGhlcmFweSAoSVJSIDAuNzUsIDk1JSBDSSAwLjYw4oCTMC45NDsgcCA9IDAuMDEzKS4gQWdlLCBwcmVvcGVyYXRpdmUgZnVuY3Rpb25hbCBzdGF0dXMsIGFuZCBXSE8gUGVyZm9ybWFuY2UgU3RhdHVzIHdlcmUgbm90IHNpZ25pZmljYW50bHkgYXNzb2NpYXRlZCB3aXRoIHVubWV0IG5lZWRzLiobIhUxMTAyMTM3ODM4MDYwNzY3MTA1MzQoADgAMOWnxZOGNDjlp8WThjRKGAoKdGV4dC9wbGFpbhIKdGhyb3VnaG91dFoLamg2NDdrY3R6cm5yAiAAeACaAQYIABAAGACqAdkPEtYPTmVsIGNvbXBsZXNzbywgaWwgbW9kZWxsbyBpbmRpY2EgY2hlIGlsIG51bWVybyBjdW11bGF0aXZvIGRpIGJpc29nbmkgbm9uIHNvZGRpc2ZhdHRpIGx1bmdvIGlsIHBlcmNvcnNvIGRpIENhc2UgTWFuYWdlbWVudCDDqCBhc3NvY2lhdG8gaW5kaXBlbmRlbnRlbWVudGUgYSBkdWUgZmF0dG9yaTo8YnI+PGJyPkNvbW9yYmlkaXTDoDogcGVyIG9nbmkgY29tb3JiaWRpdMOgIGFnZ2l1bnRpdmEsIGlsIG51bWVybyBhdHRlc28gZGkgYmlzb2duaSBub24gc29kZGlzZmF0dGkgYXVtZW50YSBkZWwgMTIlIChJUlIgMS4xMjsgSUM5NSUgMS4wMeKAkzEuMjU7IHAgPSAwLjAzOCkuPGJyPkFzc2VuemEgZGkgdGVyYXBpYSBuZW9hZGl1dmFudGU6IGkgcGF6aWVudGkgc2VuemEgbmVvYWRpdXZhbnRlIGhhbm5vIHVuIG51bWVybyBhdHRlc28gZGkgYmlzb2duaSBub24gc29kZGlzZmF0dGkgaW5mZXJpb3JlIGRlbCAyNSUgcmlzcGV0dG8gYSBxdWVsbGkgdHJhdHRhdGkgY29uIG5lb2FkaXV2YW50ZSAoSVJSIDAuNzU7IElDOTUlIDAuNjDigJMwLjk0OyBwID0gMC4wMTMpLiBEZXR0byBkYWxs4oCZYWx0cm8gbGF0bzogY2hpIHJpY2V2ZSBuZW9hZGl1dmFudGUgaGEgdW4gdGFzc28gYXR0ZXNvIGRpIGJpc29nbmkgbm9uIHNvZGRpc2ZhdHRpIGNpcmNhIDMzJSBwacO5IGFsdG8uPGJyPjxicj5FdMOgLCBhdXRvbm9taWEgbmVsbGUgQURMIGUgSUFETCBlIFdITyBQZXJmb3JtYW5jZSBTdGF0dXMgbm9uIG1vc3RyYW5vIGFzc29jaWF6aW9uaSBzdGF0aXN0aWNhbWVudGUgc2lnbmlmaWNhdGl2ZSBjb24gbOKAmWVzaXRvLiBRdWVzdG8gbm9uIGRpbW9zdHJhIGNoZSBzaWFubyBpcnJpbGV2YW50aTogbmVsIGNhbXBpb25lIGhhbm5vIHZlcm9zaW1pbG1lbnRlIHBvY2EgdmFyaWFiaWxpdMOgIGUgZ2xpIGludGVydmFsbGkgZGkgY29uZmlkZW56YSwgc29wcmF0dHV0dG8gcGVyIEFETCwgc29ubyBhbXBpLjxicj48YnI+TOKAmWludGVycHJldGF6aW9uZSBjbGluaWNhIMOoIGxpbmVhcmU6IGkgYmlzb2duaSBjaGUgcmVzdGFubyBzZW56YSByaXNwb3N0YSBub24gc2VtYnJhbm8gZGlwZW5kZXJlIHRhbnRvIGRhbGzigJlldMOgIG8gZGFsbGEgZnVuemlvbmFsaXTDoCBpbml6aWFsZSwgcXVhbnRvIGRhbGxhIG11bHRpbW9yYmlkaXTDoCBlIGRhbGxhIG1hZ2dpb3JlIGNvbXBsZXNzaXTDoCBkZWwgcGVyY29yc28gb25jb2xvZ2ljby10ZXJhcGV1dGljbyBjaGUgY2FyYXR0ZXJpenphIGxlIHBhemllbnRpIHNvdHRvcG9zdGUgYSBuZW9hZGl1dmFudGUuPGJyPjxicj5JbCBtb2RlbGxvIHNwaWVnYSB1bmEgcXVvdGEgbW9kZXJhdGEgZGVsbGEgdmFyaWFiaWxpdMOgIGRlbGzigJllc2l0byAocHNldWRvLVLCsiBkaSBOYWdlbGtlcmtlID0gMC4xOTEpOiBpbmRpdmlkdWEgc2VnbmFsaSBjcmVkaWJpbGksIG1hIG5vbiBlc2F1cmlzY2UgaSBkZXRlcm1pbmFudGkgZGVpIGJpc29nbmkgbm9uIHNvZGRpc2ZhdHRpLjxicj48YnI+UGVyIGlsIG1hbm9zY3JpdHRvOjxicj48YnI+SW4gdGhlIG11bHRpdmFyaWFibGUgUG9pc3NvbiByZWdyZXNzaW9uIG1vZGVsLCBhIGhpZ2hlciBjb21vcmJpZGl0eSBjb3VudCB3YXMgYXNzb2NpYXRlZCB3aXRoIGFuIGluY3JlYXNlZCByYXRlIG9mIHVubWV0IG5lZWRzIGFjcm9zcyB0aGUgQ2FzZSBNYW5hZ2VtZW50IHBhdGh3YXkgKElSUiAxLjEyLCA5NSUgQ0kgMS4wMeKAkzEuMjU7IHAgPSAwLjAzOCkuIENvbnZlcnNlbHksIHBhdGllbnRzIHdobyBkaWQgbm90IHJlY2VpdmUgbmVvYWRqdXZhbnQgdGhlcmFweSBoYWQgYSBsb3dlciBleHBlY3RlZCByYXRlIG9mIHVubWV0IG5lZWRzIHRoYW4gdGhvc2UgcmVjZWl2aW5nIG5lb2FkanV2YW50IHRoZXJhcHkgKElSUiAwLjc1LCA5NSUgQ0kgMC42MOKAkzAuOTQ7IHAgPSAwLjAxMykuIEFnZSwgcHJlb3BlcmF0aXZlIGZ1bmN0aW9uYWwgc3RhdHVzLCBhbmQgV0hPIFBlcmZvcm1hbmNlIFN0YXR1cyB3ZXJlIG5vdCBzaWduaWZpY2FudGx5IGFzc29jaWF0ZWQgd2l0aCB1bm1ldCBuZWVkcy4Y5afFk4Y0IOWnxZOGNEIQa2l4LnI1ZjNxMzE0eHZiODIOaC5qeTZnYnA4cTk4cjQyD2lkLjlzaW5jbnIzN2pnYzgAciExRUtLblNaWnB5bXpQRHF4bDJOejBxcnhYQWdtWEVxcXg=</go:docsCustomData>
</go:gDocsCustomXmlDataStorage>
</file>

<file path=customXml/itemProps1.xml><?xml version="1.0" encoding="utf-8"?>
<ds:datastoreItem xmlns:ds="http://schemas.openxmlformats.org/officeDocument/2006/customXml" ds:itemID="{11BBF264-5A91-444F-9875-F1FA42DEEBE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Application>LibreOffice/7.5.8.2$Windows_X86_64 LibreOffice_project/f718d63693263970429a68f568db6046aaa9df01</Application>
  <AppVersion>15.0000</AppVersion>
  <Pages>3</Pages>
  <Words>469</Words>
  <Characters>2800</Characters>
  <CharactersWithSpaces>3122</CharactersWithSpaces>
  <Paragraphs>178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2026-09-03T03:20:00Z</dcterms:created>
  <dc:creator>COREi3Intel</dc:creator>
  <dc:description/>
  <dc:language>it-IT</dc:language>
  <cp:lastModifiedBy/>
  <dcterms:modified xsi:type="dcterms:W3CDTF">2026-09-07T12:24:18Z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