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0CAAA" w14:textId="77777777" w:rsidR="00C54A14" w:rsidRDefault="00C54A14" w:rsidP="00C54A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Distinct skin transcriptional patterns among salamander populations across an ectoparasite infestation gradient</w:t>
      </w:r>
    </w:p>
    <w:p w14:paraId="156B8ABE" w14:textId="77777777" w:rsidR="00C54A14" w:rsidRDefault="00C54A14" w:rsidP="00C54A14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Daniele Romeo</w:t>
      </w:r>
      <w:r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1</w:t>
      </w:r>
      <w:r>
        <w:rPr>
          <w:rFonts w:ascii="Times New Roman" w:hAnsi="Times New Roman" w:cs="Times New Roman"/>
          <w:sz w:val="24"/>
          <w:szCs w:val="24"/>
          <w:lang w:val="pt-PT"/>
        </w:rPr>
        <w:t>; Gena Yip</w:t>
      </w:r>
      <w:r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1</w:t>
      </w:r>
      <w:r>
        <w:rPr>
          <w:rFonts w:ascii="Times New Roman" w:hAnsi="Times New Roman" w:cs="Times New Roman"/>
          <w:sz w:val="24"/>
          <w:szCs w:val="24"/>
          <w:lang w:val="pt-PT"/>
        </w:rPr>
        <w:t>; Anthony Lau</w:t>
      </w:r>
      <w:r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1</w:t>
      </w:r>
    </w:p>
    <w:p w14:paraId="59B64A3A" w14:textId="77777777" w:rsidR="00C54A14" w:rsidRDefault="00C54A14" w:rsidP="00C54A14">
      <w:pPr>
        <w:rPr>
          <w:rFonts w:ascii="Times New Roman" w:hAnsi="Times New Roman" w:cs="Times New Roman"/>
          <w:i/>
          <w:iCs/>
          <w:sz w:val="24"/>
          <w:szCs w:val="24"/>
          <w:lang w:val="pt-PT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pt-PT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pt-PT"/>
        </w:rPr>
        <w:t>1</w:t>
      </w:r>
      <w:r>
        <w:rPr>
          <w:rFonts w:ascii="Times New Roman" w:hAnsi="Times New Roman" w:cs="Times New Roman"/>
          <w:i/>
          <w:iCs/>
          <w:sz w:val="24"/>
          <w:szCs w:val="24"/>
          <w:lang w:val="pt-PT"/>
        </w:rPr>
        <w:t>Division of Science, Wu Jieh Yee School of Interdisciplinary Studies, Lingnan University, Hong Kong, China</w:t>
      </w:r>
    </w:p>
    <w:p w14:paraId="414A7D8B" w14:textId="77777777" w:rsidR="00C54A14" w:rsidRDefault="00C54A14" w:rsidP="00C54A14">
      <w:pPr>
        <w:rPr>
          <w:rFonts w:ascii="Times New Roman" w:hAnsi="Times New Roman" w:cs="Times New Roman"/>
          <w:i/>
          <w:iCs/>
          <w:sz w:val="24"/>
          <w:szCs w:val="24"/>
          <w:lang w:val="pt-PT"/>
        </w:rPr>
      </w:pPr>
    </w:p>
    <w:p w14:paraId="61BF1B9B" w14:textId="77777777" w:rsidR="00C54A14" w:rsidRDefault="00C54A14" w:rsidP="00C54A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92E88A" w14:textId="77777777" w:rsidR="00C54A14" w:rsidRDefault="00C54A14" w:rsidP="00C54A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Corresponding author: Anthony Lau (antlau@ln.edu.hk (A. Lau))</w:t>
      </w:r>
    </w:p>
    <w:p w14:paraId="7DC3004F" w14:textId="77777777" w:rsidR="00C54A14" w:rsidRDefault="00C54A14" w:rsidP="00C54A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Paramesotriton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hongkongensis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ectoparasitism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skin transcriptomics, host immune response.</w:t>
      </w:r>
    </w:p>
    <w:p w14:paraId="6AF9E30F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88AF16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B1A38E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DC39C7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A17429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F24641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7DDAAB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3AAEA9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4B4962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4B1316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280EB4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C8F5D2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8B3861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FEB8D4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0583D2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9ECADB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D91CE8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36D8F6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2DFF53" w14:textId="77777777" w:rsidR="005C007F" w:rsidRPr="005C007F" w:rsidRDefault="005C007F" w:rsidP="005C00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A90891" w14:textId="77777777" w:rsidR="005C007F" w:rsidRPr="005C007F" w:rsidRDefault="005C007F" w:rsidP="005C007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BA6E5B" w14:textId="77777777" w:rsidR="005C007F" w:rsidRPr="005C007F" w:rsidRDefault="005C007F" w:rsidP="005C007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47A4A" w14:textId="791E8FC4" w:rsidR="007D0D6F" w:rsidRPr="005C007F" w:rsidRDefault="007D0D6F">
      <w:pPr>
        <w:rPr>
          <w:rFonts w:ascii="Times New Roman" w:hAnsi="Times New Roman" w:cs="Times New Roman"/>
          <w:sz w:val="24"/>
          <w:szCs w:val="24"/>
        </w:rPr>
      </w:pPr>
    </w:p>
    <w:p w14:paraId="04AF37BF" w14:textId="2423633F" w:rsidR="005C007F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318B6B89" wp14:editId="1D7695BF">
            <wp:simplePos x="0" y="0"/>
            <wp:positionH relativeFrom="column">
              <wp:posOffset>827356</wp:posOffset>
            </wp:positionH>
            <wp:positionV relativeFrom="paragraph">
              <wp:posOffset>236855</wp:posOffset>
            </wp:positionV>
            <wp:extent cx="3989705" cy="861568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705" cy="861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007F" w:rsidRPr="005C007F">
        <w:rPr>
          <w:rFonts w:ascii="Times New Roman" w:hAnsi="Times New Roman" w:cs="Times New Roman"/>
          <w:b/>
          <w:bCs/>
          <w:sz w:val="24"/>
          <w:szCs w:val="24"/>
        </w:rPr>
        <w:t>Supplementary Figures</w:t>
      </w:r>
    </w:p>
    <w:p w14:paraId="376E1E0C" w14:textId="4E422E53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7BFFFF" w14:textId="618017CE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3E80E" w14:textId="25128A22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A0727" w14:textId="5496E863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5E09F0" w14:textId="5D4B501D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D50B0" w14:textId="0C2CD303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7E120" w14:textId="000BAA8E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ABDE2" w14:textId="43877579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27E12" w14:textId="69B1BF45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3BACB" w14:textId="5F4BE73A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F28A10" w14:textId="6988D7BF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C99CEB" w14:textId="03DD8D48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81B01C" w14:textId="41EC441F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E30A1" w14:textId="29B5BC50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6206E" w14:textId="7707C4FA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241B72" w14:textId="18400751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657502" w14:textId="11483149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976682" w14:textId="39F03E41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910B65" w14:textId="55E86CF1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A84359" w14:textId="1DDEA3A8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92DEA" w14:textId="17804389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BAE32" w14:textId="746A196E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5E7A03" w14:textId="66E21D88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93EB70" w14:textId="64067757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1D3CF0" w14:textId="73BD3B76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F203E" w14:textId="787F0AB0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A0A15" w14:textId="1762EBCA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FC510B" w14:textId="51C45E6F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67987F" w14:textId="13B4872A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B201CB" w14:textId="03C553F9" w:rsidR="00345C3A" w:rsidRDefault="00345C3A" w:rsidP="00345C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32B3C" w14:textId="4E98E266" w:rsidR="00345C3A" w:rsidRDefault="00C6193C" w:rsidP="00C6193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6193C">
        <w:rPr>
          <w:rFonts w:ascii="Times New Roman" w:hAnsi="Times New Roman" w:cs="Times New Roman"/>
          <w:i/>
          <w:iCs/>
          <w:sz w:val="24"/>
          <w:szCs w:val="24"/>
        </w:rPr>
        <w:lastRenderedPageBreak/>
        <w:t>Supplementary Figure 1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C6193C">
        <w:rPr>
          <w:rFonts w:ascii="Times New Roman" w:hAnsi="Times New Roman" w:cs="Times New Roman"/>
          <w:i/>
          <w:iCs/>
          <w:sz w:val="24"/>
          <w:szCs w:val="24"/>
        </w:rPr>
        <w:t xml:space="preserve"> Assembly characteristics and completeness of the de novo transcriptome. (A) Length distribution of the 188,779 representative </w:t>
      </w:r>
      <w:proofErr w:type="spellStart"/>
      <w:r w:rsidRPr="00C6193C">
        <w:rPr>
          <w:rFonts w:ascii="Times New Roman" w:hAnsi="Times New Roman" w:cs="Times New Roman"/>
          <w:i/>
          <w:iCs/>
          <w:sz w:val="24"/>
          <w:szCs w:val="24"/>
        </w:rPr>
        <w:t>unigenes</w:t>
      </w:r>
      <w:proofErr w:type="spellEnd"/>
      <w:r w:rsidRPr="00C6193C">
        <w:rPr>
          <w:rFonts w:ascii="Times New Roman" w:hAnsi="Times New Roman" w:cs="Times New Roman"/>
          <w:i/>
          <w:iCs/>
          <w:sz w:val="24"/>
          <w:szCs w:val="24"/>
        </w:rPr>
        <w:t xml:space="preserve">, with minimum, mean, maximum, N50 and N90 sequence lengths indicated. (B) Numbers of transcripts from the initial Trinity assembly and representative </w:t>
      </w:r>
      <w:proofErr w:type="spellStart"/>
      <w:r w:rsidRPr="00C6193C">
        <w:rPr>
          <w:rFonts w:ascii="Times New Roman" w:hAnsi="Times New Roman" w:cs="Times New Roman"/>
          <w:i/>
          <w:iCs/>
          <w:sz w:val="24"/>
          <w:szCs w:val="24"/>
        </w:rPr>
        <w:t>unigenes</w:t>
      </w:r>
      <w:proofErr w:type="spellEnd"/>
      <w:r w:rsidRPr="00C6193C">
        <w:rPr>
          <w:rFonts w:ascii="Times New Roman" w:hAnsi="Times New Roman" w:cs="Times New Roman"/>
          <w:i/>
          <w:iCs/>
          <w:sz w:val="24"/>
          <w:szCs w:val="24"/>
        </w:rPr>
        <w:t xml:space="preserve"> within four sequence-length intervals. (C) BUSCO assessment of the initial Trinity transcript assembly, the Corset-clustered transcript set and the final representative </w:t>
      </w:r>
      <w:proofErr w:type="spellStart"/>
      <w:r w:rsidRPr="00C6193C">
        <w:rPr>
          <w:rFonts w:ascii="Times New Roman" w:hAnsi="Times New Roman" w:cs="Times New Roman"/>
          <w:i/>
          <w:iCs/>
          <w:sz w:val="24"/>
          <w:szCs w:val="24"/>
        </w:rPr>
        <w:t>unigene</w:t>
      </w:r>
      <w:proofErr w:type="spellEnd"/>
      <w:r w:rsidRPr="00C6193C">
        <w:rPr>
          <w:rFonts w:ascii="Times New Roman" w:hAnsi="Times New Roman" w:cs="Times New Roman"/>
          <w:i/>
          <w:iCs/>
          <w:sz w:val="24"/>
          <w:szCs w:val="24"/>
        </w:rPr>
        <w:t xml:space="preserve"> set. Bars show the proportions of complete single-copy (S), complete duplicated (D), fragmented (F) and missing (M) orthologues among the 954 BUSCOs evaluated.</w:t>
      </w:r>
    </w:p>
    <w:p w14:paraId="5A324369" w14:textId="3E5B17F5" w:rsidR="007E5241" w:rsidRDefault="007E5241" w:rsidP="00C6193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048D040" wp14:editId="0B93BC92">
            <wp:simplePos x="0" y="0"/>
            <wp:positionH relativeFrom="column">
              <wp:posOffset>-210380</wp:posOffset>
            </wp:positionH>
            <wp:positionV relativeFrom="paragraph">
              <wp:posOffset>288290</wp:posOffset>
            </wp:positionV>
            <wp:extent cx="6384290" cy="2684145"/>
            <wp:effectExtent l="0" t="0" r="0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04E349" w14:textId="5F149488" w:rsidR="007E5241" w:rsidRDefault="007E5241" w:rsidP="00C6193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E5241">
        <w:rPr>
          <w:rFonts w:ascii="Times New Roman" w:hAnsi="Times New Roman" w:cs="Times New Roman"/>
          <w:i/>
          <w:i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i/>
          <w:iCs/>
          <w:sz w:val="24"/>
          <w:szCs w:val="24"/>
        </w:rPr>
        <w:t>2:</w:t>
      </w:r>
      <w:r w:rsidRPr="007E5241">
        <w:rPr>
          <w:rFonts w:ascii="Times New Roman" w:hAnsi="Times New Roman" w:cs="Times New Roman"/>
          <w:i/>
          <w:iCs/>
          <w:sz w:val="24"/>
          <w:szCs w:val="24"/>
        </w:rPr>
        <w:t xml:space="preserve"> Functional annotation of the final non-redundant reference transcriptome. (A) Number and percentage of representative </w:t>
      </w:r>
      <w:proofErr w:type="spellStart"/>
      <w:r w:rsidRPr="007E5241">
        <w:rPr>
          <w:rFonts w:ascii="Times New Roman" w:hAnsi="Times New Roman" w:cs="Times New Roman"/>
          <w:i/>
          <w:iCs/>
          <w:sz w:val="24"/>
          <w:szCs w:val="24"/>
        </w:rPr>
        <w:t>unigenes</w:t>
      </w:r>
      <w:proofErr w:type="spellEnd"/>
      <w:r w:rsidRPr="007E5241">
        <w:rPr>
          <w:rFonts w:ascii="Times New Roman" w:hAnsi="Times New Roman" w:cs="Times New Roman"/>
          <w:i/>
          <w:iCs/>
          <w:sz w:val="24"/>
          <w:szCs w:val="24"/>
        </w:rPr>
        <w:t xml:space="preserve"> annotated against the GO, KO, KOG, NR, NT, </w:t>
      </w:r>
      <w:proofErr w:type="spellStart"/>
      <w:r w:rsidRPr="007E5241">
        <w:rPr>
          <w:rFonts w:ascii="Times New Roman" w:hAnsi="Times New Roman" w:cs="Times New Roman"/>
          <w:i/>
          <w:iCs/>
          <w:sz w:val="24"/>
          <w:szCs w:val="24"/>
        </w:rPr>
        <w:t>Pfam</w:t>
      </w:r>
      <w:proofErr w:type="spellEnd"/>
      <w:r w:rsidRPr="007E5241">
        <w:rPr>
          <w:rFonts w:ascii="Times New Roman" w:hAnsi="Times New Roman" w:cs="Times New Roman"/>
          <w:i/>
          <w:iCs/>
          <w:sz w:val="24"/>
          <w:szCs w:val="24"/>
        </w:rPr>
        <w:t>, and Swiss-</w:t>
      </w:r>
      <w:proofErr w:type="spellStart"/>
      <w:r w:rsidRPr="007E5241">
        <w:rPr>
          <w:rFonts w:ascii="Times New Roman" w:hAnsi="Times New Roman" w:cs="Times New Roman"/>
          <w:i/>
          <w:iCs/>
          <w:sz w:val="24"/>
          <w:szCs w:val="24"/>
        </w:rPr>
        <w:t>Prot</w:t>
      </w:r>
      <w:proofErr w:type="spellEnd"/>
      <w:r w:rsidRPr="007E5241">
        <w:rPr>
          <w:rFonts w:ascii="Times New Roman" w:hAnsi="Times New Roman" w:cs="Times New Roman"/>
          <w:i/>
          <w:iCs/>
          <w:sz w:val="24"/>
          <w:szCs w:val="24"/>
        </w:rPr>
        <w:t xml:space="preserve"> databases. (B) Taxonomic distribution of the best matches obtained for NR-annotated </w:t>
      </w:r>
      <w:proofErr w:type="spellStart"/>
      <w:r w:rsidRPr="007E5241">
        <w:rPr>
          <w:rFonts w:ascii="Times New Roman" w:hAnsi="Times New Roman" w:cs="Times New Roman"/>
          <w:i/>
          <w:iCs/>
          <w:sz w:val="24"/>
          <w:szCs w:val="24"/>
        </w:rPr>
        <w:t>unigenes</w:t>
      </w:r>
      <w:proofErr w:type="spellEnd"/>
      <w:r w:rsidRPr="007E5241">
        <w:rPr>
          <w:rFonts w:ascii="Times New Roman" w:hAnsi="Times New Roman" w:cs="Times New Roman"/>
          <w:i/>
          <w:iCs/>
          <w:sz w:val="24"/>
          <w:szCs w:val="24"/>
        </w:rPr>
        <w:t>. The five most represented species are shown individually, while all remaining species are grouped as “Other”.</w:t>
      </w:r>
    </w:p>
    <w:p w14:paraId="7AD51F38" w14:textId="7524B6F9" w:rsidR="007E5241" w:rsidRDefault="007E5241" w:rsidP="00C6193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C8C5CAE" w14:textId="3342A149" w:rsidR="007E5241" w:rsidRDefault="007E5241" w:rsidP="00C6193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E324497" w14:textId="240FE9A4" w:rsidR="007E5241" w:rsidRDefault="007E5241" w:rsidP="00C6193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182FA85" w14:textId="4D8736E8" w:rsidR="007E5241" w:rsidRDefault="007E5241" w:rsidP="00C6193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752537F" w14:textId="1157EC84" w:rsidR="007E5241" w:rsidRDefault="007E5241" w:rsidP="00C6193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5194776" w14:textId="6AA8FBE4" w:rsidR="007E5241" w:rsidRDefault="007E5241" w:rsidP="00C6193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D452E9" w14:textId="35DAAA81" w:rsidR="007E5241" w:rsidRDefault="007E5241" w:rsidP="00C6193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0CBDBBA" w14:textId="1D6CCDD8" w:rsidR="007E5241" w:rsidRDefault="007E5241" w:rsidP="00C6193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2219E93" w14:textId="77777777" w:rsidR="007E5241" w:rsidRPr="005C007F" w:rsidRDefault="007E5241" w:rsidP="00C6193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E5241" w:rsidRPr="005C007F" w:rsidSect="005C007F"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F1"/>
    <w:rsid w:val="00200108"/>
    <w:rsid w:val="00345C3A"/>
    <w:rsid w:val="005C007F"/>
    <w:rsid w:val="00645DF1"/>
    <w:rsid w:val="007D0D6F"/>
    <w:rsid w:val="007E5241"/>
    <w:rsid w:val="00C54A14"/>
    <w:rsid w:val="00C6193C"/>
    <w:rsid w:val="00FC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1824C"/>
  <w15:chartTrackingRefBased/>
  <w15:docId w15:val="{E69A28DA-0972-4583-855F-A2C35431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0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C0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4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Romeo</dc:creator>
  <cp:keywords/>
  <dc:description/>
  <cp:lastModifiedBy>Daniele Romeo</cp:lastModifiedBy>
  <cp:revision>16</cp:revision>
  <dcterms:created xsi:type="dcterms:W3CDTF">2026-07-28T04:08:00Z</dcterms:created>
  <dcterms:modified xsi:type="dcterms:W3CDTF">2026-08-25T19:08:00Z</dcterms:modified>
</cp:coreProperties>
</file>