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BF06" w14:textId="77777777" w:rsidR="00D357DB" w:rsidRPr="00980A5F" w:rsidRDefault="00D357DB" w:rsidP="00D357DB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980A5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Table 1. Comparison of Ameloblastoma Subtypes: Clinical, Histopathological, and Prognostic Features</w:t>
      </w:r>
    </w:p>
    <w:tbl>
      <w:tblPr>
        <w:tblStyle w:val="ListTable2-Accent4"/>
        <w:tblW w:w="0" w:type="auto"/>
        <w:tblLook w:val="04A0" w:firstRow="1" w:lastRow="0" w:firstColumn="1" w:lastColumn="0" w:noHBand="0" w:noVBand="1"/>
      </w:tblPr>
      <w:tblGrid>
        <w:gridCol w:w="1830"/>
        <w:gridCol w:w="1315"/>
        <w:gridCol w:w="1175"/>
        <w:gridCol w:w="1810"/>
        <w:gridCol w:w="1487"/>
        <w:gridCol w:w="1409"/>
      </w:tblGrid>
      <w:tr w:rsidR="00D357DB" w:rsidRPr="00980A5F" w14:paraId="73EBFA63" w14:textId="77777777" w:rsidTr="000E4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14842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Subtype</w:t>
            </w:r>
          </w:p>
        </w:tc>
        <w:tc>
          <w:tcPr>
            <w:tcW w:w="0" w:type="auto"/>
            <w:hideMark/>
          </w:tcPr>
          <w:p w14:paraId="1E1DE837" w14:textId="77777777" w:rsidR="00D357DB" w:rsidRPr="00980A5F" w:rsidRDefault="00D357DB" w:rsidP="000E42D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Frequency (%)</w:t>
            </w:r>
          </w:p>
        </w:tc>
        <w:tc>
          <w:tcPr>
            <w:tcW w:w="0" w:type="auto"/>
            <w:hideMark/>
          </w:tcPr>
          <w:p w14:paraId="7C625075" w14:textId="77777777" w:rsidR="00D357DB" w:rsidRPr="00980A5F" w:rsidRDefault="00D357DB" w:rsidP="000E42D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Common Site</w:t>
            </w:r>
          </w:p>
        </w:tc>
        <w:tc>
          <w:tcPr>
            <w:tcW w:w="0" w:type="auto"/>
            <w:hideMark/>
          </w:tcPr>
          <w:p w14:paraId="62B58779" w14:textId="77777777" w:rsidR="00D357DB" w:rsidRPr="00980A5F" w:rsidRDefault="00D357DB" w:rsidP="000E42D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Histological Features</w:t>
            </w:r>
          </w:p>
        </w:tc>
        <w:tc>
          <w:tcPr>
            <w:tcW w:w="0" w:type="auto"/>
            <w:hideMark/>
          </w:tcPr>
          <w:p w14:paraId="691B073E" w14:textId="77777777" w:rsidR="00D357DB" w:rsidRPr="00980A5F" w:rsidRDefault="00D357DB" w:rsidP="000E42D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Biological </w:t>
            </w:r>
            <w:proofErr w:type="spellStart"/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Behavior</w:t>
            </w:r>
            <w:proofErr w:type="spellEnd"/>
          </w:p>
        </w:tc>
        <w:tc>
          <w:tcPr>
            <w:tcW w:w="0" w:type="auto"/>
            <w:hideMark/>
          </w:tcPr>
          <w:p w14:paraId="4CF1D101" w14:textId="77777777" w:rsidR="00D357DB" w:rsidRPr="00980A5F" w:rsidRDefault="00D357DB" w:rsidP="000E42D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Recurrence Risk</w:t>
            </w:r>
          </w:p>
        </w:tc>
      </w:tr>
      <w:tr w:rsidR="00D357DB" w:rsidRPr="00980A5F" w14:paraId="33449124" w14:textId="77777777" w:rsidTr="000E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F19ECD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Follicular</w:t>
            </w:r>
          </w:p>
        </w:tc>
        <w:tc>
          <w:tcPr>
            <w:tcW w:w="0" w:type="auto"/>
            <w:hideMark/>
          </w:tcPr>
          <w:p w14:paraId="5665FB75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32–35 </w:t>
            </w:r>
          </w:p>
        </w:tc>
        <w:tc>
          <w:tcPr>
            <w:tcW w:w="0" w:type="auto"/>
            <w:hideMark/>
          </w:tcPr>
          <w:p w14:paraId="216CA14E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5F74F318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Islands of odontogenic epithelium, peripheral palisading, reverse polarity</w:t>
            </w:r>
          </w:p>
        </w:tc>
        <w:tc>
          <w:tcPr>
            <w:tcW w:w="0" w:type="auto"/>
            <w:hideMark/>
          </w:tcPr>
          <w:p w14:paraId="249EBDAE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Locally invasive</w:t>
            </w:r>
          </w:p>
        </w:tc>
        <w:tc>
          <w:tcPr>
            <w:tcW w:w="0" w:type="auto"/>
            <w:hideMark/>
          </w:tcPr>
          <w:p w14:paraId="78DF8D81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Moderate</w:t>
            </w:r>
          </w:p>
        </w:tc>
      </w:tr>
      <w:tr w:rsidR="00D357DB" w:rsidRPr="00980A5F" w14:paraId="7D69DCA6" w14:textId="77777777" w:rsidTr="000E4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80CE8B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Plexiform</w:t>
            </w:r>
          </w:p>
        </w:tc>
        <w:tc>
          <w:tcPr>
            <w:tcW w:w="0" w:type="auto"/>
            <w:hideMark/>
          </w:tcPr>
          <w:p w14:paraId="30809ABD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25–30 </w:t>
            </w:r>
          </w:p>
        </w:tc>
        <w:tc>
          <w:tcPr>
            <w:tcW w:w="0" w:type="auto"/>
            <w:hideMark/>
          </w:tcPr>
          <w:p w14:paraId="50BD223F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02D79FB6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Interconnecting strands and cords of odontogenic epithelium</w:t>
            </w:r>
          </w:p>
        </w:tc>
        <w:tc>
          <w:tcPr>
            <w:tcW w:w="0" w:type="auto"/>
            <w:hideMark/>
          </w:tcPr>
          <w:p w14:paraId="2516ADE9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Locally invasive</w:t>
            </w:r>
          </w:p>
        </w:tc>
        <w:tc>
          <w:tcPr>
            <w:tcW w:w="0" w:type="auto"/>
            <w:hideMark/>
          </w:tcPr>
          <w:p w14:paraId="721A7E3D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Moderate</w:t>
            </w:r>
          </w:p>
        </w:tc>
      </w:tr>
      <w:tr w:rsidR="00D357DB" w:rsidRPr="00980A5F" w14:paraId="06A4C018" w14:textId="77777777" w:rsidTr="000E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2BB1F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Acanthomatous</w:t>
            </w:r>
          </w:p>
        </w:tc>
        <w:tc>
          <w:tcPr>
            <w:tcW w:w="0" w:type="auto"/>
            <w:hideMark/>
          </w:tcPr>
          <w:p w14:paraId="581186FA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10–15 </w:t>
            </w:r>
          </w:p>
        </w:tc>
        <w:tc>
          <w:tcPr>
            <w:tcW w:w="0" w:type="auto"/>
            <w:hideMark/>
          </w:tcPr>
          <w:p w14:paraId="3374022F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048484FE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Squamous metaplasia within stellate reticulum-like cells</w:t>
            </w:r>
          </w:p>
        </w:tc>
        <w:tc>
          <w:tcPr>
            <w:tcW w:w="0" w:type="auto"/>
            <w:hideMark/>
          </w:tcPr>
          <w:p w14:paraId="6AEEB56D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Similar to follicular</w:t>
            </w:r>
          </w:p>
        </w:tc>
        <w:tc>
          <w:tcPr>
            <w:tcW w:w="0" w:type="auto"/>
            <w:hideMark/>
          </w:tcPr>
          <w:p w14:paraId="62B2F66E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Moderate</w:t>
            </w:r>
          </w:p>
        </w:tc>
      </w:tr>
      <w:tr w:rsidR="00D357DB" w:rsidRPr="00980A5F" w14:paraId="14671F30" w14:textId="77777777" w:rsidTr="000E4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69FBEF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Basaloid</w:t>
            </w:r>
          </w:p>
        </w:tc>
        <w:tc>
          <w:tcPr>
            <w:tcW w:w="0" w:type="auto"/>
            <w:hideMark/>
          </w:tcPr>
          <w:p w14:paraId="71F2E7E6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&lt;5 </w:t>
            </w:r>
          </w:p>
        </w:tc>
        <w:tc>
          <w:tcPr>
            <w:tcW w:w="0" w:type="auto"/>
            <w:hideMark/>
          </w:tcPr>
          <w:p w14:paraId="0EB747F0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284F6C86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Basaloid epithelial cells in nests with scant cytoplasm</w:t>
            </w:r>
          </w:p>
        </w:tc>
        <w:tc>
          <w:tcPr>
            <w:tcW w:w="0" w:type="auto"/>
            <w:hideMark/>
          </w:tcPr>
          <w:p w14:paraId="0A031C36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Rare, may mimic basal cell carcinoma</w:t>
            </w:r>
          </w:p>
        </w:tc>
        <w:tc>
          <w:tcPr>
            <w:tcW w:w="0" w:type="auto"/>
            <w:hideMark/>
          </w:tcPr>
          <w:p w14:paraId="345DFAB1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Limited data</w:t>
            </w:r>
          </w:p>
        </w:tc>
      </w:tr>
      <w:tr w:rsidR="00D357DB" w:rsidRPr="00980A5F" w14:paraId="066560B0" w14:textId="77777777" w:rsidTr="000E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242178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2C24D8CE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3–5 </w:t>
            </w:r>
          </w:p>
        </w:tc>
        <w:tc>
          <w:tcPr>
            <w:tcW w:w="0" w:type="auto"/>
            <w:hideMark/>
          </w:tcPr>
          <w:p w14:paraId="1C9E1301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774BE1BB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Stellate reticulum-like cells with coarse eosinophilic granular cytoplasm (lysosomal)</w:t>
            </w:r>
          </w:p>
        </w:tc>
        <w:tc>
          <w:tcPr>
            <w:tcW w:w="0" w:type="auto"/>
            <w:hideMark/>
          </w:tcPr>
          <w:p w14:paraId="351FB101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Aggressive, locally recurrent, rare metastasis</w:t>
            </w:r>
          </w:p>
        </w:tc>
        <w:tc>
          <w:tcPr>
            <w:tcW w:w="0" w:type="auto"/>
            <w:hideMark/>
          </w:tcPr>
          <w:p w14:paraId="1BD646C3" w14:textId="77777777" w:rsidR="00D357DB" w:rsidRPr="00980A5F" w:rsidRDefault="00D357DB" w:rsidP="000E42D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High (≈33%) </w:t>
            </w:r>
          </w:p>
        </w:tc>
      </w:tr>
      <w:tr w:rsidR="00D357DB" w:rsidRPr="00980A5F" w14:paraId="34D3FF84" w14:textId="77777777" w:rsidTr="000E4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3AFC1A" w14:textId="77777777" w:rsidR="00D357DB" w:rsidRPr="00980A5F" w:rsidRDefault="00D357DB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lastRenderedPageBreak/>
              <w:t>Desmoplastic</w:t>
            </w:r>
          </w:p>
        </w:tc>
        <w:tc>
          <w:tcPr>
            <w:tcW w:w="0" w:type="auto"/>
            <w:hideMark/>
          </w:tcPr>
          <w:p w14:paraId="43E66C2E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4–13 </w:t>
            </w:r>
          </w:p>
        </w:tc>
        <w:tc>
          <w:tcPr>
            <w:tcW w:w="0" w:type="auto"/>
            <w:hideMark/>
          </w:tcPr>
          <w:p w14:paraId="79D0E86A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Anterior maxilla</w:t>
            </w:r>
          </w:p>
        </w:tc>
        <w:tc>
          <w:tcPr>
            <w:tcW w:w="0" w:type="auto"/>
            <w:hideMark/>
          </w:tcPr>
          <w:p w14:paraId="5E712431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Compressed epithelial islands in densely collagenized stroma ± metaplastic bone</w:t>
            </w:r>
          </w:p>
        </w:tc>
        <w:tc>
          <w:tcPr>
            <w:tcW w:w="0" w:type="auto"/>
            <w:hideMark/>
          </w:tcPr>
          <w:p w14:paraId="3586450B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Infiltrative, radiographic mimicry of fibro-osseous lesions</w:t>
            </w:r>
          </w:p>
        </w:tc>
        <w:tc>
          <w:tcPr>
            <w:tcW w:w="0" w:type="auto"/>
            <w:hideMark/>
          </w:tcPr>
          <w:p w14:paraId="7B137748" w14:textId="77777777" w:rsidR="00D357DB" w:rsidRPr="00980A5F" w:rsidRDefault="00D357DB" w:rsidP="000E42D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80A5F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High </w:t>
            </w:r>
          </w:p>
        </w:tc>
      </w:tr>
    </w:tbl>
    <w:p w14:paraId="38B60C07" w14:textId="77777777" w:rsidR="00D357DB" w:rsidRDefault="00D357DB"/>
    <w:sectPr w:rsidR="00D35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DB"/>
    <w:rsid w:val="004C555A"/>
    <w:rsid w:val="00D3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A4398A"/>
  <w15:chartTrackingRefBased/>
  <w15:docId w15:val="{EE658DEC-DD2E-A147-A1BE-61484F12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DB"/>
  </w:style>
  <w:style w:type="paragraph" w:styleId="Heading1">
    <w:name w:val="heading 1"/>
    <w:basedOn w:val="Normal"/>
    <w:next w:val="Normal"/>
    <w:link w:val="Heading1Char"/>
    <w:uiPriority w:val="9"/>
    <w:qFormat/>
    <w:rsid w:val="00D35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7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7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7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7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7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7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7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7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35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4">
    <w:name w:val="List Table 2 Accent 4"/>
    <w:basedOn w:val="TableNormal"/>
    <w:uiPriority w:val="47"/>
    <w:rsid w:val="00D357D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Agarwal</dc:creator>
  <cp:keywords/>
  <dc:description/>
  <cp:lastModifiedBy>Preeti Agarwal</cp:lastModifiedBy>
  <cp:revision>1</cp:revision>
  <dcterms:created xsi:type="dcterms:W3CDTF">2026-07-17T08:17:00Z</dcterms:created>
  <dcterms:modified xsi:type="dcterms:W3CDTF">2026-07-17T08:17:00Z</dcterms:modified>
</cp:coreProperties>
</file>