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1D00E" w14:textId="77777777" w:rsidR="00575385" w:rsidRDefault="00000000" w:rsidP="000F4782">
      <w:pPr>
        <w:widowControl/>
        <w:spacing w:after="0" w:line="36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Supplementary </w:t>
      </w:r>
      <w:r>
        <w:rPr>
          <w:rFonts w:ascii="Times New Roman" w:eastAsiaTheme="minorEastAsia" w:hAnsi="Times New Roman" w:cs="Times New Roman" w:hint="eastAsia"/>
          <w:b/>
          <w:bCs/>
          <w:sz w:val="32"/>
          <w:szCs w:val="32"/>
          <w:shd w:val="clear" w:color="auto" w:fill="FFFFFF"/>
        </w:rPr>
        <w:t>materials</w:t>
      </w:r>
    </w:p>
    <w:p w14:paraId="5E3799DA" w14:textId="77777777" w:rsidR="00575385" w:rsidRDefault="00575385" w:rsidP="000F4782">
      <w:pPr>
        <w:widowControl/>
        <w:spacing w:after="0" w:line="36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shd w:val="clear" w:color="auto" w:fill="FFFFFF"/>
        </w:rPr>
      </w:pPr>
    </w:p>
    <w:p w14:paraId="34482B61" w14:textId="77777777" w:rsidR="000F4782" w:rsidRDefault="000F4782" w:rsidP="000F4782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32"/>
        </w:rPr>
      </w:pPr>
      <w:r w:rsidRPr="006B1803">
        <w:rPr>
          <w:rFonts w:ascii="Times New Roman" w:hAnsi="Times New Roman" w:cs="Times New Roman"/>
          <w:b/>
          <w:bCs/>
          <w:sz w:val="28"/>
          <w:szCs w:val="32"/>
        </w:rPr>
        <w:t>Natural Deep Eutectic Solvent-Guided Engineering of Herbal Residue-Derived Carbon Dots for Endothelial Oxidative Stress Protection</w:t>
      </w:r>
    </w:p>
    <w:p w14:paraId="4FB4E78D" w14:textId="77777777" w:rsidR="000F4782" w:rsidRPr="0092620D" w:rsidRDefault="000F4782" w:rsidP="000F4782">
      <w:pPr>
        <w:spacing w:after="0" w:line="360" w:lineRule="auto"/>
        <w:jc w:val="both"/>
        <w:rPr>
          <w:rFonts w:ascii="Times New Roman" w:eastAsiaTheme="minorEastAsia" w:hAnsi="Times New Roman" w:cs="Times New Roman" w:hint="eastAsia"/>
          <w:b/>
          <w:bCs/>
          <w:sz w:val="28"/>
          <w:szCs w:val="32"/>
        </w:rPr>
      </w:pPr>
    </w:p>
    <w:p w14:paraId="6A23F8B7" w14:textId="77777777" w:rsidR="000F4782" w:rsidRDefault="000F4782" w:rsidP="000F4782">
      <w:pPr>
        <w:spacing w:after="0" w:line="360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Kunze Du </w:t>
      </w:r>
      <w:r>
        <w:rPr>
          <w:rFonts w:ascii="Times New Roman" w:eastAsia="宋体" w:hAnsi="Times New Roman" w:cs="Times New Roman" w:hint="eastAsia"/>
          <w:i/>
          <w:iCs/>
          <w:vertAlign w:val="superscript"/>
        </w:rPr>
        <w:t>1,3,4</w:t>
      </w:r>
      <w:r>
        <w:rPr>
          <w:rFonts w:ascii="Times New Roman" w:eastAsia="宋体" w:hAnsi="Times New Roman" w:cs="Times New Roman"/>
          <w:bCs/>
        </w:rPr>
        <w:t>†</w:t>
      </w:r>
      <w:r>
        <w:rPr>
          <w:rFonts w:ascii="Times New Roman" w:hAnsi="Times New Roman" w:cs="Times New Roman"/>
          <w:i/>
          <w:iCs/>
        </w:rPr>
        <w:t xml:space="preserve">, Haixiang Li </w:t>
      </w:r>
      <w:r>
        <w:rPr>
          <w:rFonts w:ascii="Times New Roman" w:hAnsi="Times New Roman" w:cs="Times New Roman" w:hint="eastAsia"/>
          <w:i/>
          <w:iCs/>
          <w:vertAlign w:val="superscript"/>
        </w:rPr>
        <w:t>1,2,3</w:t>
      </w:r>
      <w:r>
        <w:rPr>
          <w:rFonts w:ascii="Times New Roman" w:eastAsia="宋体" w:hAnsi="Times New Roman" w:cs="Times New Roman"/>
          <w:bCs/>
        </w:rPr>
        <w:t>†</w:t>
      </w:r>
      <w:r>
        <w:rPr>
          <w:rFonts w:ascii="Times New Roman" w:eastAsia="宋体" w:hAnsi="Times New Roman" w:cs="Times New Roman" w:hint="eastAsia"/>
          <w:bCs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</w:rPr>
        <w:t>Shujing</w:t>
      </w:r>
      <w:proofErr w:type="spellEnd"/>
      <w:r>
        <w:rPr>
          <w:rFonts w:ascii="Times New Roman" w:hAnsi="Times New Roman" w:cs="Times New Roman"/>
          <w:i/>
          <w:iCs/>
        </w:rPr>
        <w:t xml:space="preserve"> Chen </w:t>
      </w:r>
      <w:r>
        <w:rPr>
          <w:rFonts w:ascii="Times New Roman" w:eastAsia="宋体" w:hAnsi="Times New Roman" w:cs="Times New Roman" w:hint="eastAsia"/>
          <w:i/>
          <w:iCs/>
          <w:vertAlign w:val="superscript"/>
        </w:rPr>
        <w:t>1</w:t>
      </w:r>
      <w:r>
        <w:rPr>
          <w:rFonts w:ascii="Times New Roman" w:hAnsi="Times New Roman" w:cs="Times New Roman"/>
          <w:i/>
          <w:iCs/>
          <w:vertAlign w:val="superscript"/>
        </w:rPr>
        <w:t>,</w:t>
      </w:r>
      <w:r>
        <w:rPr>
          <w:rFonts w:ascii="Times New Roman" w:eastAsia="宋体" w:hAnsi="Times New Roman" w:cs="Times New Roman" w:hint="eastAsia"/>
          <w:i/>
          <w:iCs/>
          <w:vertAlign w:val="superscript"/>
        </w:rPr>
        <w:t>3,4</w:t>
      </w:r>
      <w:r>
        <w:rPr>
          <w:rFonts w:ascii="Times New Roman" w:eastAsia="宋体" w:hAnsi="Times New Roman" w:cs="Times New Roman"/>
          <w:bCs/>
        </w:rPr>
        <w:t>†</w:t>
      </w:r>
      <w:r>
        <w:rPr>
          <w:rFonts w:ascii="Times New Roman" w:hAnsi="Times New Roman" w:cs="Times New Roman"/>
          <w:i/>
          <w:iCs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</w:rPr>
        <w:t>Zhuofan</w:t>
      </w:r>
      <w:proofErr w:type="spellEnd"/>
      <w:r>
        <w:rPr>
          <w:rFonts w:ascii="Times New Roman" w:hAnsi="Times New Roman" w:cs="Times New Roman"/>
          <w:i/>
          <w:iCs/>
        </w:rPr>
        <w:t xml:space="preserve"> Peng </w:t>
      </w:r>
      <w:r>
        <w:rPr>
          <w:rFonts w:ascii="Times New Roman" w:eastAsia="宋体" w:hAnsi="Times New Roman" w:cs="Times New Roman" w:hint="eastAsia"/>
          <w:i/>
          <w:iCs/>
          <w:vertAlign w:val="superscript"/>
        </w:rPr>
        <w:t>1,2</w:t>
      </w:r>
      <w:r>
        <w:rPr>
          <w:rFonts w:ascii="Times New Roman" w:hAnsi="Times New Roman" w:cs="Times New Roman"/>
          <w:i/>
          <w:iCs/>
          <w:vertAlign w:val="superscript"/>
        </w:rPr>
        <w:t>,</w:t>
      </w:r>
      <w:r>
        <w:rPr>
          <w:rFonts w:ascii="Times New Roman" w:eastAsia="宋体" w:hAnsi="Times New Roman" w:cs="Times New Roman" w:hint="eastAsia"/>
          <w:i/>
          <w:iCs/>
          <w:vertAlign w:val="superscript"/>
        </w:rPr>
        <w:t>3</w:t>
      </w:r>
      <w:r>
        <w:rPr>
          <w:rFonts w:ascii="Times New Roman" w:hAnsi="Times New Roman" w:cs="Times New Roman"/>
          <w:i/>
          <w:iCs/>
        </w:rPr>
        <w:t xml:space="preserve">, </w:t>
      </w:r>
      <w:r>
        <w:rPr>
          <w:rFonts w:ascii="Times New Roman" w:hAnsi="Times New Roman" w:cs="Times New Roman" w:hint="eastAsia"/>
          <w:i/>
          <w:iCs/>
        </w:rPr>
        <w:t xml:space="preserve">Ru Cang </w:t>
      </w:r>
      <w:r>
        <w:rPr>
          <w:rFonts w:ascii="Times New Roman" w:eastAsia="宋体" w:hAnsi="Times New Roman" w:cs="Times New Roman" w:hint="eastAsia"/>
          <w:i/>
          <w:iCs/>
          <w:vertAlign w:val="superscript"/>
        </w:rPr>
        <w:t>1,3</w:t>
      </w:r>
      <w:r w:rsidRPr="002D0A50">
        <w:rPr>
          <w:rFonts w:ascii="Times New Roman" w:eastAsia="宋体" w:hAnsi="Times New Roman" w:cs="Times New Roman" w:hint="eastAsia"/>
          <w:i/>
          <w:iCs/>
        </w:rPr>
        <w:t>,</w:t>
      </w:r>
      <w:r>
        <w:rPr>
          <w:rFonts w:ascii="Times New Roman" w:eastAsia="宋体" w:hAnsi="Times New Roman" w:cs="Times New Roman" w:hint="eastAsia"/>
          <w:i/>
          <w:iCs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 w:hint="eastAsia"/>
          <w:i/>
          <w:iCs/>
        </w:rPr>
        <w:t>Zhaoyu</w:t>
      </w:r>
      <w:proofErr w:type="spellEnd"/>
      <w:r>
        <w:rPr>
          <w:rFonts w:ascii="Times New Roman" w:hAnsi="Times New Roman" w:cs="Times New Roman" w:hint="eastAsia"/>
          <w:i/>
          <w:iCs/>
        </w:rPr>
        <w:t xml:space="preserve"> Jia </w:t>
      </w:r>
      <w:r>
        <w:rPr>
          <w:rFonts w:ascii="Times New Roman" w:eastAsia="宋体" w:hAnsi="Times New Roman" w:cs="Times New Roman" w:hint="eastAsia"/>
          <w:i/>
          <w:iCs/>
          <w:vertAlign w:val="superscript"/>
        </w:rPr>
        <w:t>1,3</w:t>
      </w:r>
      <w:r>
        <w:rPr>
          <w:rFonts w:ascii="Times New Roman" w:hAnsi="Times New Roman" w:cs="Times New Roman" w:hint="eastAsia"/>
          <w:i/>
          <w:iCs/>
        </w:rPr>
        <w:t xml:space="preserve">, </w:t>
      </w:r>
      <w:proofErr w:type="spellStart"/>
      <w:r>
        <w:rPr>
          <w:rFonts w:ascii="Times New Roman" w:hAnsi="Times New Roman" w:cs="Times New Roman" w:hint="eastAsia"/>
          <w:i/>
          <w:iCs/>
        </w:rPr>
        <w:t>Yidan</w:t>
      </w:r>
      <w:proofErr w:type="spellEnd"/>
      <w:r>
        <w:rPr>
          <w:rFonts w:ascii="Times New Roman" w:hAnsi="Times New Roman" w:cs="Times New Roman" w:hint="eastAsia"/>
          <w:i/>
          <w:iCs/>
        </w:rPr>
        <w:t xml:space="preserve"> Jia </w:t>
      </w:r>
      <w:r>
        <w:rPr>
          <w:rFonts w:ascii="Times New Roman" w:eastAsia="宋体" w:hAnsi="Times New Roman" w:cs="Times New Roman" w:hint="eastAsia"/>
          <w:i/>
          <w:iCs/>
          <w:vertAlign w:val="superscript"/>
        </w:rPr>
        <w:t>1,2,3</w:t>
      </w:r>
      <w:r>
        <w:rPr>
          <w:rFonts w:ascii="Times New Roman" w:eastAsia="宋体" w:hAnsi="Times New Roman" w:cs="Times New Roman" w:hint="eastAsia"/>
          <w:i/>
          <w:iCs/>
        </w:rPr>
        <w:t>,</w:t>
      </w:r>
      <w:r>
        <w:rPr>
          <w:rFonts w:ascii="Times New Roman" w:eastAsia="宋体" w:hAnsi="Times New Roman" w:cs="Times New Roman" w:hint="eastAsia"/>
          <w:i/>
          <w:iCs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Xiaoxia Li </w:t>
      </w:r>
      <w:r>
        <w:rPr>
          <w:rFonts w:ascii="Times New Roman" w:eastAsia="宋体" w:hAnsi="Times New Roman" w:cs="Times New Roman" w:hint="eastAsia"/>
          <w:i/>
          <w:iCs/>
          <w:vertAlign w:val="superscript"/>
        </w:rPr>
        <w:t>1,2,3,4</w:t>
      </w:r>
      <w:r>
        <w:rPr>
          <w:rFonts w:ascii="Times New Roman" w:hAnsi="Times New Roman" w:cs="Times New Roman"/>
          <w:i/>
          <w:iCs/>
          <w:vertAlign w:val="superscript"/>
        </w:rPr>
        <w:t>*</w:t>
      </w:r>
      <w:r>
        <w:rPr>
          <w:rFonts w:ascii="Times New Roman" w:hAnsi="Times New Roman" w:cs="Times New Roman"/>
          <w:i/>
          <w:iCs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</w:rPr>
        <w:t>Yanxu</w:t>
      </w:r>
      <w:proofErr w:type="spellEnd"/>
      <w:r>
        <w:rPr>
          <w:rFonts w:ascii="Times New Roman" w:hAnsi="Times New Roman" w:cs="Times New Roman"/>
          <w:i/>
          <w:iCs/>
        </w:rPr>
        <w:t xml:space="preserve"> Chang </w:t>
      </w:r>
      <w:r>
        <w:rPr>
          <w:rFonts w:ascii="Times New Roman" w:eastAsia="宋体" w:hAnsi="Times New Roman" w:cs="Times New Roman" w:hint="eastAsia"/>
          <w:i/>
          <w:iCs/>
          <w:vertAlign w:val="superscript"/>
        </w:rPr>
        <w:t>1</w:t>
      </w:r>
      <w:r>
        <w:rPr>
          <w:rFonts w:ascii="Times New Roman" w:hAnsi="Times New Roman" w:cs="Times New Roman"/>
          <w:i/>
          <w:iCs/>
          <w:vertAlign w:val="superscript"/>
        </w:rPr>
        <w:t>,</w:t>
      </w:r>
      <w:r>
        <w:rPr>
          <w:rFonts w:ascii="Times New Roman" w:eastAsia="宋体" w:hAnsi="Times New Roman" w:cs="Times New Roman" w:hint="eastAsia"/>
          <w:i/>
          <w:iCs/>
          <w:vertAlign w:val="superscript"/>
        </w:rPr>
        <w:t>3,4</w:t>
      </w:r>
      <w:r>
        <w:rPr>
          <w:rFonts w:ascii="Times New Roman" w:hAnsi="Times New Roman" w:cs="Times New Roman"/>
          <w:i/>
          <w:iCs/>
          <w:vertAlign w:val="superscript"/>
        </w:rPr>
        <w:t>*</w:t>
      </w:r>
    </w:p>
    <w:p w14:paraId="01098549" w14:textId="77777777" w:rsidR="000F4782" w:rsidRDefault="000F4782" w:rsidP="000F478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32"/>
        </w:rPr>
      </w:pPr>
    </w:p>
    <w:p w14:paraId="654AFE36" w14:textId="77777777" w:rsidR="000F4782" w:rsidRDefault="000F4782" w:rsidP="000F4782">
      <w:pPr>
        <w:spacing w:after="0" w:line="360" w:lineRule="auto"/>
        <w:jc w:val="both"/>
        <w:rPr>
          <w:rFonts w:ascii="Times New Roman" w:hAnsi="Times New Roman" w:cs="Times New Roman"/>
          <w:szCs w:val="22"/>
        </w:rPr>
      </w:pPr>
      <w:r w:rsidRPr="00211E4F">
        <w:rPr>
          <w:rFonts w:ascii="Times New Roman" w:eastAsia="宋体" w:hAnsi="Times New Roman" w:cs="Times New Roman" w:hint="eastAsia"/>
          <w:szCs w:val="22"/>
          <w:vertAlign w:val="superscript"/>
        </w:rPr>
        <w:t>1</w:t>
      </w:r>
      <w:r>
        <w:rPr>
          <w:rFonts w:ascii="Times New Roman" w:hAnsi="Times New Roman" w:cs="Times New Roman"/>
          <w:szCs w:val="22"/>
        </w:rPr>
        <w:t xml:space="preserve"> State Key Laboratory of Chinese Medicine Modernization, Tianjin University of Traditional Chinese Medicine, Tianjin 301617, China</w:t>
      </w:r>
    </w:p>
    <w:p w14:paraId="09073C68" w14:textId="77777777" w:rsidR="000F4782" w:rsidRDefault="000F4782" w:rsidP="000F4782">
      <w:pPr>
        <w:spacing w:after="0" w:line="360" w:lineRule="auto"/>
        <w:jc w:val="both"/>
        <w:rPr>
          <w:rFonts w:ascii="Times New Roman" w:hAnsi="Times New Roman" w:cs="Times New Roman"/>
          <w:szCs w:val="22"/>
        </w:rPr>
      </w:pPr>
      <w:r w:rsidRPr="00211E4F">
        <w:rPr>
          <w:rFonts w:ascii="Times New Roman" w:eastAsia="宋体" w:hAnsi="Times New Roman" w:cs="Times New Roman" w:hint="eastAsia"/>
          <w:szCs w:val="22"/>
          <w:vertAlign w:val="superscript"/>
        </w:rPr>
        <w:t>2</w:t>
      </w:r>
      <w:r>
        <w:rPr>
          <w:rFonts w:ascii="Times New Roman" w:hAnsi="Times New Roman" w:cs="Times New Roman"/>
          <w:szCs w:val="22"/>
        </w:rPr>
        <w:t xml:space="preserve"> School of Chinese Materia Medica, Tianjin University of Traditional Chinese Medicine, Tianjin 301617, China</w:t>
      </w:r>
    </w:p>
    <w:p w14:paraId="75A5181A" w14:textId="77777777" w:rsidR="000F4782" w:rsidRDefault="000F4782" w:rsidP="000F4782">
      <w:pPr>
        <w:spacing w:after="0" w:line="360" w:lineRule="auto"/>
        <w:jc w:val="both"/>
        <w:rPr>
          <w:rFonts w:ascii="Times New Roman" w:hAnsi="Times New Roman" w:cs="Times New Roman"/>
          <w:szCs w:val="22"/>
        </w:rPr>
      </w:pPr>
      <w:r w:rsidRPr="00211E4F">
        <w:rPr>
          <w:rFonts w:ascii="Times New Roman" w:hAnsi="Times New Roman" w:cs="Times New Roman"/>
          <w:szCs w:val="22"/>
          <w:vertAlign w:val="superscript"/>
        </w:rPr>
        <w:t>3</w:t>
      </w:r>
      <w:r>
        <w:rPr>
          <w:rFonts w:ascii="Times New Roman" w:hAnsi="Times New Roman" w:cs="Times New Roman"/>
          <w:szCs w:val="22"/>
        </w:rPr>
        <w:t xml:space="preserve"> Tianjin Key Laboratory of Therapeutic Substance of Traditional Chinese Medicine, Tianjin University of Traditional Chinese Medicine, Tianjin 301617, China</w:t>
      </w:r>
    </w:p>
    <w:p w14:paraId="599A91BC" w14:textId="77777777" w:rsidR="000F4782" w:rsidRDefault="000F4782" w:rsidP="000F4782">
      <w:pPr>
        <w:spacing w:after="0" w:line="360" w:lineRule="auto"/>
        <w:jc w:val="both"/>
        <w:rPr>
          <w:rFonts w:ascii="Times New Roman" w:hAnsi="Times New Roman" w:cs="Times New Roman"/>
          <w:szCs w:val="22"/>
        </w:rPr>
      </w:pPr>
      <w:r w:rsidRPr="00211E4F">
        <w:rPr>
          <w:rFonts w:ascii="Times New Roman" w:hAnsi="Times New Roman" w:cs="Times New Roman" w:hint="eastAsia"/>
          <w:vertAlign w:val="superscript"/>
        </w:rPr>
        <w:t>4</w:t>
      </w:r>
      <w:r>
        <w:rPr>
          <w:rFonts w:ascii="Times New Roman" w:hAnsi="Times New Roman" w:cs="Times New Roman" w:hint="eastAsia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China-Ghana Belt and Road</w:t>
      </w:r>
      <w:r>
        <w:rPr>
          <w:rFonts w:ascii="Times New Roman" w:hAnsi="Times New Roman" w:cs="Times New Roman" w:hint="eastAsia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Joint Laboratory on Traditional Medicine, Tianjin University of Traditional Chinese Medicine, Tianjin 301617, China</w:t>
      </w:r>
    </w:p>
    <w:p w14:paraId="19D5AF8B" w14:textId="77777777" w:rsidR="000F4782" w:rsidRDefault="000F4782" w:rsidP="000F4782">
      <w:pPr>
        <w:spacing w:after="0" w:line="360" w:lineRule="auto"/>
        <w:rPr>
          <w:rFonts w:ascii="Times New Roman" w:hAnsi="Times New Roman" w:cs="Times New Roman"/>
          <w:szCs w:val="22"/>
        </w:rPr>
      </w:pPr>
    </w:p>
    <w:p w14:paraId="35BC1D98" w14:textId="77777777" w:rsidR="000F4782" w:rsidRDefault="000F4782" w:rsidP="000F4782">
      <w:pPr>
        <w:spacing w:after="0" w:line="360" w:lineRule="auto"/>
        <w:jc w:val="both"/>
        <w:rPr>
          <w:rFonts w:ascii="Times New Roman" w:eastAsia="宋体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 xml:space="preserve">* Correspondence: </w:t>
      </w:r>
    </w:p>
    <w:p w14:paraId="0CC82F9B" w14:textId="77777777" w:rsidR="000F4782" w:rsidRDefault="000F4782" w:rsidP="000F4782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Xiaoxia Li</w:t>
      </w:r>
      <w:r>
        <w:rPr>
          <w:rFonts w:ascii="Times New Roman" w:eastAsia="Calibri" w:hAnsi="Times New Roman" w:cs="Times New Roman"/>
          <w:color w:val="000000"/>
        </w:rPr>
        <w:t xml:space="preserve">, </w:t>
      </w:r>
      <w:r>
        <w:rPr>
          <w:rFonts w:ascii="Times New Roman" w:hAnsi="Times New Roman" w:cs="Times New Roman"/>
        </w:rPr>
        <w:t xml:space="preserve">School of Chinese Materia Medica, Tianjin University of Traditional Chinese Medicine, Tianjin 301617, China </w:t>
      </w:r>
    </w:p>
    <w:p w14:paraId="76D7098C" w14:textId="77777777" w:rsidR="000F4782" w:rsidRPr="00AF242B" w:rsidRDefault="000F4782" w:rsidP="000F4782">
      <w:pPr>
        <w:snapToGrid w:val="0"/>
        <w:spacing w:after="0" w:line="360" w:lineRule="auto"/>
        <w:contextualSpacing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="Calibri" w:hAnsi="Times New Roman" w:cs="Times New Roman"/>
          <w:color w:val="000000"/>
        </w:rPr>
        <w:t xml:space="preserve">E-mail: </w:t>
      </w:r>
      <w:hyperlink r:id="rId7" w:history="1">
        <w:r>
          <w:rPr>
            <w:rStyle w:val="ad"/>
            <w:rFonts w:ascii="Times New Roman" w:hAnsi="Times New Roman" w:cs="Times New Roman"/>
            <w:sz w:val="24"/>
          </w:rPr>
          <w:t>lixx@tjutcm.edu.cn</w:t>
        </w:r>
      </w:hyperlink>
      <w:r>
        <w:rPr>
          <w:rFonts w:ascii="Times New Roman" w:hAnsi="Times New Roman" w:cs="Times New Roman"/>
        </w:rPr>
        <w:t xml:space="preserve"> (X. Li)</w:t>
      </w:r>
    </w:p>
    <w:p w14:paraId="32964190" w14:textId="77777777" w:rsidR="000F4782" w:rsidRDefault="000F4782" w:rsidP="000F4782">
      <w:pPr>
        <w:snapToGri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</w:rPr>
      </w:pPr>
      <w:proofErr w:type="spellStart"/>
      <w:r>
        <w:rPr>
          <w:rFonts w:ascii="Times New Roman" w:eastAsia="Calibri" w:hAnsi="Times New Roman" w:cs="Times New Roman"/>
          <w:color w:val="000000"/>
        </w:rPr>
        <w:t>Yanxu</w:t>
      </w:r>
      <w:proofErr w:type="spellEnd"/>
      <w:r>
        <w:rPr>
          <w:rFonts w:ascii="Times New Roman" w:eastAsia="Calibri" w:hAnsi="Times New Roman" w:cs="Times New Roman"/>
          <w:color w:val="000000"/>
        </w:rPr>
        <w:t xml:space="preserve"> Chang, State Key Laboratory of Chinese Medicine Modernization, Tianjin University of Traditional Chinese Medicine</w:t>
      </w:r>
      <w:r>
        <w:rPr>
          <w:rFonts w:ascii="Times New Roman" w:hAnsi="Times New Roman" w:cs="Times New Roman"/>
        </w:rPr>
        <w:t>, Tianjin 301617, China</w:t>
      </w:r>
    </w:p>
    <w:p w14:paraId="495DF4F9" w14:textId="77777777" w:rsidR="000F4782" w:rsidRDefault="000F4782" w:rsidP="000F4782">
      <w:pPr>
        <w:snapToGri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 xml:space="preserve">E-mail: </w:t>
      </w:r>
      <w:hyperlink r:id="rId8" w:history="1">
        <w:r w:rsidRPr="00066E06">
          <w:rPr>
            <w:rStyle w:val="ad"/>
            <w:rFonts w:ascii="Times New Roman" w:eastAsia="Calibri" w:hAnsi="Times New Roman" w:cs="Times New Roman"/>
            <w:sz w:val="24"/>
          </w:rPr>
          <w:t>Tcmcyx@</w:t>
        </w:r>
        <w:r w:rsidRPr="00066E06">
          <w:rPr>
            <w:rStyle w:val="ad"/>
            <w:rFonts w:ascii="Times New Roman" w:eastAsia="宋体" w:hAnsi="Times New Roman" w:cs="Times New Roman"/>
            <w:sz w:val="24"/>
          </w:rPr>
          <w:t>tjutcm</w:t>
        </w:r>
        <w:r w:rsidRPr="00066E06">
          <w:rPr>
            <w:rStyle w:val="ad"/>
            <w:rFonts w:ascii="Times New Roman" w:eastAsia="Calibri" w:hAnsi="Times New Roman" w:cs="Times New Roman"/>
            <w:sz w:val="24"/>
          </w:rPr>
          <w:t>.</w:t>
        </w:r>
        <w:r w:rsidRPr="001252D7">
          <w:rPr>
            <w:rStyle w:val="ad"/>
            <w:rFonts w:ascii="Times New Roman" w:hAnsi="Times New Roman" w:cs="Times New Roman"/>
            <w:sz w:val="24"/>
          </w:rPr>
          <w:t>edu.</w:t>
        </w:r>
        <w:r w:rsidRPr="00066E06">
          <w:rPr>
            <w:rStyle w:val="ad"/>
            <w:rFonts w:ascii="Times New Roman" w:eastAsia="Calibri" w:hAnsi="Times New Roman" w:cs="Times New Roman"/>
            <w:sz w:val="24"/>
          </w:rPr>
          <w:t>c</w:t>
        </w:r>
        <w:r w:rsidRPr="00066E06">
          <w:rPr>
            <w:rStyle w:val="ad"/>
            <w:rFonts w:ascii="Times New Roman" w:eastAsia="宋体" w:hAnsi="Times New Roman" w:cs="Times New Roman"/>
            <w:sz w:val="24"/>
          </w:rPr>
          <w:t>n</w:t>
        </w:r>
      </w:hyperlink>
      <w:r>
        <w:rPr>
          <w:rFonts w:ascii="Times New Roman" w:eastAsia="宋体" w:hAnsi="Times New Roman" w:cs="Times New Roman"/>
          <w:color w:val="000000"/>
        </w:rPr>
        <w:t xml:space="preserve"> </w:t>
      </w:r>
      <w:r>
        <w:rPr>
          <w:rFonts w:ascii="Times New Roman" w:eastAsia="Calibri" w:hAnsi="Times New Roman" w:cs="Times New Roman"/>
          <w:color w:val="000000"/>
        </w:rPr>
        <w:t>(Y.</w:t>
      </w:r>
      <w:r>
        <w:rPr>
          <w:rFonts w:ascii="Times New Roman" w:eastAsia="宋体" w:hAnsi="Times New Roman" w:cs="Times New Roman"/>
          <w:color w:val="000000"/>
        </w:rPr>
        <w:t xml:space="preserve"> </w:t>
      </w:r>
      <w:r>
        <w:rPr>
          <w:rFonts w:ascii="Times New Roman" w:eastAsia="Calibri" w:hAnsi="Times New Roman" w:cs="Times New Roman"/>
          <w:color w:val="000000"/>
        </w:rPr>
        <w:t>Chang)</w:t>
      </w:r>
    </w:p>
    <w:p w14:paraId="348BCF1F" w14:textId="77777777" w:rsidR="000F4782" w:rsidRDefault="000F4782" w:rsidP="000F4782">
      <w:pPr>
        <w:snapToGri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7295A9DB" w14:textId="77777777" w:rsidR="000F4782" w:rsidRPr="00AF242B" w:rsidRDefault="000F4782" w:rsidP="000F4782">
      <w:pPr>
        <w:spacing w:after="0" w:line="36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="宋体" w:hAnsi="Times New Roman" w:cs="Times New Roman"/>
          <w:bCs/>
        </w:rPr>
        <w:t>†These authors contributed equally to this paper.</w:t>
      </w:r>
    </w:p>
    <w:p w14:paraId="021AD048" w14:textId="77777777" w:rsidR="00575385" w:rsidRDefault="00000000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4"/>
          <w:szCs w:val="28"/>
        </w:rPr>
      </w:pPr>
      <w:r>
        <w:rPr>
          <w:rFonts w:ascii="Times New Roman" w:eastAsiaTheme="minorEastAsia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315C109E" wp14:editId="33F64601">
            <wp:extent cx="5151755" cy="4126865"/>
            <wp:effectExtent l="0" t="0" r="0" b="6985"/>
            <wp:docPr id="17180359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03596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52612" cy="4127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4FC3F" w14:textId="77777777" w:rsidR="00575385" w:rsidRDefault="00000000">
      <w:pPr>
        <w:spacing w:after="0" w:line="360" w:lineRule="auto"/>
        <w:outlineLvl w:val="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 xml:space="preserve">Figure </w:t>
      </w:r>
      <w:r>
        <w:rPr>
          <w:rFonts w:ascii="Times New Roman" w:eastAsia="宋体" w:hAnsi="Times New Roman" w:cs="Times New Roman" w:hint="eastAsia"/>
          <w:b/>
          <w:bCs/>
          <w:sz w:val="24"/>
        </w:rPr>
        <w:t>S1</w:t>
      </w:r>
      <w:r>
        <w:rPr>
          <w:rFonts w:ascii="Times New Roman" w:eastAsia="宋体" w:hAnsi="Times New Roman" w:cs="Times New Roman"/>
          <w:b/>
          <w:bCs/>
          <w:sz w:val="24"/>
        </w:rPr>
        <w:t xml:space="preserve">. </w:t>
      </w:r>
      <w:r>
        <w:rPr>
          <w:rFonts w:ascii="Times New Roman" w:eastAsia="宋体" w:hAnsi="Times New Roman" w:cs="Times New Roman"/>
          <w:sz w:val="24"/>
        </w:rPr>
        <w:t>Chemical structure of HBAs and HBDs</w:t>
      </w:r>
      <w:r>
        <w:rPr>
          <w:rFonts w:ascii="Times New Roman" w:eastAsia="宋体" w:hAnsi="Times New Roman" w:cs="Times New Roman" w:hint="eastAsia"/>
          <w:sz w:val="24"/>
        </w:rPr>
        <w:t>.</w:t>
      </w:r>
    </w:p>
    <w:p w14:paraId="0F3DEF88" w14:textId="77777777" w:rsidR="00575385" w:rsidRDefault="00575385">
      <w:pPr>
        <w:spacing w:after="0" w:line="360" w:lineRule="auto"/>
        <w:rPr>
          <w:rFonts w:ascii="Times New Roman" w:eastAsia="宋体" w:hAnsi="Times New Roman" w:cs="Times New Roman"/>
          <w:sz w:val="24"/>
        </w:rPr>
      </w:pPr>
    </w:p>
    <w:p w14:paraId="561AFB70" w14:textId="77777777" w:rsidR="00575385" w:rsidRDefault="00000000">
      <w:pPr>
        <w:spacing w:after="0" w:line="360" w:lineRule="auto"/>
        <w:jc w:val="center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noProof/>
          <w:sz w:val="24"/>
        </w:rPr>
        <w:drawing>
          <wp:inline distT="0" distB="0" distL="0" distR="0" wp14:anchorId="09E86E95" wp14:editId="34E6F1EB">
            <wp:extent cx="3588385" cy="2626995"/>
            <wp:effectExtent l="0" t="0" r="0" b="1905"/>
            <wp:docPr id="8927138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713835" name="图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9" t="11366" r="13985" b="8569"/>
                    <a:stretch>
                      <a:fillRect/>
                    </a:stretch>
                  </pic:blipFill>
                  <pic:spPr>
                    <a:xfrm>
                      <a:off x="0" y="0"/>
                      <a:ext cx="3599456" cy="263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CD904" w14:textId="77777777" w:rsidR="00575385" w:rsidRDefault="00000000">
      <w:pPr>
        <w:spacing w:after="0" w:line="360" w:lineRule="auto"/>
        <w:jc w:val="both"/>
        <w:outlineLvl w:val="0"/>
        <w:rPr>
          <w:rFonts w:ascii="Times New Roman" w:eastAsiaTheme="minorEastAsia" w:hAnsi="Times New Roman"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 xml:space="preserve">Figure </w:t>
      </w:r>
      <w:r>
        <w:rPr>
          <w:rFonts w:ascii="Times New Roman" w:eastAsia="宋体" w:hAnsi="Times New Roman" w:cs="Times New Roman" w:hint="eastAsia"/>
          <w:b/>
          <w:bCs/>
          <w:sz w:val="24"/>
        </w:rPr>
        <w:t>S2</w:t>
      </w:r>
      <w:r>
        <w:rPr>
          <w:rFonts w:ascii="Times New Roman" w:eastAsia="宋体" w:hAnsi="Times New Roman" w:cs="Times New Roman"/>
          <w:b/>
          <w:bCs/>
          <w:sz w:val="24"/>
        </w:rPr>
        <w:t xml:space="preserve">. </w:t>
      </w:r>
      <w:r>
        <w:rPr>
          <w:rFonts w:ascii="Times New Roman" w:eastAsia="宋体" w:hAnsi="Times New Roman" w:hint="eastAsia"/>
          <w:sz w:val="24"/>
        </w:rPr>
        <w:t>Dose-</w:t>
      </w:r>
      <w:r>
        <w:rPr>
          <w:rFonts w:ascii="Times New Roman" w:eastAsia="宋体" w:hAnsi="Times New Roman"/>
          <w:sz w:val="24"/>
        </w:rPr>
        <w:t xml:space="preserve"> dependent DPPH</w:t>
      </w:r>
      <w:r>
        <w:rPr>
          <w:rFonts w:ascii="Times New Roman" w:hAnsi="Times New Roman"/>
          <w:sz w:val="24"/>
        </w:rPr>
        <w:t>•</w:t>
      </w:r>
      <w:r>
        <w:rPr>
          <w:rFonts w:ascii="Times New Roman" w:eastAsia="宋体" w:hAnsi="Times New Roman"/>
          <w:sz w:val="24"/>
        </w:rPr>
        <w:t xml:space="preserve"> scavenging by </w:t>
      </w:r>
      <w:r>
        <w:rPr>
          <w:rFonts w:ascii="Times New Roman" w:hAnsi="Times New Roman"/>
          <w:sz w:val="24"/>
        </w:rPr>
        <w:t>SM-PN-CDs</w:t>
      </w:r>
      <w:r>
        <w:rPr>
          <w:rFonts w:ascii="Times New Roman" w:eastAsiaTheme="minorEastAsia" w:hAnsi="Times New Roman" w:hint="eastAsia"/>
          <w:sz w:val="24"/>
        </w:rPr>
        <w:t>.</w:t>
      </w:r>
    </w:p>
    <w:p w14:paraId="278E6CC9" w14:textId="77777777" w:rsidR="00575385" w:rsidRDefault="00575385">
      <w:pPr>
        <w:spacing w:after="0" w:line="360" w:lineRule="auto"/>
        <w:jc w:val="both"/>
        <w:outlineLvl w:val="0"/>
        <w:rPr>
          <w:rFonts w:ascii="Times New Roman" w:eastAsiaTheme="minorEastAsia" w:hAnsi="Times New Roman"/>
          <w:sz w:val="24"/>
        </w:rPr>
      </w:pPr>
    </w:p>
    <w:p w14:paraId="1DF017F0" w14:textId="77777777" w:rsidR="00575385" w:rsidRDefault="00575385">
      <w:pPr>
        <w:spacing w:after="0" w:line="360" w:lineRule="auto"/>
        <w:jc w:val="both"/>
        <w:outlineLvl w:val="0"/>
        <w:rPr>
          <w:rFonts w:ascii="Times New Roman" w:eastAsiaTheme="minorEastAsia" w:hAnsi="Times New Roman"/>
          <w:sz w:val="24"/>
        </w:rPr>
      </w:pPr>
    </w:p>
    <w:p w14:paraId="1ED31F84" w14:textId="77777777" w:rsidR="00575385" w:rsidRDefault="00000000">
      <w:pPr>
        <w:spacing w:after="0" w:line="360" w:lineRule="auto"/>
        <w:jc w:val="center"/>
        <w:rPr>
          <w:rFonts w:ascii="Times New Roman" w:eastAsia="宋体" w:hAnsi="Times New Roman" w:cs="Times New Roman"/>
          <w:sz w:val="24"/>
        </w:rPr>
      </w:pPr>
      <w:r>
        <w:rPr>
          <w:rFonts w:hint="eastAsia"/>
        </w:rPr>
        <w:object w:dxaOrig="6190" w:dyaOrig="4739" w14:anchorId="1ADB89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0.55pt;height:239.1pt" o:ole="">
            <v:imagedata r:id="rId11" o:title=""/>
          </v:shape>
          <o:OLEObject Type="Embed" ProgID="Origin95.Graph" ShapeID="_x0000_i1025" DrawAspect="Content" ObjectID="_1850465807" r:id="rId12"/>
        </w:object>
      </w:r>
    </w:p>
    <w:p w14:paraId="246CCFD0" w14:textId="77777777" w:rsidR="00575385" w:rsidRDefault="00000000">
      <w:pPr>
        <w:spacing w:after="0" w:line="360" w:lineRule="auto"/>
        <w:jc w:val="both"/>
        <w:outlineLvl w:val="0"/>
        <w:rPr>
          <w:rFonts w:ascii="Times New Roman" w:eastAsiaTheme="minorEastAsia" w:hAnsi="Times New Roman"/>
          <w:sz w:val="24"/>
          <w:szCs w:val="32"/>
        </w:rPr>
      </w:pPr>
      <w:r>
        <w:rPr>
          <w:rFonts w:ascii="Times New Roman" w:eastAsia="宋体" w:hAnsi="Times New Roman" w:cs="Times New Roman"/>
          <w:b/>
          <w:bCs/>
          <w:sz w:val="24"/>
        </w:rPr>
        <w:t xml:space="preserve">Figure </w:t>
      </w:r>
      <w:r>
        <w:rPr>
          <w:rFonts w:ascii="Times New Roman" w:eastAsia="宋体" w:hAnsi="Times New Roman" w:cs="Times New Roman" w:hint="eastAsia"/>
          <w:b/>
          <w:bCs/>
          <w:sz w:val="24"/>
        </w:rPr>
        <w:t>S3</w:t>
      </w:r>
      <w:r>
        <w:rPr>
          <w:rFonts w:ascii="Times New Roman" w:eastAsia="宋体" w:hAnsi="Times New Roman" w:cs="Times New Roman"/>
          <w:b/>
          <w:bCs/>
          <w:sz w:val="24"/>
        </w:rPr>
        <w:t xml:space="preserve">. </w:t>
      </w:r>
      <w:r>
        <w:rPr>
          <w:rFonts w:ascii="Times New Roman" w:hAnsi="Times New Roman"/>
          <w:sz w:val="24"/>
          <w:szCs w:val="32"/>
        </w:rPr>
        <w:t xml:space="preserve">Comparison of </w:t>
      </w:r>
      <w:r>
        <w:rPr>
          <w:rFonts w:ascii="Times New Roman" w:eastAsia="宋体" w:hAnsi="Times New Roman"/>
          <w:sz w:val="24"/>
          <w:szCs w:val="32"/>
        </w:rPr>
        <w:t>DPPH</w:t>
      </w:r>
      <w:r>
        <w:rPr>
          <w:rFonts w:ascii="Times New Roman" w:hAnsi="Times New Roman"/>
          <w:sz w:val="24"/>
          <w:szCs w:val="28"/>
        </w:rPr>
        <w:t>•</w:t>
      </w:r>
      <w:r>
        <w:rPr>
          <w:rFonts w:ascii="Times New Roman" w:hAnsi="Times New Roman"/>
          <w:sz w:val="24"/>
          <w:szCs w:val="32"/>
        </w:rPr>
        <w:t xml:space="preserve"> scavenging by AA, SM-PN, and SM-PN-CDs at different doses.</w:t>
      </w:r>
    </w:p>
    <w:p w14:paraId="7D6D35A0" w14:textId="77777777" w:rsidR="00575385" w:rsidRDefault="00575385">
      <w:pPr>
        <w:spacing w:after="0" w:line="360" w:lineRule="auto"/>
        <w:outlineLvl w:val="0"/>
        <w:rPr>
          <w:rFonts w:ascii="Times New Roman" w:eastAsiaTheme="minorEastAsia" w:hAnsi="Times New Roman" w:cs="Times New Roman"/>
          <w:b/>
          <w:bCs/>
          <w:kern w:val="0"/>
          <w:sz w:val="24"/>
        </w:rPr>
        <w:sectPr w:rsidR="0057538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1AF3DE0" w14:textId="77777777" w:rsidR="00575385" w:rsidRDefault="00000000">
      <w:pPr>
        <w:spacing w:after="0" w:line="360" w:lineRule="auto"/>
        <w:jc w:val="center"/>
        <w:outlineLvl w:val="0"/>
        <w:rPr>
          <w:rFonts w:ascii="Times New Roman" w:eastAsiaTheme="minorEastAsia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b/>
          <w:bCs/>
          <w:kern w:val="0"/>
          <w:sz w:val="24"/>
        </w:rPr>
        <w:lastRenderedPageBreak/>
        <w:t xml:space="preserve">Table </w:t>
      </w:r>
      <w:r>
        <w:rPr>
          <w:rFonts w:ascii="Times New Roman" w:eastAsiaTheme="minorEastAsia" w:hAnsi="Times New Roman" w:cs="Times New Roman" w:hint="eastAsia"/>
          <w:b/>
          <w:bCs/>
          <w:kern w:val="0"/>
          <w:sz w:val="24"/>
        </w:rPr>
        <w:t>S1</w:t>
      </w:r>
      <w:r>
        <w:rPr>
          <w:rFonts w:ascii="Times New Roman" w:hAnsi="Times New Roman" w:cs="Times New Roman"/>
          <w:b/>
          <w:bCs/>
          <w:kern w:val="0"/>
          <w:sz w:val="24"/>
        </w:rPr>
        <w:t xml:space="preserve">. </w:t>
      </w:r>
      <w:r>
        <w:rPr>
          <w:rFonts w:ascii="Times New Roman" w:eastAsiaTheme="minorEastAsia" w:hAnsi="Times New Roman" w:cs="Times New Roman"/>
          <w:kern w:val="0"/>
          <w:sz w:val="24"/>
        </w:rPr>
        <w:t>Primary antibodies used for western blot analysis</w:t>
      </w:r>
      <w:r>
        <w:rPr>
          <w:rFonts w:ascii="Times New Roman" w:eastAsiaTheme="minorEastAsia" w:hAnsi="Times New Roman" w:cs="Times New Roman" w:hint="eastAsia"/>
          <w:kern w:val="0"/>
          <w:sz w:val="24"/>
        </w:rPr>
        <w:t>.</w:t>
      </w:r>
    </w:p>
    <w:tbl>
      <w:tblPr>
        <w:tblStyle w:val="31"/>
        <w:tblW w:w="0" w:type="auto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693"/>
        <w:gridCol w:w="2693"/>
      </w:tblGrid>
      <w:tr w:rsidR="00575385" w14:paraId="3A6B751A" w14:textId="77777777">
        <w:trPr>
          <w:trHeight w:val="567"/>
          <w:jc w:val="center"/>
        </w:trPr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AE592DE" w14:textId="77777777" w:rsidR="0057538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Primary antibody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44015FA" w14:textId="77777777" w:rsidR="0057538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Dilution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9981506" w14:textId="77777777" w:rsidR="0057538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Catalog number</w:t>
            </w:r>
          </w:p>
        </w:tc>
      </w:tr>
      <w:tr w:rsidR="00575385" w14:paraId="1188FDAD" w14:textId="77777777">
        <w:trPr>
          <w:trHeight w:val="567"/>
          <w:jc w:val="center"/>
        </w:trPr>
        <w:tc>
          <w:tcPr>
            <w:tcW w:w="2410" w:type="dxa"/>
            <w:tcBorders>
              <w:bottom w:val="nil"/>
            </w:tcBorders>
            <w:vAlign w:val="center"/>
          </w:tcPr>
          <w:p w14:paraId="47782BD4" w14:textId="77777777" w:rsidR="00575385" w:rsidRDefault="000000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4"/>
                <w:szCs w:val="20"/>
                <w14:ligatures w14:val="none"/>
              </w:rPr>
              <w:t>Keap1</w:t>
            </w: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14:paraId="6836457F" w14:textId="77777777" w:rsidR="00575385" w:rsidRDefault="000000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4"/>
                <w:szCs w:val="20"/>
                <w14:ligatures w14:val="none"/>
              </w:rPr>
              <w:t>1:1000</w:t>
            </w: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14:paraId="0514FF0B" w14:textId="77777777" w:rsidR="00575385" w:rsidRDefault="000000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4"/>
                <w:szCs w:val="20"/>
                <w14:ligatures w14:val="none"/>
              </w:rPr>
              <w:t>8047S</w:t>
            </w:r>
          </w:p>
        </w:tc>
      </w:tr>
      <w:tr w:rsidR="00575385" w14:paraId="1C6C9264" w14:textId="77777777">
        <w:trPr>
          <w:trHeight w:val="567"/>
          <w:jc w:val="center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4F787D8F" w14:textId="77777777" w:rsidR="0057538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  <w14:ligatures w14:val="none"/>
              </w:rPr>
              <w:t>Nrf2</w:t>
            </w: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14:paraId="5C75BB20" w14:textId="77777777" w:rsidR="00575385" w:rsidRDefault="000000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4"/>
                <w:szCs w:val="20"/>
                <w14:ligatures w14:val="none"/>
              </w:rPr>
              <w:t>1:1000</w:t>
            </w: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14:paraId="2B98B536" w14:textId="77777777" w:rsidR="00575385" w:rsidRDefault="000000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4"/>
                <w:szCs w:val="20"/>
                <w14:ligatures w14:val="none"/>
              </w:rPr>
              <w:t>12721S</w:t>
            </w:r>
          </w:p>
        </w:tc>
      </w:tr>
      <w:tr w:rsidR="00575385" w14:paraId="7D170149" w14:textId="77777777">
        <w:trPr>
          <w:trHeight w:val="567"/>
          <w:jc w:val="center"/>
        </w:trPr>
        <w:tc>
          <w:tcPr>
            <w:tcW w:w="2410" w:type="dxa"/>
            <w:tcBorders>
              <w:top w:val="nil"/>
              <w:bottom w:val="single" w:sz="12" w:space="0" w:color="auto"/>
            </w:tcBorders>
            <w:vAlign w:val="center"/>
          </w:tcPr>
          <w:p w14:paraId="0C38BB88" w14:textId="77777777" w:rsidR="00575385" w:rsidRDefault="000000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14:ligatures w14:val="none"/>
              </w:rPr>
              <w:t>β</w:t>
            </w:r>
            <w:r>
              <w:rPr>
                <w:rFonts w:ascii="Times New Roman" w:eastAsiaTheme="minorEastAsia" w:hAnsi="Times New Roman" w:cs="Times New Roman" w:hint="eastAsia"/>
                <w:kern w:val="0"/>
                <w:sz w:val="24"/>
                <w:szCs w:val="20"/>
                <w14:ligatures w14:val="none"/>
              </w:rPr>
              <w:t>-actin</w:t>
            </w:r>
          </w:p>
        </w:tc>
        <w:tc>
          <w:tcPr>
            <w:tcW w:w="2693" w:type="dxa"/>
            <w:tcBorders>
              <w:top w:val="nil"/>
              <w:bottom w:val="single" w:sz="12" w:space="0" w:color="auto"/>
            </w:tcBorders>
            <w:vAlign w:val="center"/>
          </w:tcPr>
          <w:p w14:paraId="777F0288" w14:textId="77777777" w:rsidR="00575385" w:rsidRDefault="000000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4"/>
                <w:szCs w:val="20"/>
                <w14:ligatures w14:val="none"/>
              </w:rPr>
              <w:t>1:80000</w:t>
            </w:r>
          </w:p>
        </w:tc>
        <w:tc>
          <w:tcPr>
            <w:tcW w:w="2693" w:type="dxa"/>
            <w:tcBorders>
              <w:top w:val="nil"/>
              <w:bottom w:val="single" w:sz="12" w:space="0" w:color="auto"/>
            </w:tcBorders>
            <w:vAlign w:val="center"/>
          </w:tcPr>
          <w:p w14:paraId="5E91091A" w14:textId="77777777" w:rsidR="00575385" w:rsidRDefault="000000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4"/>
                <w:szCs w:val="20"/>
                <w14:ligatures w14:val="none"/>
              </w:rPr>
              <w:t>AC026</w:t>
            </w:r>
          </w:p>
        </w:tc>
      </w:tr>
    </w:tbl>
    <w:p w14:paraId="76993B5D" w14:textId="77777777" w:rsidR="00575385" w:rsidRDefault="00575385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8"/>
        </w:rPr>
      </w:pPr>
    </w:p>
    <w:p w14:paraId="6F8743B6" w14:textId="77777777" w:rsidR="00575385" w:rsidRDefault="00575385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8"/>
        </w:rPr>
      </w:pPr>
    </w:p>
    <w:p w14:paraId="333D90BC" w14:textId="77777777" w:rsidR="00575385" w:rsidRDefault="00000000">
      <w:pPr>
        <w:spacing w:after="0" w:line="360" w:lineRule="auto"/>
        <w:jc w:val="center"/>
        <w:outlineLvl w:val="0"/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  <w:b/>
          <w:bCs/>
          <w:kern w:val="0"/>
          <w:sz w:val="24"/>
        </w:rPr>
        <w:t xml:space="preserve">Table </w:t>
      </w:r>
      <w:r>
        <w:rPr>
          <w:rFonts w:ascii="Times New Roman" w:eastAsiaTheme="minorEastAsia" w:hAnsi="Times New Roman" w:cs="Times New Roman" w:hint="eastAsia"/>
          <w:b/>
          <w:bCs/>
          <w:kern w:val="0"/>
          <w:sz w:val="24"/>
        </w:rPr>
        <w:t>S2</w:t>
      </w:r>
      <w:r>
        <w:rPr>
          <w:rFonts w:ascii="Times New Roman" w:hAnsi="Times New Roman" w:cs="Times New Roman"/>
          <w:b/>
          <w:bCs/>
          <w:kern w:val="0"/>
          <w:sz w:val="24"/>
        </w:rPr>
        <w:t xml:space="preserve">. </w:t>
      </w:r>
      <w:r>
        <w:rPr>
          <w:rFonts w:ascii="Times New Roman" w:eastAsiaTheme="minorEastAsia" w:hAnsi="Times New Roman" w:cs="Times New Roman"/>
          <w:kern w:val="0"/>
          <w:sz w:val="24"/>
        </w:rPr>
        <w:t>Primer sequences used for RT-qPCR</w:t>
      </w:r>
      <w:r>
        <w:rPr>
          <w:rFonts w:ascii="Times New Roman" w:eastAsiaTheme="minorEastAsia" w:hAnsi="Times New Roman" w:cs="Times New Roman" w:hint="eastAsia"/>
          <w:kern w:val="0"/>
          <w:sz w:val="24"/>
        </w:rPr>
        <w:t>.</w:t>
      </w:r>
    </w:p>
    <w:tbl>
      <w:tblPr>
        <w:tblStyle w:val="31"/>
        <w:tblW w:w="9639" w:type="dxa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536"/>
        <w:gridCol w:w="4110"/>
      </w:tblGrid>
      <w:tr w:rsidR="00575385" w14:paraId="6CECB6DA" w14:textId="77777777">
        <w:trPr>
          <w:trHeight w:val="567"/>
          <w:jc w:val="center"/>
        </w:trPr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BE63A43" w14:textId="77777777" w:rsidR="0057538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Gene</w:t>
            </w:r>
          </w:p>
        </w:tc>
        <w:tc>
          <w:tcPr>
            <w:tcW w:w="453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A55FE7F" w14:textId="77777777" w:rsidR="0057538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Forward primer (5′–3′)</w:t>
            </w:r>
          </w:p>
        </w:tc>
        <w:tc>
          <w:tcPr>
            <w:tcW w:w="41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0112607" w14:textId="77777777" w:rsidR="0057538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Reverse primer (5′–3′)</w:t>
            </w:r>
          </w:p>
        </w:tc>
      </w:tr>
      <w:tr w:rsidR="00575385" w14:paraId="00692DC7" w14:textId="77777777">
        <w:trPr>
          <w:trHeight w:val="567"/>
          <w:jc w:val="center"/>
        </w:trPr>
        <w:tc>
          <w:tcPr>
            <w:tcW w:w="993" w:type="dxa"/>
            <w:tcBorders>
              <w:bottom w:val="nil"/>
            </w:tcBorders>
            <w:vAlign w:val="center"/>
          </w:tcPr>
          <w:p w14:paraId="502FC101" w14:textId="77777777" w:rsidR="00575385" w:rsidRDefault="000000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 w:hint="eastAsia"/>
                <w:kern w:val="0"/>
                <w:sz w:val="24"/>
                <w:szCs w:val="20"/>
                <w14:ligatures w14:val="none"/>
              </w:rPr>
              <w:t>Keap1</w:t>
            </w:r>
          </w:p>
        </w:tc>
        <w:tc>
          <w:tcPr>
            <w:tcW w:w="4536" w:type="dxa"/>
            <w:tcBorders>
              <w:bottom w:val="nil"/>
            </w:tcBorders>
            <w:vAlign w:val="center"/>
          </w:tcPr>
          <w:p w14:paraId="530C2E49" w14:textId="77777777" w:rsidR="00575385" w:rsidRDefault="000000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14:ligatures w14:val="none"/>
              </w:rPr>
              <w:t>GCTGTCCTCAATCGTCTCCTTTATG</w:t>
            </w:r>
          </w:p>
        </w:tc>
        <w:tc>
          <w:tcPr>
            <w:tcW w:w="4110" w:type="dxa"/>
            <w:tcBorders>
              <w:bottom w:val="nil"/>
            </w:tcBorders>
            <w:vAlign w:val="center"/>
          </w:tcPr>
          <w:p w14:paraId="15588814" w14:textId="77777777" w:rsidR="00575385" w:rsidRDefault="000000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14:ligatures w14:val="none"/>
              </w:rPr>
              <w:t>TCATTCGCCACTCGTTCCTCTC</w:t>
            </w:r>
          </w:p>
        </w:tc>
      </w:tr>
      <w:tr w:rsidR="00575385" w14:paraId="5C632CB5" w14:textId="77777777">
        <w:trPr>
          <w:trHeight w:val="567"/>
          <w:jc w:val="center"/>
        </w:trPr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5E0DDBD8" w14:textId="77777777" w:rsidR="0057538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  <w14:ligatures w14:val="none"/>
              </w:rPr>
              <w:t>Nrf2</w:t>
            </w:r>
          </w:p>
        </w:tc>
        <w:tc>
          <w:tcPr>
            <w:tcW w:w="4536" w:type="dxa"/>
            <w:tcBorders>
              <w:top w:val="nil"/>
              <w:bottom w:val="nil"/>
            </w:tcBorders>
            <w:vAlign w:val="center"/>
          </w:tcPr>
          <w:p w14:paraId="54B7E248" w14:textId="77777777" w:rsidR="00575385" w:rsidRDefault="000000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14:ligatures w14:val="none"/>
              </w:rPr>
              <w:t>TTCCTTCAGCAGCATCCTCTCC</w:t>
            </w:r>
          </w:p>
        </w:tc>
        <w:tc>
          <w:tcPr>
            <w:tcW w:w="4110" w:type="dxa"/>
            <w:tcBorders>
              <w:top w:val="nil"/>
              <w:bottom w:val="nil"/>
            </w:tcBorders>
            <w:vAlign w:val="center"/>
          </w:tcPr>
          <w:p w14:paraId="2D70D334" w14:textId="77777777" w:rsidR="00575385" w:rsidRDefault="000000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14:ligatures w14:val="none"/>
              </w:rPr>
              <w:t>AATCTGTGTTGACTGTGGCATCTG</w:t>
            </w:r>
          </w:p>
        </w:tc>
      </w:tr>
      <w:tr w:rsidR="00575385" w14:paraId="25A1149B" w14:textId="77777777">
        <w:trPr>
          <w:trHeight w:val="567"/>
          <w:jc w:val="center"/>
        </w:trPr>
        <w:tc>
          <w:tcPr>
            <w:tcW w:w="993" w:type="dxa"/>
            <w:tcBorders>
              <w:top w:val="nil"/>
              <w:bottom w:val="single" w:sz="12" w:space="0" w:color="auto"/>
            </w:tcBorders>
            <w:vAlign w:val="center"/>
          </w:tcPr>
          <w:p w14:paraId="63B70C25" w14:textId="77777777" w:rsidR="0057538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  <w14:ligatures w14:val="none"/>
              </w:rPr>
              <w:t>HO-1</w:t>
            </w:r>
          </w:p>
        </w:tc>
        <w:tc>
          <w:tcPr>
            <w:tcW w:w="4536" w:type="dxa"/>
            <w:tcBorders>
              <w:top w:val="nil"/>
              <w:bottom w:val="single" w:sz="12" w:space="0" w:color="auto"/>
            </w:tcBorders>
            <w:vAlign w:val="center"/>
          </w:tcPr>
          <w:p w14:paraId="0059D2F8" w14:textId="77777777" w:rsidR="00575385" w:rsidRDefault="000000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14:ligatures w14:val="none"/>
              </w:rPr>
              <w:t>GCCAGTGCCACCAAGTTCAAG</w:t>
            </w:r>
          </w:p>
        </w:tc>
        <w:tc>
          <w:tcPr>
            <w:tcW w:w="4110" w:type="dxa"/>
            <w:tcBorders>
              <w:top w:val="nil"/>
              <w:bottom w:val="single" w:sz="12" w:space="0" w:color="auto"/>
            </w:tcBorders>
            <w:vAlign w:val="center"/>
          </w:tcPr>
          <w:p w14:paraId="10FF1A4F" w14:textId="77777777" w:rsidR="00575385" w:rsidRDefault="0000000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14:ligatures w14:val="none"/>
              </w:rPr>
              <w:t>GATGTTGAGCAGGAACGCAGTC</w:t>
            </w:r>
          </w:p>
        </w:tc>
      </w:tr>
    </w:tbl>
    <w:p w14:paraId="2FA0403A" w14:textId="77777777" w:rsidR="00575385" w:rsidRDefault="00575385">
      <w:pPr>
        <w:spacing w:after="0" w:line="360" w:lineRule="auto"/>
        <w:jc w:val="both"/>
        <w:rPr>
          <w:rFonts w:ascii="Times New Roman" w:eastAsia="宋体" w:hAnsi="Times New Roman" w:cs="Times New Roman"/>
          <w:sz w:val="24"/>
        </w:rPr>
      </w:pPr>
    </w:p>
    <w:p w14:paraId="31CCCCC9" w14:textId="77777777" w:rsidR="00575385" w:rsidRDefault="00000000">
      <w:pPr>
        <w:tabs>
          <w:tab w:val="left" w:pos="1131"/>
        </w:tabs>
        <w:rPr>
          <w:rFonts w:ascii="Times New Roman" w:eastAsia="宋体" w:hAnsi="Times New Roman" w:cs="Times New Roman"/>
          <w:sz w:val="24"/>
        </w:rPr>
        <w:sectPr w:rsidR="0057538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eastAsia="宋体" w:hAnsi="Times New Roman" w:cs="Times New Roman"/>
          <w:sz w:val="24"/>
        </w:rPr>
        <w:tab/>
      </w:r>
    </w:p>
    <w:p w14:paraId="18D8FB16" w14:textId="77777777" w:rsidR="00575385" w:rsidRDefault="00000000">
      <w:pPr>
        <w:spacing w:after="0" w:line="360" w:lineRule="auto"/>
        <w:jc w:val="center"/>
        <w:outlineLvl w:val="0"/>
        <w:rPr>
          <w:rFonts w:ascii="Times New Roman" w:eastAsiaTheme="minorEastAsia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b/>
          <w:bCs/>
          <w:kern w:val="0"/>
          <w:sz w:val="24"/>
        </w:rPr>
        <w:lastRenderedPageBreak/>
        <w:t xml:space="preserve">Table </w:t>
      </w:r>
      <w:r>
        <w:rPr>
          <w:rFonts w:ascii="Times New Roman" w:eastAsiaTheme="minorEastAsia" w:hAnsi="Times New Roman" w:cs="Times New Roman" w:hint="eastAsia"/>
          <w:b/>
          <w:bCs/>
          <w:kern w:val="0"/>
          <w:sz w:val="24"/>
        </w:rPr>
        <w:t>S3</w:t>
      </w:r>
      <w:r>
        <w:rPr>
          <w:rFonts w:ascii="Times New Roman" w:hAnsi="Times New Roman" w:cs="Times New Roman"/>
          <w:b/>
          <w:bCs/>
          <w:kern w:val="0"/>
          <w:sz w:val="24"/>
        </w:rPr>
        <w:t xml:space="preserve">. </w:t>
      </w:r>
      <w:r>
        <w:rPr>
          <w:rFonts w:ascii="Times New Roman" w:eastAsiaTheme="minorEastAsia" w:hAnsi="Times New Roman" w:cs="Times New Roman" w:hint="eastAsia"/>
          <w:kern w:val="0"/>
          <w:sz w:val="24"/>
        </w:rPr>
        <w:t>Selected enriched Gene Ontology terms in the molecular function, cellular component, and biological process categories.</w:t>
      </w:r>
    </w:p>
    <w:tbl>
      <w:tblPr>
        <w:tblStyle w:val="31"/>
        <w:tblW w:w="153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1"/>
        <w:gridCol w:w="13718"/>
      </w:tblGrid>
      <w:tr w:rsidR="00575385" w14:paraId="7D7EBE24" w14:textId="77777777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7253A15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14:ligatures w14:val="none"/>
              </w:rPr>
              <w:t>GO ID</w:t>
            </w:r>
          </w:p>
        </w:tc>
        <w:tc>
          <w:tcPr>
            <w:tcW w:w="1371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A320F38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14:ligatures w14:val="none"/>
              </w:rPr>
              <w:t>GO term</w:t>
            </w:r>
          </w:p>
        </w:tc>
      </w:tr>
      <w:tr w:rsidR="00575385" w14:paraId="3C657C7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2517360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GO:0001223</w:t>
            </w:r>
          </w:p>
        </w:tc>
        <w:tc>
          <w:tcPr>
            <w:tcW w:w="13718" w:type="dxa"/>
            <w:tcBorders>
              <w:top w:val="single" w:sz="4" w:space="0" w:color="auto"/>
            </w:tcBorders>
            <w:vAlign w:val="center"/>
          </w:tcPr>
          <w:p w14:paraId="09C3ECF1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transcription coactivator binding</w:t>
            </w:r>
          </w:p>
        </w:tc>
      </w:tr>
      <w:tr w:rsidR="00575385" w14:paraId="42E1532C" w14:textId="77777777">
        <w:trPr>
          <w:jc w:val="center"/>
        </w:trPr>
        <w:tc>
          <w:tcPr>
            <w:tcW w:w="0" w:type="auto"/>
            <w:vAlign w:val="center"/>
          </w:tcPr>
          <w:p w14:paraId="1C64EACB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GO:0020037</w:t>
            </w:r>
          </w:p>
        </w:tc>
        <w:tc>
          <w:tcPr>
            <w:tcW w:w="13718" w:type="dxa"/>
            <w:vAlign w:val="center"/>
          </w:tcPr>
          <w:p w14:paraId="669024D1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heme binding</w:t>
            </w:r>
          </w:p>
        </w:tc>
      </w:tr>
      <w:tr w:rsidR="00575385" w14:paraId="3325BEF2" w14:textId="77777777">
        <w:trPr>
          <w:jc w:val="center"/>
        </w:trPr>
        <w:tc>
          <w:tcPr>
            <w:tcW w:w="0" w:type="auto"/>
            <w:vAlign w:val="center"/>
          </w:tcPr>
          <w:p w14:paraId="59409261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GO:0061629</w:t>
            </w:r>
          </w:p>
        </w:tc>
        <w:tc>
          <w:tcPr>
            <w:tcW w:w="13718" w:type="dxa"/>
            <w:vAlign w:val="center"/>
          </w:tcPr>
          <w:p w14:paraId="1D3C7373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RNA polymerase II-specific DNA-binding transcription factor binding</w:t>
            </w:r>
          </w:p>
        </w:tc>
      </w:tr>
      <w:tr w:rsidR="00575385" w14:paraId="0E73EA65" w14:textId="77777777">
        <w:trPr>
          <w:jc w:val="center"/>
        </w:trPr>
        <w:tc>
          <w:tcPr>
            <w:tcW w:w="0" w:type="auto"/>
            <w:vAlign w:val="center"/>
          </w:tcPr>
          <w:p w14:paraId="4A1B1E48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GO:0031625</w:t>
            </w:r>
          </w:p>
        </w:tc>
        <w:tc>
          <w:tcPr>
            <w:tcW w:w="13718" w:type="dxa"/>
            <w:vAlign w:val="center"/>
          </w:tcPr>
          <w:p w14:paraId="0D659E3B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ubiquitin protein ligase binding</w:t>
            </w:r>
          </w:p>
        </w:tc>
      </w:tr>
      <w:tr w:rsidR="00575385" w14:paraId="0FC2B683" w14:textId="77777777">
        <w:trPr>
          <w:jc w:val="center"/>
        </w:trPr>
        <w:tc>
          <w:tcPr>
            <w:tcW w:w="0" w:type="auto"/>
            <w:vAlign w:val="center"/>
          </w:tcPr>
          <w:p w14:paraId="0FF3D792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GO:0003700</w:t>
            </w:r>
          </w:p>
        </w:tc>
        <w:tc>
          <w:tcPr>
            <w:tcW w:w="13718" w:type="dxa"/>
            <w:vAlign w:val="center"/>
          </w:tcPr>
          <w:p w14:paraId="18A1BC55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DNA-binding transcription factor activity</w:t>
            </w:r>
          </w:p>
        </w:tc>
      </w:tr>
      <w:tr w:rsidR="00575385" w14:paraId="49E29190" w14:textId="77777777">
        <w:trPr>
          <w:jc w:val="center"/>
        </w:trPr>
        <w:tc>
          <w:tcPr>
            <w:tcW w:w="0" w:type="auto"/>
            <w:vAlign w:val="center"/>
          </w:tcPr>
          <w:p w14:paraId="3BE08AD2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GO:0016702</w:t>
            </w:r>
          </w:p>
        </w:tc>
        <w:tc>
          <w:tcPr>
            <w:tcW w:w="13718" w:type="dxa"/>
            <w:vAlign w:val="center"/>
          </w:tcPr>
          <w:p w14:paraId="303A5BDA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oxidoreductase activity, acting on single donors with incorporation of molecular oxygen, incorporation of two atoms of oxygen</w:t>
            </w:r>
          </w:p>
        </w:tc>
      </w:tr>
      <w:tr w:rsidR="00575385" w14:paraId="4DD5D116" w14:textId="77777777">
        <w:trPr>
          <w:jc w:val="center"/>
        </w:trPr>
        <w:tc>
          <w:tcPr>
            <w:tcW w:w="0" w:type="auto"/>
            <w:vAlign w:val="center"/>
          </w:tcPr>
          <w:p w14:paraId="13F71336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GO:0001228</w:t>
            </w:r>
          </w:p>
        </w:tc>
        <w:tc>
          <w:tcPr>
            <w:tcW w:w="13718" w:type="dxa"/>
            <w:vAlign w:val="center"/>
          </w:tcPr>
          <w:p w14:paraId="08A8C68D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DNA-binding transcription activator activity, RNA polymerase II-specific</w:t>
            </w:r>
          </w:p>
        </w:tc>
      </w:tr>
      <w:tr w:rsidR="00575385" w14:paraId="323B0807" w14:textId="77777777">
        <w:trPr>
          <w:jc w:val="center"/>
        </w:trPr>
        <w:tc>
          <w:tcPr>
            <w:tcW w:w="0" w:type="auto"/>
            <w:vAlign w:val="center"/>
          </w:tcPr>
          <w:p w14:paraId="1EC305DF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GO:0016705</w:t>
            </w:r>
          </w:p>
        </w:tc>
        <w:tc>
          <w:tcPr>
            <w:tcW w:w="13718" w:type="dxa"/>
            <w:vAlign w:val="center"/>
          </w:tcPr>
          <w:p w14:paraId="3AC4FD6D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oxidoreductase activity, acting on paired donors, with incorporation or reduction of molecular oxygen</w:t>
            </w:r>
          </w:p>
        </w:tc>
      </w:tr>
      <w:tr w:rsidR="00575385" w14:paraId="0E739963" w14:textId="77777777">
        <w:trPr>
          <w:jc w:val="center"/>
        </w:trPr>
        <w:tc>
          <w:tcPr>
            <w:tcW w:w="0" w:type="auto"/>
            <w:vAlign w:val="center"/>
          </w:tcPr>
          <w:p w14:paraId="1DAFCEAF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GO:0000978</w:t>
            </w:r>
          </w:p>
        </w:tc>
        <w:tc>
          <w:tcPr>
            <w:tcW w:w="13718" w:type="dxa"/>
            <w:vAlign w:val="center"/>
          </w:tcPr>
          <w:p w14:paraId="7C98D6C1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RNA polymerase II cis-regulatory region sequence-specific DNA binding</w:t>
            </w:r>
          </w:p>
        </w:tc>
      </w:tr>
      <w:tr w:rsidR="00575385" w14:paraId="2D297340" w14:textId="77777777">
        <w:trPr>
          <w:jc w:val="center"/>
        </w:trPr>
        <w:tc>
          <w:tcPr>
            <w:tcW w:w="0" w:type="auto"/>
            <w:vAlign w:val="center"/>
          </w:tcPr>
          <w:p w14:paraId="03D01467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GO:0000981</w:t>
            </w:r>
          </w:p>
        </w:tc>
        <w:tc>
          <w:tcPr>
            <w:tcW w:w="13718" w:type="dxa"/>
            <w:vAlign w:val="center"/>
          </w:tcPr>
          <w:p w14:paraId="60AB780D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DNA-binding transcription factor activity, RNA polymerase II-specific</w:t>
            </w:r>
          </w:p>
        </w:tc>
      </w:tr>
      <w:tr w:rsidR="00575385" w14:paraId="37AA1A28" w14:textId="77777777">
        <w:trPr>
          <w:jc w:val="center"/>
        </w:trPr>
        <w:tc>
          <w:tcPr>
            <w:tcW w:w="0" w:type="auto"/>
            <w:vAlign w:val="center"/>
          </w:tcPr>
          <w:p w14:paraId="2A3720A3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GO:0030235</w:t>
            </w:r>
          </w:p>
        </w:tc>
        <w:tc>
          <w:tcPr>
            <w:tcW w:w="13718" w:type="dxa"/>
            <w:vAlign w:val="center"/>
          </w:tcPr>
          <w:p w14:paraId="1FEBE482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nitric-oxide synthase regulator activity</w:t>
            </w:r>
          </w:p>
        </w:tc>
      </w:tr>
      <w:tr w:rsidR="00575385" w14:paraId="7145F894" w14:textId="77777777">
        <w:trPr>
          <w:jc w:val="center"/>
        </w:trPr>
        <w:tc>
          <w:tcPr>
            <w:tcW w:w="0" w:type="auto"/>
            <w:vAlign w:val="center"/>
          </w:tcPr>
          <w:p w14:paraId="13BA3C96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GO:0004601</w:t>
            </w:r>
          </w:p>
        </w:tc>
        <w:tc>
          <w:tcPr>
            <w:tcW w:w="13718" w:type="dxa"/>
            <w:vAlign w:val="center"/>
          </w:tcPr>
          <w:p w14:paraId="6AB307FA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peroxidase activity</w:t>
            </w:r>
          </w:p>
        </w:tc>
      </w:tr>
      <w:tr w:rsidR="00575385" w14:paraId="11827C2C" w14:textId="77777777">
        <w:trPr>
          <w:jc w:val="center"/>
        </w:trPr>
        <w:tc>
          <w:tcPr>
            <w:tcW w:w="0" w:type="auto"/>
            <w:vAlign w:val="center"/>
          </w:tcPr>
          <w:p w14:paraId="245E4226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GO:0004497</w:t>
            </w:r>
          </w:p>
        </w:tc>
        <w:tc>
          <w:tcPr>
            <w:tcW w:w="13718" w:type="dxa"/>
            <w:vAlign w:val="center"/>
          </w:tcPr>
          <w:p w14:paraId="4F1C735C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monooxygenase activity</w:t>
            </w:r>
          </w:p>
        </w:tc>
      </w:tr>
      <w:tr w:rsidR="00575385" w14:paraId="5E35875E" w14:textId="77777777">
        <w:trPr>
          <w:jc w:val="center"/>
        </w:trPr>
        <w:tc>
          <w:tcPr>
            <w:tcW w:w="0" w:type="auto"/>
            <w:vAlign w:val="center"/>
          </w:tcPr>
          <w:p w14:paraId="55E25F1A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GO:0019825</w:t>
            </w:r>
          </w:p>
        </w:tc>
        <w:tc>
          <w:tcPr>
            <w:tcW w:w="13718" w:type="dxa"/>
            <w:vAlign w:val="center"/>
          </w:tcPr>
          <w:p w14:paraId="68674E58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oxygen binding</w:t>
            </w:r>
          </w:p>
        </w:tc>
      </w:tr>
      <w:tr w:rsidR="00575385" w14:paraId="59143DB4" w14:textId="77777777">
        <w:trPr>
          <w:jc w:val="center"/>
        </w:trPr>
        <w:tc>
          <w:tcPr>
            <w:tcW w:w="0" w:type="auto"/>
            <w:vAlign w:val="center"/>
          </w:tcPr>
          <w:p w14:paraId="46971596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GO:0016701</w:t>
            </w:r>
          </w:p>
        </w:tc>
        <w:tc>
          <w:tcPr>
            <w:tcW w:w="13718" w:type="dxa"/>
            <w:vAlign w:val="center"/>
          </w:tcPr>
          <w:p w14:paraId="2D23FFAC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oxidoreductase activity, acting on single donors with incorporation of molecular oxygen</w:t>
            </w:r>
          </w:p>
        </w:tc>
      </w:tr>
      <w:tr w:rsidR="00575385" w14:paraId="5238E52A" w14:textId="77777777">
        <w:trPr>
          <w:jc w:val="center"/>
        </w:trPr>
        <w:tc>
          <w:tcPr>
            <w:tcW w:w="0" w:type="auto"/>
            <w:vAlign w:val="center"/>
          </w:tcPr>
          <w:p w14:paraId="78900285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GO:0005737</w:t>
            </w:r>
          </w:p>
        </w:tc>
        <w:tc>
          <w:tcPr>
            <w:tcW w:w="13718" w:type="dxa"/>
            <w:vAlign w:val="center"/>
          </w:tcPr>
          <w:p w14:paraId="47BDAA3E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cytoplasm</w:t>
            </w:r>
          </w:p>
        </w:tc>
      </w:tr>
      <w:tr w:rsidR="00575385" w14:paraId="6B24603F" w14:textId="77777777">
        <w:trPr>
          <w:jc w:val="center"/>
        </w:trPr>
        <w:tc>
          <w:tcPr>
            <w:tcW w:w="0" w:type="auto"/>
            <w:vAlign w:val="center"/>
          </w:tcPr>
          <w:p w14:paraId="6BBC5186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GO:0005829</w:t>
            </w:r>
          </w:p>
        </w:tc>
        <w:tc>
          <w:tcPr>
            <w:tcW w:w="13718" w:type="dxa"/>
            <w:vAlign w:val="center"/>
          </w:tcPr>
          <w:p w14:paraId="329076A5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cytosol</w:t>
            </w:r>
          </w:p>
        </w:tc>
      </w:tr>
      <w:tr w:rsidR="00575385" w14:paraId="0ADE6523" w14:textId="77777777">
        <w:trPr>
          <w:jc w:val="center"/>
        </w:trPr>
        <w:tc>
          <w:tcPr>
            <w:tcW w:w="0" w:type="auto"/>
            <w:vAlign w:val="center"/>
          </w:tcPr>
          <w:p w14:paraId="6D8D3596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GO:0005886</w:t>
            </w:r>
          </w:p>
        </w:tc>
        <w:tc>
          <w:tcPr>
            <w:tcW w:w="13718" w:type="dxa"/>
            <w:vAlign w:val="center"/>
          </w:tcPr>
          <w:p w14:paraId="5D4DC07D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plasma membrane</w:t>
            </w:r>
          </w:p>
        </w:tc>
      </w:tr>
      <w:tr w:rsidR="00575385" w14:paraId="3E1150D6" w14:textId="77777777">
        <w:trPr>
          <w:jc w:val="center"/>
        </w:trPr>
        <w:tc>
          <w:tcPr>
            <w:tcW w:w="0" w:type="auto"/>
            <w:vAlign w:val="center"/>
          </w:tcPr>
          <w:p w14:paraId="10DAAE82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GO:0000785</w:t>
            </w:r>
          </w:p>
        </w:tc>
        <w:tc>
          <w:tcPr>
            <w:tcW w:w="13718" w:type="dxa"/>
            <w:vAlign w:val="center"/>
          </w:tcPr>
          <w:p w14:paraId="30656CF2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chromatin</w:t>
            </w:r>
          </w:p>
        </w:tc>
      </w:tr>
      <w:tr w:rsidR="00575385" w14:paraId="183C7C3E" w14:textId="77777777">
        <w:trPr>
          <w:jc w:val="center"/>
        </w:trPr>
        <w:tc>
          <w:tcPr>
            <w:tcW w:w="0" w:type="auto"/>
            <w:vAlign w:val="center"/>
          </w:tcPr>
          <w:p w14:paraId="3957022D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GO:0032991</w:t>
            </w:r>
          </w:p>
        </w:tc>
        <w:tc>
          <w:tcPr>
            <w:tcW w:w="13718" w:type="dxa"/>
            <w:vAlign w:val="center"/>
          </w:tcPr>
          <w:p w14:paraId="59FB496B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protein-containing complex</w:t>
            </w:r>
          </w:p>
        </w:tc>
      </w:tr>
      <w:tr w:rsidR="00575385" w14:paraId="0B1149B7" w14:textId="77777777">
        <w:trPr>
          <w:jc w:val="center"/>
        </w:trPr>
        <w:tc>
          <w:tcPr>
            <w:tcW w:w="0" w:type="auto"/>
            <w:vAlign w:val="center"/>
          </w:tcPr>
          <w:p w14:paraId="63771F5A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GO:0098802</w:t>
            </w:r>
          </w:p>
        </w:tc>
        <w:tc>
          <w:tcPr>
            <w:tcW w:w="13718" w:type="dxa"/>
            <w:vAlign w:val="center"/>
          </w:tcPr>
          <w:p w14:paraId="6BFAAED0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signaling receptor complex</w:t>
            </w:r>
          </w:p>
        </w:tc>
      </w:tr>
      <w:tr w:rsidR="00575385" w14:paraId="204D8720" w14:textId="77777777">
        <w:trPr>
          <w:jc w:val="center"/>
        </w:trPr>
        <w:tc>
          <w:tcPr>
            <w:tcW w:w="0" w:type="auto"/>
            <w:vAlign w:val="center"/>
          </w:tcPr>
          <w:p w14:paraId="3145B78A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GO:0005634</w:t>
            </w:r>
          </w:p>
        </w:tc>
        <w:tc>
          <w:tcPr>
            <w:tcW w:w="13718" w:type="dxa"/>
            <w:vAlign w:val="center"/>
          </w:tcPr>
          <w:p w14:paraId="5A9EFC9A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nucleus</w:t>
            </w:r>
          </w:p>
        </w:tc>
      </w:tr>
      <w:tr w:rsidR="00575385" w14:paraId="1690689F" w14:textId="77777777">
        <w:trPr>
          <w:jc w:val="center"/>
        </w:trPr>
        <w:tc>
          <w:tcPr>
            <w:tcW w:w="0" w:type="auto"/>
            <w:vAlign w:val="center"/>
          </w:tcPr>
          <w:p w14:paraId="59458EAC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GO:0070062</w:t>
            </w:r>
          </w:p>
        </w:tc>
        <w:tc>
          <w:tcPr>
            <w:tcW w:w="13718" w:type="dxa"/>
            <w:vAlign w:val="center"/>
          </w:tcPr>
          <w:p w14:paraId="5C7F313A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extracellular exosome</w:t>
            </w:r>
          </w:p>
        </w:tc>
      </w:tr>
      <w:tr w:rsidR="00575385" w14:paraId="4C31D85E" w14:textId="77777777">
        <w:trPr>
          <w:jc w:val="center"/>
        </w:trPr>
        <w:tc>
          <w:tcPr>
            <w:tcW w:w="0" w:type="auto"/>
            <w:vAlign w:val="center"/>
          </w:tcPr>
          <w:p w14:paraId="3D0A5A7A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lastRenderedPageBreak/>
              <w:t>GO:0005654</w:t>
            </w:r>
          </w:p>
        </w:tc>
        <w:tc>
          <w:tcPr>
            <w:tcW w:w="13718" w:type="dxa"/>
            <w:vAlign w:val="center"/>
          </w:tcPr>
          <w:p w14:paraId="513DD56F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nucleoplasm</w:t>
            </w:r>
          </w:p>
        </w:tc>
      </w:tr>
      <w:tr w:rsidR="00575385" w14:paraId="36795072" w14:textId="77777777">
        <w:trPr>
          <w:jc w:val="center"/>
        </w:trPr>
        <w:tc>
          <w:tcPr>
            <w:tcW w:w="0" w:type="auto"/>
            <w:vAlign w:val="center"/>
          </w:tcPr>
          <w:p w14:paraId="2F466E35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GO:0005901</w:t>
            </w:r>
          </w:p>
        </w:tc>
        <w:tc>
          <w:tcPr>
            <w:tcW w:w="13718" w:type="dxa"/>
            <w:vAlign w:val="center"/>
          </w:tcPr>
          <w:p w14:paraId="3BFEBBD9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caveola</w:t>
            </w:r>
          </w:p>
        </w:tc>
      </w:tr>
      <w:tr w:rsidR="00575385" w14:paraId="3A05B776" w14:textId="77777777">
        <w:trPr>
          <w:jc w:val="center"/>
        </w:trPr>
        <w:tc>
          <w:tcPr>
            <w:tcW w:w="0" w:type="auto"/>
            <w:vAlign w:val="center"/>
          </w:tcPr>
          <w:p w14:paraId="670FEC5E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GO:0098857</w:t>
            </w:r>
          </w:p>
        </w:tc>
        <w:tc>
          <w:tcPr>
            <w:tcW w:w="13718" w:type="dxa"/>
            <w:vAlign w:val="center"/>
          </w:tcPr>
          <w:p w14:paraId="68EBD2E0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membrane raft</w:t>
            </w:r>
          </w:p>
        </w:tc>
      </w:tr>
      <w:tr w:rsidR="00575385" w14:paraId="412323C2" w14:textId="77777777">
        <w:trPr>
          <w:jc w:val="center"/>
        </w:trPr>
        <w:tc>
          <w:tcPr>
            <w:tcW w:w="0" w:type="auto"/>
            <w:vAlign w:val="center"/>
          </w:tcPr>
          <w:p w14:paraId="085C0CC7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GO:0090575</w:t>
            </w:r>
          </w:p>
        </w:tc>
        <w:tc>
          <w:tcPr>
            <w:tcW w:w="13718" w:type="dxa"/>
            <w:vAlign w:val="center"/>
          </w:tcPr>
          <w:p w14:paraId="4E62D8C7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RNA polymerase II transcription regulator complex</w:t>
            </w:r>
          </w:p>
        </w:tc>
      </w:tr>
      <w:tr w:rsidR="00575385" w14:paraId="5F9FEF40" w14:textId="77777777">
        <w:trPr>
          <w:jc w:val="center"/>
        </w:trPr>
        <w:tc>
          <w:tcPr>
            <w:tcW w:w="0" w:type="auto"/>
            <w:vAlign w:val="center"/>
          </w:tcPr>
          <w:p w14:paraId="7C1F9EAB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GO:0048471</w:t>
            </w:r>
          </w:p>
        </w:tc>
        <w:tc>
          <w:tcPr>
            <w:tcW w:w="13718" w:type="dxa"/>
            <w:vAlign w:val="center"/>
          </w:tcPr>
          <w:p w14:paraId="6416F41D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perinuclear region of cytoplasm</w:t>
            </w:r>
          </w:p>
        </w:tc>
      </w:tr>
      <w:tr w:rsidR="00575385" w14:paraId="0BDF6ECC" w14:textId="77777777">
        <w:trPr>
          <w:jc w:val="center"/>
        </w:trPr>
        <w:tc>
          <w:tcPr>
            <w:tcW w:w="0" w:type="auto"/>
            <w:vAlign w:val="center"/>
          </w:tcPr>
          <w:p w14:paraId="15AA479D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GO:0005783</w:t>
            </w:r>
          </w:p>
        </w:tc>
        <w:tc>
          <w:tcPr>
            <w:tcW w:w="13718" w:type="dxa"/>
            <w:vAlign w:val="center"/>
          </w:tcPr>
          <w:p w14:paraId="408A11F3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endoplasmic reticulum</w:t>
            </w:r>
          </w:p>
        </w:tc>
      </w:tr>
      <w:tr w:rsidR="00575385" w14:paraId="5F662AE6" w14:textId="77777777">
        <w:trPr>
          <w:jc w:val="center"/>
        </w:trPr>
        <w:tc>
          <w:tcPr>
            <w:tcW w:w="0" w:type="auto"/>
            <w:vAlign w:val="center"/>
          </w:tcPr>
          <w:p w14:paraId="15AA4195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GO:0009986</w:t>
            </w:r>
          </w:p>
        </w:tc>
        <w:tc>
          <w:tcPr>
            <w:tcW w:w="13718" w:type="dxa"/>
            <w:vAlign w:val="center"/>
          </w:tcPr>
          <w:p w14:paraId="3FA2B0D1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cell surface</w:t>
            </w:r>
          </w:p>
        </w:tc>
      </w:tr>
      <w:tr w:rsidR="00575385" w14:paraId="25A02F77" w14:textId="77777777">
        <w:trPr>
          <w:jc w:val="center"/>
        </w:trPr>
        <w:tc>
          <w:tcPr>
            <w:tcW w:w="0" w:type="auto"/>
            <w:vAlign w:val="center"/>
          </w:tcPr>
          <w:p w14:paraId="6D88A5C0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 ID</w:t>
            </w:r>
          </w:p>
        </w:tc>
        <w:tc>
          <w:tcPr>
            <w:tcW w:w="13718" w:type="dxa"/>
            <w:vAlign w:val="center"/>
          </w:tcPr>
          <w:p w14:paraId="2E4B9BAE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 term</w:t>
            </w:r>
          </w:p>
        </w:tc>
      </w:tr>
      <w:tr w:rsidR="00575385" w14:paraId="31DAEDCA" w14:textId="77777777">
        <w:trPr>
          <w:jc w:val="center"/>
        </w:trPr>
        <w:tc>
          <w:tcPr>
            <w:tcW w:w="0" w:type="auto"/>
            <w:vAlign w:val="center"/>
          </w:tcPr>
          <w:p w14:paraId="0D49A620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GO:0045893</w:t>
            </w:r>
          </w:p>
        </w:tc>
        <w:tc>
          <w:tcPr>
            <w:tcW w:w="13718" w:type="dxa"/>
            <w:vAlign w:val="center"/>
          </w:tcPr>
          <w:p w14:paraId="5D76CE73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positive regulation of DNA-templated transcription</w:t>
            </w:r>
          </w:p>
        </w:tc>
      </w:tr>
      <w:tr w:rsidR="00575385" w14:paraId="52665B91" w14:textId="77777777">
        <w:trPr>
          <w:jc w:val="center"/>
        </w:trPr>
        <w:tc>
          <w:tcPr>
            <w:tcW w:w="0" w:type="auto"/>
            <w:vAlign w:val="center"/>
          </w:tcPr>
          <w:p w14:paraId="36E13A52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GO:0045944</w:t>
            </w:r>
          </w:p>
        </w:tc>
        <w:tc>
          <w:tcPr>
            <w:tcW w:w="13718" w:type="dxa"/>
            <w:vAlign w:val="center"/>
          </w:tcPr>
          <w:p w14:paraId="798730C1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positive regulation of transcription by RNA polymerase II</w:t>
            </w:r>
          </w:p>
        </w:tc>
      </w:tr>
      <w:tr w:rsidR="00575385" w14:paraId="1A5A990C" w14:textId="77777777">
        <w:trPr>
          <w:jc w:val="center"/>
        </w:trPr>
        <w:tc>
          <w:tcPr>
            <w:tcW w:w="0" w:type="auto"/>
            <w:vAlign w:val="center"/>
          </w:tcPr>
          <w:p w14:paraId="3BD3A277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GO:0045429</w:t>
            </w:r>
          </w:p>
        </w:tc>
        <w:tc>
          <w:tcPr>
            <w:tcW w:w="13718" w:type="dxa"/>
            <w:vAlign w:val="center"/>
          </w:tcPr>
          <w:p w14:paraId="410C9270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positive regulation of nitric oxide biosynthetic process</w:t>
            </w:r>
          </w:p>
        </w:tc>
      </w:tr>
      <w:tr w:rsidR="00575385" w14:paraId="5E7F9D84" w14:textId="77777777">
        <w:trPr>
          <w:jc w:val="center"/>
        </w:trPr>
        <w:tc>
          <w:tcPr>
            <w:tcW w:w="0" w:type="auto"/>
            <w:vAlign w:val="center"/>
          </w:tcPr>
          <w:p w14:paraId="20AE2A57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GO:0070301</w:t>
            </w:r>
          </w:p>
        </w:tc>
        <w:tc>
          <w:tcPr>
            <w:tcW w:w="13718" w:type="dxa"/>
            <w:vAlign w:val="center"/>
          </w:tcPr>
          <w:p w14:paraId="549B224C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cellular response to hydrogen peroxide</w:t>
            </w:r>
          </w:p>
        </w:tc>
      </w:tr>
      <w:tr w:rsidR="00575385" w14:paraId="1FEB6946" w14:textId="77777777">
        <w:trPr>
          <w:jc w:val="center"/>
        </w:trPr>
        <w:tc>
          <w:tcPr>
            <w:tcW w:w="0" w:type="auto"/>
            <w:vAlign w:val="center"/>
          </w:tcPr>
          <w:p w14:paraId="60CABDF9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GO:1901701</w:t>
            </w:r>
          </w:p>
        </w:tc>
        <w:tc>
          <w:tcPr>
            <w:tcW w:w="13718" w:type="dxa"/>
            <w:vAlign w:val="center"/>
          </w:tcPr>
          <w:p w14:paraId="5CE6DE4F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cellular response to oxygen-containing compound</w:t>
            </w:r>
          </w:p>
        </w:tc>
      </w:tr>
      <w:tr w:rsidR="00575385" w14:paraId="55A60EFC" w14:textId="77777777">
        <w:trPr>
          <w:jc w:val="center"/>
        </w:trPr>
        <w:tc>
          <w:tcPr>
            <w:tcW w:w="0" w:type="auto"/>
            <w:vAlign w:val="center"/>
          </w:tcPr>
          <w:p w14:paraId="25325D7A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GO:0006809</w:t>
            </w:r>
          </w:p>
        </w:tc>
        <w:tc>
          <w:tcPr>
            <w:tcW w:w="13718" w:type="dxa"/>
            <w:vAlign w:val="center"/>
          </w:tcPr>
          <w:p w14:paraId="1838C9E5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nitric oxide biosynthetic process</w:t>
            </w:r>
          </w:p>
        </w:tc>
      </w:tr>
      <w:tr w:rsidR="00575385" w14:paraId="20144257" w14:textId="77777777">
        <w:trPr>
          <w:jc w:val="center"/>
        </w:trPr>
        <w:tc>
          <w:tcPr>
            <w:tcW w:w="0" w:type="auto"/>
            <w:vAlign w:val="center"/>
          </w:tcPr>
          <w:p w14:paraId="5E99CD9C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GO:0042311</w:t>
            </w:r>
          </w:p>
        </w:tc>
        <w:tc>
          <w:tcPr>
            <w:tcW w:w="13718" w:type="dxa"/>
            <w:vAlign w:val="center"/>
          </w:tcPr>
          <w:p w14:paraId="4D71C15F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vasodilation</w:t>
            </w:r>
          </w:p>
        </w:tc>
      </w:tr>
      <w:tr w:rsidR="00575385" w14:paraId="5D7D34E9" w14:textId="77777777">
        <w:trPr>
          <w:jc w:val="center"/>
        </w:trPr>
        <w:tc>
          <w:tcPr>
            <w:tcW w:w="0" w:type="auto"/>
            <w:vAlign w:val="center"/>
          </w:tcPr>
          <w:p w14:paraId="4441BB81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GO:0031648</w:t>
            </w:r>
          </w:p>
        </w:tc>
        <w:tc>
          <w:tcPr>
            <w:tcW w:w="13718" w:type="dxa"/>
            <w:vAlign w:val="center"/>
          </w:tcPr>
          <w:p w14:paraId="28C30AAC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protein destabilization</w:t>
            </w:r>
          </w:p>
        </w:tc>
      </w:tr>
      <w:tr w:rsidR="00575385" w14:paraId="457D4AED" w14:textId="77777777">
        <w:trPr>
          <w:jc w:val="center"/>
        </w:trPr>
        <w:tc>
          <w:tcPr>
            <w:tcW w:w="0" w:type="auto"/>
            <w:vAlign w:val="center"/>
          </w:tcPr>
          <w:p w14:paraId="2763B2FA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GO:0071498</w:t>
            </w:r>
          </w:p>
        </w:tc>
        <w:tc>
          <w:tcPr>
            <w:tcW w:w="13718" w:type="dxa"/>
            <w:vAlign w:val="center"/>
          </w:tcPr>
          <w:p w14:paraId="36D5DC9D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cellular response to fluid shear stress</w:t>
            </w:r>
          </w:p>
        </w:tc>
      </w:tr>
      <w:tr w:rsidR="00575385" w14:paraId="1C8E96C8" w14:textId="77777777">
        <w:trPr>
          <w:jc w:val="center"/>
        </w:trPr>
        <w:tc>
          <w:tcPr>
            <w:tcW w:w="0" w:type="auto"/>
            <w:vAlign w:val="center"/>
          </w:tcPr>
          <w:p w14:paraId="72B04268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GO:0034599</w:t>
            </w:r>
          </w:p>
        </w:tc>
        <w:tc>
          <w:tcPr>
            <w:tcW w:w="13718" w:type="dxa"/>
            <w:vAlign w:val="center"/>
          </w:tcPr>
          <w:p w14:paraId="6EF08797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cellular response to oxidative stress</w:t>
            </w:r>
          </w:p>
        </w:tc>
      </w:tr>
      <w:tr w:rsidR="00575385" w14:paraId="255CC033" w14:textId="77777777">
        <w:trPr>
          <w:jc w:val="center"/>
        </w:trPr>
        <w:tc>
          <w:tcPr>
            <w:tcW w:w="0" w:type="auto"/>
            <w:vAlign w:val="center"/>
          </w:tcPr>
          <w:p w14:paraId="253B31ED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GO:2000379</w:t>
            </w:r>
          </w:p>
        </w:tc>
        <w:tc>
          <w:tcPr>
            <w:tcW w:w="13718" w:type="dxa"/>
            <w:vAlign w:val="center"/>
          </w:tcPr>
          <w:p w14:paraId="6AF71E92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positive regulation of reactive oxygen species metabolic process</w:t>
            </w:r>
          </w:p>
        </w:tc>
      </w:tr>
      <w:tr w:rsidR="00575385" w14:paraId="650086A4" w14:textId="77777777">
        <w:trPr>
          <w:jc w:val="center"/>
        </w:trPr>
        <w:tc>
          <w:tcPr>
            <w:tcW w:w="0" w:type="auto"/>
            <w:vAlign w:val="center"/>
          </w:tcPr>
          <w:p w14:paraId="7246336D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GO:0032436</w:t>
            </w:r>
          </w:p>
        </w:tc>
        <w:tc>
          <w:tcPr>
            <w:tcW w:w="13718" w:type="dxa"/>
            <w:vAlign w:val="center"/>
          </w:tcPr>
          <w:p w14:paraId="0A2FC0B5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positive regulation of proteasomal ubiquitin-dependent protein catabolic process</w:t>
            </w:r>
          </w:p>
        </w:tc>
      </w:tr>
      <w:tr w:rsidR="00575385" w14:paraId="35C291B0" w14:textId="77777777">
        <w:trPr>
          <w:jc w:val="center"/>
        </w:trPr>
        <w:tc>
          <w:tcPr>
            <w:tcW w:w="0" w:type="auto"/>
            <w:vAlign w:val="center"/>
          </w:tcPr>
          <w:p w14:paraId="603A25D5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GO:0034405</w:t>
            </w:r>
          </w:p>
        </w:tc>
        <w:tc>
          <w:tcPr>
            <w:tcW w:w="13718" w:type="dxa"/>
            <w:vAlign w:val="center"/>
          </w:tcPr>
          <w:p w14:paraId="31CA3791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response to fluid shear stress</w:t>
            </w:r>
          </w:p>
        </w:tc>
      </w:tr>
      <w:tr w:rsidR="00575385" w14:paraId="3C8A3F0F" w14:textId="77777777">
        <w:trPr>
          <w:jc w:val="center"/>
        </w:trPr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045BE8E1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GO:0072593</w:t>
            </w:r>
          </w:p>
        </w:tc>
        <w:tc>
          <w:tcPr>
            <w:tcW w:w="13718" w:type="dxa"/>
            <w:tcBorders>
              <w:bottom w:val="single" w:sz="12" w:space="0" w:color="auto"/>
            </w:tcBorders>
            <w:vAlign w:val="center"/>
          </w:tcPr>
          <w:p w14:paraId="5501AE58" w14:textId="77777777" w:rsidR="00575385" w:rsidRDefault="00000000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kern w:val="0"/>
                <w:sz w:val="24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</w:rPr>
              <w:t>reactive oxygen species metabolic process</w:t>
            </w:r>
          </w:p>
        </w:tc>
      </w:tr>
    </w:tbl>
    <w:p w14:paraId="1EA1FB2B" w14:textId="77777777" w:rsidR="00575385" w:rsidRDefault="00575385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bCs/>
          <w:kern w:val="0"/>
          <w:sz w:val="24"/>
        </w:rPr>
      </w:pPr>
    </w:p>
    <w:p w14:paraId="472D567F" w14:textId="77777777" w:rsidR="00575385" w:rsidRDefault="00575385">
      <w:pPr>
        <w:spacing w:after="0" w:line="360" w:lineRule="auto"/>
        <w:jc w:val="center"/>
        <w:outlineLvl w:val="0"/>
        <w:rPr>
          <w:rFonts w:ascii="Times New Roman" w:eastAsiaTheme="minorEastAsia" w:hAnsi="Times New Roman" w:cs="Times New Roman"/>
          <w:sz w:val="24"/>
          <w:szCs w:val="28"/>
        </w:rPr>
      </w:pPr>
    </w:p>
    <w:sectPr w:rsidR="0057538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39696" w14:textId="77777777" w:rsidR="005D468A" w:rsidRDefault="005D468A">
      <w:pPr>
        <w:spacing w:line="240" w:lineRule="auto"/>
      </w:pPr>
      <w:r>
        <w:separator/>
      </w:r>
    </w:p>
  </w:endnote>
  <w:endnote w:type="continuationSeparator" w:id="0">
    <w:p w14:paraId="5C4A065F" w14:textId="77777777" w:rsidR="005D468A" w:rsidRDefault="005D46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7A3B6" w14:textId="77777777" w:rsidR="005D468A" w:rsidRDefault="005D468A">
      <w:pPr>
        <w:spacing w:after="0"/>
      </w:pPr>
      <w:r>
        <w:separator/>
      </w:r>
    </w:p>
  </w:footnote>
  <w:footnote w:type="continuationSeparator" w:id="0">
    <w:p w14:paraId="76BE0806" w14:textId="77777777" w:rsidR="005D468A" w:rsidRDefault="005D468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HorizontalSpacing w:val="11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F30"/>
    <w:rsid w:val="0002258F"/>
    <w:rsid w:val="000662CE"/>
    <w:rsid w:val="00076F4D"/>
    <w:rsid w:val="000951BA"/>
    <w:rsid w:val="000D1BD1"/>
    <w:rsid w:val="000D3FDC"/>
    <w:rsid w:val="000F0126"/>
    <w:rsid w:val="000F04D4"/>
    <w:rsid w:val="000F4782"/>
    <w:rsid w:val="00111AE4"/>
    <w:rsid w:val="00124FB6"/>
    <w:rsid w:val="00147BA9"/>
    <w:rsid w:val="00180AEF"/>
    <w:rsid w:val="001A64F9"/>
    <w:rsid w:val="001B05A8"/>
    <w:rsid w:val="001C5D57"/>
    <w:rsid w:val="001E5198"/>
    <w:rsid w:val="001F0B3E"/>
    <w:rsid w:val="00222DC1"/>
    <w:rsid w:val="00224E0A"/>
    <w:rsid w:val="002630A8"/>
    <w:rsid w:val="002722D2"/>
    <w:rsid w:val="00272CC3"/>
    <w:rsid w:val="002943BD"/>
    <w:rsid w:val="002C6793"/>
    <w:rsid w:val="002D58AD"/>
    <w:rsid w:val="002F7C8E"/>
    <w:rsid w:val="00343601"/>
    <w:rsid w:val="0035295D"/>
    <w:rsid w:val="00377060"/>
    <w:rsid w:val="00392203"/>
    <w:rsid w:val="003B5973"/>
    <w:rsid w:val="003D3FD1"/>
    <w:rsid w:val="003D45AE"/>
    <w:rsid w:val="003E02ED"/>
    <w:rsid w:val="003F4637"/>
    <w:rsid w:val="00406014"/>
    <w:rsid w:val="00436355"/>
    <w:rsid w:val="004446A8"/>
    <w:rsid w:val="00466346"/>
    <w:rsid w:val="00496B86"/>
    <w:rsid w:val="004A1B86"/>
    <w:rsid w:val="004B5E29"/>
    <w:rsid w:val="004F4DFA"/>
    <w:rsid w:val="00511119"/>
    <w:rsid w:val="0052461D"/>
    <w:rsid w:val="005374F9"/>
    <w:rsid w:val="0054185A"/>
    <w:rsid w:val="00575385"/>
    <w:rsid w:val="005A10FC"/>
    <w:rsid w:val="005A7101"/>
    <w:rsid w:val="005C2EDD"/>
    <w:rsid w:val="005D468A"/>
    <w:rsid w:val="005E2835"/>
    <w:rsid w:val="005F1272"/>
    <w:rsid w:val="00601212"/>
    <w:rsid w:val="0062118C"/>
    <w:rsid w:val="00643340"/>
    <w:rsid w:val="0066547C"/>
    <w:rsid w:val="006F4FE5"/>
    <w:rsid w:val="006F6FA7"/>
    <w:rsid w:val="00700014"/>
    <w:rsid w:val="00717130"/>
    <w:rsid w:val="00726BB5"/>
    <w:rsid w:val="007624E3"/>
    <w:rsid w:val="0076779A"/>
    <w:rsid w:val="0077092A"/>
    <w:rsid w:val="00770EB8"/>
    <w:rsid w:val="007730CE"/>
    <w:rsid w:val="00782DE2"/>
    <w:rsid w:val="007F0DBA"/>
    <w:rsid w:val="0080122D"/>
    <w:rsid w:val="00823D9B"/>
    <w:rsid w:val="00875F30"/>
    <w:rsid w:val="008A31A5"/>
    <w:rsid w:val="008B4E43"/>
    <w:rsid w:val="00915222"/>
    <w:rsid w:val="00916330"/>
    <w:rsid w:val="00946CDD"/>
    <w:rsid w:val="009A39A8"/>
    <w:rsid w:val="009A50B7"/>
    <w:rsid w:val="009D78D6"/>
    <w:rsid w:val="009D799E"/>
    <w:rsid w:val="009F0A4B"/>
    <w:rsid w:val="00A24A0A"/>
    <w:rsid w:val="00AA47B6"/>
    <w:rsid w:val="00AB4D50"/>
    <w:rsid w:val="00AB77C6"/>
    <w:rsid w:val="00B02F09"/>
    <w:rsid w:val="00B05770"/>
    <w:rsid w:val="00B1726E"/>
    <w:rsid w:val="00B4174F"/>
    <w:rsid w:val="00B503FE"/>
    <w:rsid w:val="00B60DA0"/>
    <w:rsid w:val="00B6324F"/>
    <w:rsid w:val="00B6447C"/>
    <w:rsid w:val="00B80960"/>
    <w:rsid w:val="00BC3EE3"/>
    <w:rsid w:val="00CB1DC3"/>
    <w:rsid w:val="00CC61BF"/>
    <w:rsid w:val="00CD15EE"/>
    <w:rsid w:val="00CF5A10"/>
    <w:rsid w:val="00D105C3"/>
    <w:rsid w:val="00D9427D"/>
    <w:rsid w:val="00E1273B"/>
    <w:rsid w:val="00E838AF"/>
    <w:rsid w:val="00ED4AF4"/>
    <w:rsid w:val="00F1076C"/>
    <w:rsid w:val="00F10D81"/>
    <w:rsid w:val="00F12184"/>
    <w:rsid w:val="00F30AD0"/>
    <w:rsid w:val="00F53991"/>
    <w:rsid w:val="00F640D9"/>
    <w:rsid w:val="00F7746F"/>
    <w:rsid w:val="00F776E2"/>
    <w:rsid w:val="00FB4541"/>
    <w:rsid w:val="00FE232C"/>
    <w:rsid w:val="00FF0A91"/>
    <w:rsid w:val="11565736"/>
    <w:rsid w:val="3F7E1350"/>
    <w:rsid w:val="59DC7706"/>
    <w:rsid w:val="5BC1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274DBA"/>
  <w15:docId w15:val="{101E0CAC-2354-4858-8D6A-C1B9CF886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Theme="minorHAnsi" w:eastAsia="Times New Roman" w:hAnsiTheme="minorHAnsi" w:cstheme="minorBidi"/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b">
    <w:name w:val="FollowedHyperlink"/>
    <w:basedOn w:val="a0"/>
    <w:uiPriority w:val="99"/>
    <w:semiHidden/>
    <w:unhideWhenUsed/>
    <w:rPr>
      <w:color w:val="96607D"/>
      <w:u w:val="single"/>
    </w:rPr>
  </w:style>
  <w:style w:type="character" w:styleId="ac">
    <w:name w:val="line number"/>
    <w:basedOn w:val="a0"/>
    <w:uiPriority w:val="99"/>
    <w:semiHidden/>
    <w:unhideWhenUsed/>
    <w:qFormat/>
  </w:style>
  <w:style w:type="character" w:styleId="ad">
    <w:name w:val="Hyperlink"/>
    <w:basedOn w:val="a0"/>
    <w:uiPriority w:val="99"/>
    <w:unhideWhenUsed/>
    <w:qFormat/>
    <w:rPr>
      <w:color w:val="467886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e">
    <w:name w:val="Quote"/>
    <w:basedOn w:val="a"/>
    <w:next w:val="a"/>
    <w:link w:val="af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">
    <w:name w:val="引用 字符"/>
    <w:basedOn w:val="a0"/>
    <w:link w:val="ae"/>
    <w:uiPriority w:val="29"/>
    <w:qFormat/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2">
    <w:name w:val="明显引用 字符"/>
    <w:basedOn w:val="a0"/>
    <w:link w:val="af1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table" w:customStyle="1" w:styleId="31">
    <w:name w:val="网格型3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mcyx@tjutcm.edu.c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xx@tjutcm.edu.cn" TargetMode="External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98B6F-B00F-4E07-9008-B80D741D8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6</Pages>
  <Words>660</Words>
  <Characters>3767</Characters>
  <Application>Microsoft Office Word</Application>
  <DocSecurity>0</DocSecurity>
  <Lines>31</Lines>
  <Paragraphs>8</Paragraphs>
  <ScaleCrop>false</ScaleCrop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海翔 李</dc:creator>
  <cp:lastModifiedBy>海翔 李</cp:lastModifiedBy>
  <cp:revision>47</cp:revision>
  <cp:lastPrinted>2026-06-09T08:51:00Z</cp:lastPrinted>
  <dcterms:created xsi:type="dcterms:W3CDTF">2026-04-09T01:47:00Z</dcterms:created>
  <dcterms:modified xsi:type="dcterms:W3CDTF">2026-09-09T05:30:00Z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eyJoZGlkIjoiOTc3M2Y5NzIzMDFlZjAyY2Q4Njk5ODkyYjFjNzBiNTQiLCJ1c2VySWQiOiIxMDcxMTU0MDAwIn0=</vt:lpwstr>
  </property>
  <property fmtid="{D5CDD505-2E9C-101B-9397-08002B2CF9AE}" pid="3" name="KSOProductBuildVer">
    <vt:lpwstr>2052-12.1.0.28043</vt:lpwstr>
  </property>
  <property fmtid="{D5CDD505-2E9C-101B-9397-08002B2CF9AE}" pid="4" name="ICV">
    <vt:lpwstr>FEF3FA3B54814C9E95C2AE210B175924_12</vt:lpwstr>
  </property>
</Properties>
</file>