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. Comparison of secondary clinical outcomes</w:t>
      </w:r>
    </w:p>
    <w:tbl>
      <w:tblPr>
        <w:tblStyle w:val="2"/>
        <w:tblpPr w:leftFromText="180" w:rightFromText="180" w:vertAnchor="page" w:horzAnchor="page" w:tblpX="1480" w:tblpY="1931"/>
        <w:tblOverlap w:val="never"/>
        <w:tblW w:w="91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2533"/>
        <w:gridCol w:w="2280"/>
        <w:gridCol w:w="12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single" w:color="000000" w:themeColor="text1" w:sz="12" w:space="0"/>
              <w:left w:val="single" w:color="FFFFFF" w:sz="8" w:space="0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微软雅黑" w:cs="Times New Roman"/>
                <w:b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53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C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ontrol</w:t>
            </w: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g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roup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28)</w:t>
            </w:r>
          </w:p>
        </w:tc>
        <w:tc>
          <w:tcPr>
            <w:tcW w:w="2280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91"/>
                <w:tab w:val="center" w:pos="1068"/>
              </w:tabs>
              <w:spacing w:line="240" w:lineRule="auto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MR g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roup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(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4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27)</w:t>
            </w:r>
          </w:p>
        </w:tc>
        <w:tc>
          <w:tcPr>
            <w:tcW w:w="126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b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/>
                <w:bCs w:val="0"/>
                <w:i/>
                <w:iCs/>
                <w:color w:val="auto"/>
                <w:sz w:val="20"/>
                <w:szCs w:val="20"/>
                <w:lang w:val="en-US" w:eastAsia="zh-CN" w:bidi="ar"/>
              </w:rPr>
              <w:t xml:space="preserve">P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bCs w:val="0"/>
                <w:color w:val="auto"/>
                <w:sz w:val="20"/>
                <w:szCs w:val="20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single" w:color="000000" w:themeColor="text1" w:sz="12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NRS</w:t>
            </w:r>
          </w:p>
        </w:tc>
        <w:tc>
          <w:tcPr>
            <w:tcW w:w="2533" w:type="dxa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280" w:type="dxa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269" w:type="dxa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 (3, 5)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 (3, 5)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20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T1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 (2, 4)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 (2, 3)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T2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(2,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T4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 (2, 4)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(2,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T5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QoR-15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90.07 ± 3.89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87.70 ± 5.88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0.086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T3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97.21 ± 3.40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99.96 ± 4.46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0.013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T4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100.04 ± 2.90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100.59 ± 4.13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0.564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lang w:eastAsia="zh-CN"/>
              </w:rPr>
              <w:t xml:space="preserve">Sleep 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q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lang w:eastAsia="zh-CN"/>
              </w:rPr>
              <w:t>uality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5.64 ± 1.64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5.30 ± 1.84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 T2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5.14 ± 1.27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6.04 ± 1.06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  <w:vertAlign w:val="superscript"/>
                <w:lang w:val="en-US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T3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4.57 ± 1.29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4.93 ± 1.30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T4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5.71 ± 0.98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6.07 ± 1.21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RASS</w:t>
            </w: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−1.0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−1.0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Patient Satisfaction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7" w:type="dxa"/>
            <w:tcBorders>
              <w:top w:val="nil"/>
              <w:left w:val="single" w:color="FFFFFF" w:sz="8" w:space="0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hint="eastAsia" w:ascii="Times New Roman" w:hAnsi="Times New Roman"/>
          <w:sz w:val="20"/>
          <w:szCs w:val="20"/>
          <w:lang w:eastAsia="zh-CN"/>
        </w:rPr>
        <w:t xml:space="preserve">Data are presented as mean </w:t>
      </w:r>
      <w:r>
        <w:rPr>
          <w:rFonts w:hint="default" w:ascii="Times New Roman" w:hAnsi="Times New Roman" w:cs="Times New Roman"/>
          <w:sz w:val="20"/>
          <w:szCs w:val="20"/>
          <w:lang w:eastAsia="zh-CN"/>
        </w:rPr>
        <w:t>±</w:t>
      </w:r>
      <w:r>
        <w:rPr>
          <w:rFonts w:hint="eastAsia" w:ascii="Times New Roman" w:hAnsi="Times New Roman"/>
          <w:sz w:val="20"/>
          <w:szCs w:val="20"/>
          <w:lang w:eastAsia="zh-CN"/>
        </w:rPr>
        <w:t xml:space="preserve"> standard deviation or median (interquartile range), as appropriate. Between-group comparisons were performed using the independent-samples t test, or Mann-Whitney </w:t>
      </w:r>
      <w:r>
        <w:rPr>
          <w:rFonts w:hint="eastAsia" w:ascii="Times New Roman" w:hAnsi="Times New Roman"/>
          <w:i/>
          <w:iCs/>
          <w:sz w:val="20"/>
          <w:szCs w:val="20"/>
          <w:lang w:eastAsia="zh-CN"/>
        </w:rPr>
        <w:t>U</w:t>
      </w:r>
      <w:r>
        <w:rPr>
          <w:rFonts w:hint="eastAsia" w:ascii="Times New Roman" w:hAnsi="Times New Roman"/>
          <w:sz w:val="20"/>
          <w:szCs w:val="20"/>
          <w:lang w:eastAsia="zh-CN"/>
        </w:rPr>
        <w:t xml:space="preserve"> test, as appropriate. </w:t>
      </w:r>
      <w:r>
        <w:rPr>
          <w:rFonts w:hint="eastAsia" w:ascii="Times New Roman" w:hAnsi="Times New Roman"/>
          <w:i/>
          <w:iCs/>
          <w:sz w:val="20"/>
          <w:szCs w:val="20"/>
          <w:lang w:eastAsia="zh-CN"/>
        </w:rPr>
        <w:t>NRS</w:t>
      </w:r>
      <w:r>
        <w:rPr>
          <w:rFonts w:hint="eastAsia" w:ascii="Times New Roman" w:hAnsi="Times New Roman"/>
          <w:sz w:val="20"/>
          <w:szCs w:val="20"/>
          <w:lang w:eastAsia="zh-CN"/>
        </w:rPr>
        <w:t xml:space="preserve"> Numerical Rating Scale, </w:t>
      </w:r>
      <w:r>
        <w:rPr>
          <w:rFonts w:hint="eastAsia" w:ascii="Times New Roman" w:hAnsi="Times New Roman"/>
          <w:i/>
          <w:iCs/>
          <w:sz w:val="20"/>
          <w:szCs w:val="20"/>
          <w:lang w:eastAsia="zh-CN"/>
        </w:rPr>
        <w:t>QoR-15</w:t>
      </w:r>
      <w:r>
        <w:rPr>
          <w:rFonts w:hint="eastAsia" w:ascii="Times New Roman" w:hAnsi="Times New Roman"/>
          <w:sz w:val="20"/>
          <w:szCs w:val="20"/>
          <w:lang w:eastAsia="zh-CN"/>
        </w:rPr>
        <w:t xml:space="preserve"> 15-item Quality of Recovery questionnaire, </w:t>
      </w:r>
      <w:r>
        <w:rPr>
          <w:rFonts w:hint="eastAsia" w:ascii="Times New Roman" w:hAnsi="Times New Roman"/>
          <w:i/>
          <w:iCs/>
          <w:sz w:val="20"/>
          <w:szCs w:val="20"/>
          <w:lang w:eastAsia="zh-CN"/>
        </w:rPr>
        <w:t>RASS</w:t>
      </w:r>
      <w:r>
        <w:rPr>
          <w:rFonts w:hint="eastAsia" w:ascii="Times New Roman" w:hAnsi="Times New Roman"/>
          <w:sz w:val="20"/>
          <w:szCs w:val="20"/>
          <w:lang w:eastAsia="zh-CN"/>
        </w:rPr>
        <w:t xml:space="preserve"> Richmond Agitation-Sedation </w:t>
      </w:r>
      <w:bookmarkStart w:id="0" w:name="_GoBack"/>
      <w:bookmarkEnd w:id="0"/>
      <w:r>
        <w:rPr>
          <w:rFonts w:hint="eastAsia" w:ascii="Times New Roman" w:hAnsi="Times New Roman"/>
          <w:sz w:val="20"/>
          <w:szCs w:val="20"/>
          <w:lang w:eastAsia="zh-CN"/>
        </w:rPr>
        <w:t>Scale. T0: before the preoperative anesthesia visit; T1: immediately after the intervention; T2: upon arrival in the operating room; T3: 24 h after surgery; T4: 48 h after surgery. *</w:t>
      </w:r>
      <w:r>
        <w:rPr>
          <w:rFonts w:hint="eastAsia" w:ascii="Times New Roman" w:hAnsi="Times New Roman"/>
          <w:i/>
          <w:iCs/>
          <w:sz w:val="20"/>
          <w:szCs w:val="20"/>
          <w:lang w:eastAsia="zh-CN"/>
        </w:rPr>
        <w:t xml:space="preserve">P </w:t>
      </w:r>
      <w:r>
        <w:rPr>
          <w:rFonts w:hint="eastAsia" w:ascii="Times New Roman" w:hAnsi="Times New Roman"/>
          <w:sz w:val="20"/>
          <w:szCs w:val="20"/>
          <w:lang w:eastAsia="zh-CN"/>
        </w:rPr>
        <w:t>&lt; 0.05.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OTY0M2I2N2Q2MjY1NzEwMTllMjgyZjMxZmUwYjAifQ=="/>
  </w:docVars>
  <w:rsids>
    <w:rsidRoot w:val="33BA5CBE"/>
    <w:rsid w:val="33BA5CBE"/>
    <w:rsid w:val="70B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Arial" w:hAnsi="Arial" w:cs="Arial"/>
      <w:color w:val="FFFFFF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2026-09-07T11:30:00Z</dcterms:created>
  <dc:creator>/小夏</dc:creator>
  <cp:lastModifiedBy>/小夏</cp:lastModifiedBy>
  <dcterms:modified xsi:type="dcterms:W3CDTF">2026-09-08T15:39:32Z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1DCF70D42E5245ED93A27AB7D162BC39_11</vt:lpwstr>
  </property>
</Properties>
</file>