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970E4" w14:textId="77777777" w:rsidR="004A3FA2" w:rsidRDefault="004A3FA2" w:rsidP="004A3FA2">
      <w:pPr>
        <w:pStyle w:val="Heading4"/>
        <w:rPr>
          <w:rFonts w:asciiTheme="majorBidi" w:hAnsiTheme="majorBidi"/>
        </w:rPr>
      </w:pPr>
      <w:r>
        <w:rPr>
          <w:rFonts w:asciiTheme="majorBidi" w:hAnsiTheme="majorBidi"/>
        </w:rPr>
        <w:t>Table S1 — Structural and Topological Summary of All 18 Candidate Multiheme Cytochromes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1806"/>
        <w:gridCol w:w="487"/>
        <w:gridCol w:w="797"/>
        <w:gridCol w:w="1921"/>
        <w:gridCol w:w="970"/>
        <w:gridCol w:w="804"/>
        <w:gridCol w:w="880"/>
        <w:gridCol w:w="1685"/>
      </w:tblGrid>
      <w:tr w:rsidR="004A3FA2" w:rsidRPr="007D1465" w14:paraId="466422F4" w14:textId="77777777" w:rsidTr="000957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FCDC15" w14:textId="77777777" w:rsidR="004A3FA2" w:rsidRPr="007D1465" w:rsidRDefault="004A3FA2" w:rsidP="000957FE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Protein ID</w:t>
            </w:r>
          </w:p>
        </w:tc>
        <w:tc>
          <w:tcPr>
            <w:tcW w:w="0" w:type="auto"/>
            <w:hideMark/>
          </w:tcPr>
          <w:p w14:paraId="2B93D1D8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Bin</w:t>
            </w:r>
          </w:p>
        </w:tc>
        <w:tc>
          <w:tcPr>
            <w:tcW w:w="0" w:type="auto"/>
            <w:hideMark/>
          </w:tcPr>
          <w:p w14:paraId="60E6187E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Heme Count (HEC)</w:t>
            </w:r>
          </w:p>
        </w:tc>
        <w:tc>
          <w:tcPr>
            <w:tcW w:w="0" w:type="auto"/>
            <w:hideMark/>
          </w:tcPr>
          <w:p w14:paraId="76468F7C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ChimeraX</w:t>
            </w:r>
            <w:proofErr w:type="spellEnd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Topology &amp; Step Connectivity</w:t>
            </w:r>
          </w:p>
        </w:tc>
        <w:tc>
          <w:tcPr>
            <w:tcW w:w="0" w:type="auto"/>
            <w:hideMark/>
          </w:tcPr>
          <w:p w14:paraId="0BFB6F9A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Fe–Fe Distance Range (Å)</w:t>
            </w:r>
          </w:p>
        </w:tc>
        <w:tc>
          <w:tcPr>
            <w:tcW w:w="0" w:type="auto"/>
            <w:hideMark/>
          </w:tcPr>
          <w:p w14:paraId="47F51B9F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Edge-to-Edge Range (Å)</w:t>
            </w:r>
          </w:p>
        </w:tc>
        <w:tc>
          <w:tcPr>
            <w:tcW w:w="0" w:type="auto"/>
            <w:hideMark/>
          </w:tcPr>
          <w:p w14:paraId="213170D7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SignalP</w:t>
            </w:r>
            <w:proofErr w:type="spellEnd"/>
          </w:p>
        </w:tc>
        <w:tc>
          <w:tcPr>
            <w:tcW w:w="0" w:type="auto"/>
            <w:hideMark/>
          </w:tcPr>
          <w:p w14:paraId="00C2A5ED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Notes &amp; Structural Insights</w:t>
            </w:r>
          </w:p>
        </w:tc>
      </w:tr>
      <w:tr w:rsidR="004A3FA2" w:rsidRPr="007D1465" w14:paraId="47A7DE08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9DCAC7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AMOEBI_14320_1</w:t>
            </w:r>
          </w:p>
        </w:tc>
        <w:tc>
          <w:tcPr>
            <w:tcW w:w="0" w:type="auto"/>
            <w:hideMark/>
          </w:tcPr>
          <w:p w14:paraId="6278F4F4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555A2B7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32</w:t>
            </w:r>
          </w:p>
        </w:tc>
        <w:tc>
          <w:tcPr>
            <w:tcW w:w="0" w:type="auto"/>
            <w:hideMark/>
          </w:tcPr>
          <w:p w14:paraId="7F42C44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5 discrete clusters (78–99 Å apart); 27 step pairs</w:t>
            </w:r>
          </w:p>
        </w:tc>
        <w:tc>
          <w:tcPr>
            <w:tcW w:w="0" w:type="auto"/>
            <w:hideMark/>
          </w:tcPr>
          <w:p w14:paraId="3F71CE2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9.60–14.97</w:t>
            </w:r>
          </w:p>
        </w:tc>
        <w:tc>
          <w:tcPr>
            <w:tcW w:w="0" w:type="auto"/>
            <w:hideMark/>
          </w:tcPr>
          <w:p w14:paraId="0BFDDA7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2.66–7.07</w:t>
            </w:r>
          </w:p>
        </w:tc>
        <w:tc>
          <w:tcPr>
            <w:tcW w:w="0" w:type="auto"/>
            <w:hideMark/>
          </w:tcPr>
          <w:p w14:paraId="24B331E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Sec/SPI </w:t>
            </w: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0" w:type="auto"/>
            <w:hideMark/>
          </w:tcPr>
          <w:p w14:paraId="098ED5A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corrected from assumed continuous wire; multi-cluster architecture with localized bottlenecks up to 7.07 Å</w:t>
            </w:r>
          </w:p>
        </w:tc>
      </w:tr>
      <w:tr w:rsidR="004A3FA2" w:rsidRPr="007D1465" w14:paraId="7A5C0E48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FDBBBD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HLJFKF_05120_1</w:t>
            </w:r>
          </w:p>
        </w:tc>
        <w:tc>
          <w:tcPr>
            <w:tcW w:w="0" w:type="auto"/>
            <w:hideMark/>
          </w:tcPr>
          <w:p w14:paraId="5A180B8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77F8AB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0" w:type="auto"/>
            <w:hideMark/>
          </w:tcPr>
          <w:p w14:paraId="22F989A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(20 step pairs)</w:t>
            </w:r>
          </w:p>
        </w:tc>
        <w:tc>
          <w:tcPr>
            <w:tcW w:w="0" w:type="auto"/>
            <w:hideMark/>
          </w:tcPr>
          <w:p w14:paraId="5A2309E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9.08–14.62</w:t>
            </w:r>
          </w:p>
        </w:tc>
        <w:tc>
          <w:tcPr>
            <w:tcW w:w="0" w:type="auto"/>
            <w:hideMark/>
          </w:tcPr>
          <w:p w14:paraId="0D40109B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2.64–7.17</w:t>
            </w:r>
          </w:p>
        </w:tc>
        <w:tc>
          <w:tcPr>
            <w:tcW w:w="0" w:type="auto"/>
            <w:hideMark/>
          </w:tcPr>
          <w:p w14:paraId="6DC9BF6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Sec/SPI </w:t>
            </w: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0" w:type="auto"/>
            <w:hideMark/>
          </w:tcPr>
          <w:p w14:paraId="6FC1D6D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high-density 21-heme conduit with a localized rate-limiting gap (7.17 Å max)</w:t>
            </w:r>
          </w:p>
        </w:tc>
      </w:tr>
      <w:tr w:rsidR="004A3FA2" w:rsidRPr="007D1465" w14:paraId="35E231EB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9CDD10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MOHMIK_01685_1</w:t>
            </w:r>
          </w:p>
        </w:tc>
        <w:tc>
          <w:tcPr>
            <w:tcW w:w="0" w:type="auto"/>
            <w:hideMark/>
          </w:tcPr>
          <w:p w14:paraId="74D980D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57314DC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19821E8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(9 step pairs)</w:t>
            </w:r>
          </w:p>
        </w:tc>
        <w:tc>
          <w:tcPr>
            <w:tcW w:w="0" w:type="auto"/>
            <w:hideMark/>
          </w:tcPr>
          <w:p w14:paraId="2FD98984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9.18–11.86</w:t>
            </w:r>
          </w:p>
        </w:tc>
        <w:tc>
          <w:tcPr>
            <w:tcW w:w="0" w:type="auto"/>
            <w:hideMark/>
          </w:tcPr>
          <w:p w14:paraId="477D657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3.17–3.69</w:t>
            </w:r>
          </w:p>
        </w:tc>
        <w:tc>
          <w:tcPr>
            <w:tcW w:w="0" w:type="auto"/>
            <w:hideMark/>
          </w:tcPr>
          <w:p w14:paraId="30A98DB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Sec/SPI </w:t>
            </w: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0" w:type="auto"/>
            <w:hideMark/>
          </w:tcPr>
          <w:p w14:paraId="73AFAF3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; true </w:t>
            </w:r>
            <w:proofErr w:type="spellStart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decaheme</w:t>
            </w:r>
            <w:proofErr w:type="spellEnd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pathway</w:t>
            </w:r>
          </w:p>
        </w:tc>
      </w:tr>
      <w:tr w:rsidR="004A3FA2" w:rsidRPr="007D1465" w14:paraId="3E0B7041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A1C2F0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AODJJH_08655</w:t>
            </w:r>
          </w:p>
        </w:tc>
        <w:tc>
          <w:tcPr>
            <w:tcW w:w="0" w:type="auto"/>
            <w:hideMark/>
          </w:tcPr>
          <w:p w14:paraId="75C03E5C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6B255312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0" w:type="auto"/>
            <w:hideMark/>
          </w:tcPr>
          <w:p w14:paraId="11F0B8E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(24 step pairs)</w:t>
            </w:r>
          </w:p>
        </w:tc>
        <w:tc>
          <w:tcPr>
            <w:tcW w:w="0" w:type="auto"/>
            <w:hideMark/>
          </w:tcPr>
          <w:p w14:paraId="5AF3186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8.86–14.05</w:t>
            </w:r>
          </w:p>
        </w:tc>
        <w:tc>
          <w:tcPr>
            <w:tcW w:w="0" w:type="auto"/>
            <w:hideMark/>
          </w:tcPr>
          <w:p w14:paraId="3AFC7CD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3.25–3.87</w:t>
            </w:r>
          </w:p>
        </w:tc>
        <w:tc>
          <w:tcPr>
            <w:tcW w:w="0" w:type="auto"/>
            <w:hideMark/>
          </w:tcPr>
          <w:p w14:paraId="034D1D65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"Other" (no signal)</w:t>
            </w:r>
          </w:p>
        </w:tc>
        <w:tc>
          <w:tcPr>
            <w:tcW w:w="0" w:type="auto"/>
            <w:hideMark/>
          </w:tcPr>
          <w:p w14:paraId="406D5966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massive 25-heme construct lacking a canonical signal peptide</w:t>
            </w:r>
          </w:p>
        </w:tc>
      </w:tr>
      <w:tr w:rsidR="004A3FA2" w:rsidRPr="007D1465" w14:paraId="22DFC6B8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DE420E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GEOFCE_00695_1</w:t>
            </w:r>
          </w:p>
        </w:tc>
        <w:tc>
          <w:tcPr>
            <w:tcW w:w="0" w:type="auto"/>
            <w:hideMark/>
          </w:tcPr>
          <w:p w14:paraId="0499082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7DD982D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14:paraId="1C7CB24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(18 step pairs)</w:t>
            </w:r>
          </w:p>
        </w:tc>
        <w:tc>
          <w:tcPr>
            <w:tcW w:w="0" w:type="auto"/>
            <w:hideMark/>
          </w:tcPr>
          <w:p w14:paraId="76CFBDD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9.26–13.02</w:t>
            </w:r>
          </w:p>
        </w:tc>
        <w:tc>
          <w:tcPr>
            <w:tcW w:w="0" w:type="auto"/>
            <w:hideMark/>
          </w:tcPr>
          <w:p w14:paraId="1AB27A2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3.16–4.01</w:t>
            </w:r>
          </w:p>
        </w:tc>
        <w:tc>
          <w:tcPr>
            <w:tcW w:w="0" w:type="auto"/>
            <w:hideMark/>
          </w:tcPr>
          <w:p w14:paraId="4C04379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58D5F33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Cluster member; ultra-tight packing (≤4.01 Å) enabling rapid hopping</w:t>
            </w:r>
          </w:p>
        </w:tc>
      </w:tr>
      <w:tr w:rsidR="004A3FA2" w:rsidRPr="007D1465" w14:paraId="02A4AFC1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D7367D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GEOFCE_05025_1</w:t>
            </w:r>
          </w:p>
        </w:tc>
        <w:tc>
          <w:tcPr>
            <w:tcW w:w="0" w:type="auto"/>
            <w:hideMark/>
          </w:tcPr>
          <w:p w14:paraId="44525BB6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6952A2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14:paraId="437F46F4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(17 step pairs)</w:t>
            </w:r>
          </w:p>
        </w:tc>
        <w:tc>
          <w:tcPr>
            <w:tcW w:w="0" w:type="auto"/>
            <w:hideMark/>
          </w:tcPr>
          <w:p w14:paraId="04D1D33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9.05–14.90</w:t>
            </w:r>
          </w:p>
        </w:tc>
        <w:tc>
          <w:tcPr>
            <w:tcW w:w="0" w:type="auto"/>
            <w:hideMark/>
          </w:tcPr>
          <w:p w14:paraId="00A1816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2.39–4.14</w:t>
            </w:r>
          </w:p>
        </w:tc>
        <w:tc>
          <w:tcPr>
            <w:tcW w:w="0" w:type="auto"/>
            <w:hideMark/>
          </w:tcPr>
          <w:p w14:paraId="4EEE601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"Other"</w:t>
            </w:r>
          </w:p>
        </w:tc>
        <w:tc>
          <w:tcPr>
            <w:tcW w:w="0" w:type="auto"/>
            <w:hideMark/>
          </w:tcPr>
          <w:p w14:paraId="29E99FD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Cluster member; PANTHER hit: dissimilatory sulfite reductase </w:t>
            </w:r>
            <w:proofErr w:type="spellStart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SirA</w:t>
            </w:r>
            <w:proofErr w:type="spellEnd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close direct contact (min 2.39 Å)</w:t>
            </w:r>
          </w:p>
        </w:tc>
      </w:tr>
      <w:tr w:rsidR="004A3FA2" w:rsidRPr="007D1465" w14:paraId="0DFB25D5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F733A4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GEOFCE_07030_1</w:t>
            </w:r>
          </w:p>
        </w:tc>
        <w:tc>
          <w:tcPr>
            <w:tcW w:w="0" w:type="auto"/>
            <w:hideMark/>
          </w:tcPr>
          <w:p w14:paraId="6084DAB8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63C7A1E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7C9ADDAD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 (13 step pairs; orphan heme J)</w:t>
            </w:r>
          </w:p>
        </w:tc>
        <w:tc>
          <w:tcPr>
            <w:tcW w:w="0" w:type="auto"/>
            <w:hideMark/>
          </w:tcPr>
          <w:p w14:paraId="5C372FF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9.23–12.61</w:t>
            </w:r>
          </w:p>
        </w:tc>
        <w:tc>
          <w:tcPr>
            <w:tcW w:w="0" w:type="auto"/>
            <w:hideMark/>
          </w:tcPr>
          <w:p w14:paraId="4C388D0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2.67–3.96</w:t>
            </w:r>
          </w:p>
        </w:tc>
        <w:tc>
          <w:tcPr>
            <w:tcW w:w="0" w:type="auto"/>
            <w:hideMark/>
          </w:tcPr>
          <w:p w14:paraId="3086D4A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F99E53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Cluster member; orphan heme J introduces a 2-step gap despite tight spacing</w:t>
            </w:r>
          </w:p>
        </w:tc>
      </w:tr>
      <w:tr w:rsidR="004A3FA2" w:rsidRPr="007D1465" w14:paraId="41C71182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E70E5A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GEOFCE_08230_1</w:t>
            </w:r>
          </w:p>
        </w:tc>
        <w:tc>
          <w:tcPr>
            <w:tcW w:w="0" w:type="auto"/>
            <w:hideMark/>
          </w:tcPr>
          <w:p w14:paraId="191E98D2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45D9692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40A41E9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 (11 step pairs; orphan heme N)</w:t>
            </w:r>
          </w:p>
        </w:tc>
        <w:tc>
          <w:tcPr>
            <w:tcW w:w="0" w:type="auto"/>
            <w:hideMark/>
          </w:tcPr>
          <w:p w14:paraId="73355DE4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9.16–12.01</w:t>
            </w:r>
          </w:p>
        </w:tc>
        <w:tc>
          <w:tcPr>
            <w:tcW w:w="0" w:type="auto"/>
            <w:hideMark/>
          </w:tcPr>
          <w:p w14:paraId="615FDD0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3.26–3.94</w:t>
            </w:r>
          </w:p>
        </w:tc>
        <w:tc>
          <w:tcPr>
            <w:tcW w:w="0" w:type="auto"/>
            <w:hideMark/>
          </w:tcPr>
          <w:p w14:paraId="35AF304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1CDC12B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Cluster member; orphan heme N causes step gaps; narrow variance (3.26–3.94 Å)</w:t>
            </w:r>
          </w:p>
        </w:tc>
      </w:tr>
      <w:tr w:rsidR="004A3FA2" w:rsidRPr="007D1465" w14:paraId="27E76224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F77AF3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AODJJH_01940_1</w:t>
            </w:r>
          </w:p>
        </w:tc>
        <w:tc>
          <w:tcPr>
            <w:tcW w:w="0" w:type="auto"/>
            <w:hideMark/>
          </w:tcPr>
          <w:p w14:paraId="0D34842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32BDED9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3B514AA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(8 step pairs)</w:t>
            </w:r>
          </w:p>
        </w:tc>
        <w:tc>
          <w:tcPr>
            <w:tcW w:w="0" w:type="auto"/>
            <w:hideMark/>
          </w:tcPr>
          <w:p w14:paraId="38AA698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10.00–13.94</w:t>
            </w:r>
          </w:p>
        </w:tc>
        <w:tc>
          <w:tcPr>
            <w:tcW w:w="0" w:type="auto"/>
            <w:hideMark/>
          </w:tcPr>
          <w:p w14:paraId="7C9F06A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3.28–4.13</w:t>
            </w:r>
          </w:p>
        </w:tc>
        <w:tc>
          <w:tcPr>
            <w:tcW w:w="0" w:type="auto"/>
            <w:hideMark/>
          </w:tcPr>
          <w:p w14:paraId="7BCE3D3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20FEC4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Compact non-flagship wire with tight, consistent coupling</w:t>
            </w:r>
          </w:p>
        </w:tc>
      </w:tr>
      <w:tr w:rsidR="004A3FA2" w:rsidRPr="007D1465" w14:paraId="73F841A6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ACC176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MHFOMH_00390_1</w:t>
            </w:r>
          </w:p>
        </w:tc>
        <w:tc>
          <w:tcPr>
            <w:tcW w:w="0" w:type="auto"/>
            <w:hideMark/>
          </w:tcPr>
          <w:p w14:paraId="6886C985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15EDE4B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14:paraId="626AE09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(18 step pairs)</w:t>
            </w:r>
          </w:p>
        </w:tc>
        <w:tc>
          <w:tcPr>
            <w:tcW w:w="0" w:type="auto"/>
            <w:hideMark/>
          </w:tcPr>
          <w:p w14:paraId="39370AF3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11.21–12.91</w:t>
            </w:r>
          </w:p>
        </w:tc>
        <w:tc>
          <w:tcPr>
            <w:tcW w:w="0" w:type="auto"/>
            <w:hideMark/>
          </w:tcPr>
          <w:p w14:paraId="0FABDD0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3.48–7.18</w:t>
            </w:r>
          </w:p>
        </w:tc>
        <w:tc>
          <w:tcPr>
            <w:tcW w:w="0" w:type="auto"/>
            <w:hideMark/>
          </w:tcPr>
          <w:p w14:paraId="4F4C0E3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3CA53A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Extended wire with a prominent rate-limiting bottleneck (7.18 Å)</w:t>
            </w:r>
          </w:p>
        </w:tc>
      </w:tr>
      <w:tr w:rsidR="004A3FA2" w:rsidRPr="007D1465" w14:paraId="2F6EC3CF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FB738B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lastRenderedPageBreak/>
              <w:t>MHFOMH_05715_1</w:t>
            </w:r>
          </w:p>
        </w:tc>
        <w:tc>
          <w:tcPr>
            <w:tcW w:w="0" w:type="auto"/>
            <w:hideMark/>
          </w:tcPr>
          <w:p w14:paraId="6A8C673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2761CE3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14:paraId="6E3167F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Fragmented/branched (16 step pairs)</w:t>
            </w:r>
          </w:p>
        </w:tc>
        <w:tc>
          <w:tcPr>
            <w:tcW w:w="0" w:type="auto"/>
            <w:hideMark/>
          </w:tcPr>
          <w:p w14:paraId="786DD028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9.21–11.68</w:t>
            </w:r>
          </w:p>
        </w:tc>
        <w:tc>
          <w:tcPr>
            <w:tcW w:w="0" w:type="auto"/>
            <w:hideMark/>
          </w:tcPr>
          <w:p w14:paraId="27D78A8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2.88–4.11</w:t>
            </w:r>
          </w:p>
        </w:tc>
        <w:tc>
          <w:tcPr>
            <w:tcW w:w="0" w:type="auto"/>
            <w:hideMark/>
          </w:tcPr>
          <w:p w14:paraId="12EA9B4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4D54207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Single step gap; uniform, tight packing (≤4.11 Å)</w:t>
            </w:r>
          </w:p>
        </w:tc>
      </w:tr>
      <w:tr w:rsidR="004A3FA2" w:rsidRPr="007D1465" w14:paraId="57AE92F7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5AADB9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MHFOMH_00385_1</w:t>
            </w:r>
          </w:p>
        </w:tc>
        <w:tc>
          <w:tcPr>
            <w:tcW w:w="0" w:type="auto"/>
            <w:hideMark/>
          </w:tcPr>
          <w:p w14:paraId="7CC75DA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0760F2D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2D51D371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(15 step pairs)</w:t>
            </w:r>
          </w:p>
        </w:tc>
        <w:tc>
          <w:tcPr>
            <w:tcW w:w="0" w:type="auto"/>
            <w:hideMark/>
          </w:tcPr>
          <w:p w14:paraId="372950A5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11.77–14.35</w:t>
            </w:r>
          </w:p>
        </w:tc>
        <w:tc>
          <w:tcPr>
            <w:tcW w:w="0" w:type="auto"/>
            <w:hideMark/>
          </w:tcPr>
          <w:p w14:paraId="4707A56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3.61–7.07</w:t>
            </w:r>
          </w:p>
        </w:tc>
        <w:tc>
          <w:tcPr>
            <w:tcW w:w="0" w:type="auto"/>
            <w:hideMark/>
          </w:tcPr>
          <w:p w14:paraId="0B623E7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5303E68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Bimodal transfer kinetics due to a 7.07 Å rate-limiting step</w:t>
            </w:r>
          </w:p>
        </w:tc>
      </w:tr>
      <w:tr w:rsidR="004A3FA2" w:rsidRPr="007D1465" w14:paraId="6FFB73C3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48FF18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MIGFJM_15875_1</w:t>
            </w:r>
          </w:p>
        </w:tc>
        <w:tc>
          <w:tcPr>
            <w:tcW w:w="0" w:type="auto"/>
            <w:hideMark/>
          </w:tcPr>
          <w:p w14:paraId="0E6F351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0" w:type="auto"/>
            <w:hideMark/>
          </w:tcPr>
          <w:p w14:paraId="5B550A2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14:paraId="6874311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Fragmented/branched (15 step pairs)</w:t>
            </w:r>
          </w:p>
        </w:tc>
        <w:tc>
          <w:tcPr>
            <w:tcW w:w="0" w:type="auto"/>
            <w:hideMark/>
          </w:tcPr>
          <w:p w14:paraId="4C8D44C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9.10–12.12</w:t>
            </w:r>
          </w:p>
        </w:tc>
        <w:tc>
          <w:tcPr>
            <w:tcW w:w="0" w:type="auto"/>
            <w:hideMark/>
          </w:tcPr>
          <w:p w14:paraId="62939FC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2.58–3.92</w:t>
            </w:r>
          </w:p>
        </w:tc>
        <w:tc>
          <w:tcPr>
            <w:tcW w:w="0" w:type="auto"/>
            <w:hideMark/>
          </w:tcPr>
          <w:p w14:paraId="5465F60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669B543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Tight packing (≤3.92 Å) with a single topological disruption</w:t>
            </w:r>
          </w:p>
        </w:tc>
      </w:tr>
      <w:tr w:rsidR="004A3FA2" w:rsidRPr="007D1465" w14:paraId="29FB0C6D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94E43F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JEAGNG_10235_1</w:t>
            </w:r>
          </w:p>
        </w:tc>
        <w:tc>
          <w:tcPr>
            <w:tcW w:w="0" w:type="auto"/>
            <w:hideMark/>
          </w:tcPr>
          <w:p w14:paraId="170507A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0" w:type="auto"/>
            <w:hideMark/>
          </w:tcPr>
          <w:p w14:paraId="37033F13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1297989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(8 step pairs)</w:t>
            </w:r>
          </w:p>
        </w:tc>
        <w:tc>
          <w:tcPr>
            <w:tcW w:w="0" w:type="auto"/>
            <w:hideMark/>
          </w:tcPr>
          <w:p w14:paraId="5CC5A6C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9.13–12.62</w:t>
            </w:r>
          </w:p>
        </w:tc>
        <w:tc>
          <w:tcPr>
            <w:tcW w:w="0" w:type="auto"/>
            <w:hideMark/>
          </w:tcPr>
          <w:p w14:paraId="259C1CE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3.47–3.95</w:t>
            </w:r>
          </w:p>
        </w:tc>
        <w:tc>
          <w:tcPr>
            <w:tcW w:w="0" w:type="auto"/>
            <w:hideMark/>
          </w:tcPr>
          <w:p w14:paraId="710D8003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2DF4F8D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Compact pathway, consistent sub-4 Å coupling</w:t>
            </w:r>
          </w:p>
        </w:tc>
      </w:tr>
      <w:tr w:rsidR="004A3FA2" w:rsidRPr="007D1465" w14:paraId="4346CC88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186D8B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GKOGEE_01290_1</w:t>
            </w:r>
          </w:p>
        </w:tc>
        <w:tc>
          <w:tcPr>
            <w:tcW w:w="0" w:type="auto"/>
            <w:hideMark/>
          </w:tcPr>
          <w:p w14:paraId="072F2CF7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37DCAD70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27F673E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 (4 step pairs; orphan heme F)</w:t>
            </w:r>
          </w:p>
        </w:tc>
        <w:tc>
          <w:tcPr>
            <w:tcW w:w="0" w:type="auto"/>
            <w:hideMark/>
          </w:tcPr>
          <w:p w14:paraId="34C888E8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8.78–14.50</w:t>
            </w:r>
          </w:p>
        </w:tc>
        <w:tc>
          <w:tcPr>
            <w:tcW w:w="0" w:type="auto"/>
            <w:hideMark/>
          </w:tcPr>
          <w:p w14:paraId="0C390407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3.47–4.05</w:t>
            </w:r>
          </w:p>
        </w:tc>
        <w:tc>
          <w:tcPr>
            <w:tcW w:w="0" w:type="auto"/>
            <w:hideMark/>
          </w:tcPr>
          <w:p w14:paraId="025C288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248CA947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Shortest overall Fe–Fe distance in the set (8.78 Å)</w:t>
            </w:r>
          </w:p>
        </w:tc>
      </w:tr>
      <w:tr w:rsidR="004A3FA2" w:rsidRPr="007D1465" w14:paraId="4BE02177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214FAE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JHCEJE_03790_1</w:t>
            </w:r>
          </w:p>
        </w:tc>
        <w:tc>
          <w:tcPr>
            <w:tcW w:w="0" w:type="auto"/>
            <w:hideMark/>
          </w:tcPr>
          <w:p w14:paraId="2EFA8A9F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14:paraId="5CA4C961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38CE835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(7 step pairs)</w:t>
            </w:r>
          </w:p>
        </w:tc>
        <w:tc>
          <w:tcPr>
            <w:tcW w:w="0" w:type="auto"/>
            <w:hideMark/>
          </w:tcPr>
          <w:p w14:paraId="6591E9DC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9.18–12.62</w:t>
            </w:r>
          </w:p>
        </w:tc>
        <w:tc>
          <w:tcPr>
            <w:tcW w:w="0" w:type="auto"/>
            <w:hideMark/>
          </w:tcPr>
          <w:p w14:paraId="29C598C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3.12–3.87</w:t>
            </w:r>
          </w:p>
        </w:tc>
        <w:tc>
          <w:tcPr>
            <w:tcW w:w="0" w:type="auto"/>
            <w:hideMark/>
          </w:tcPr>
          <w:p w14:paraId="1C82EDC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65E98D5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Strict sub-4 Å edge distances across all steps</w:t>
            </w:r>
          </w:p>
        </w:tc>
      </w:tr>
      <w:tr w:rsidR="004A3FA2" w:rsidRPr="007D1465" w14:paraId="0FEF31C1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70AA6B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MOHMIK_08200_1</w:t>
            </w:r>
          </w:p>
        </w:tc>
        <w:tc>
          <w:tcPr>
            <w:tcW w:w="0" w:type="auto"/>
            <w:hideMark/>
          </w:tcPr>
          <w:p w14:paraId="2D46C30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0EB5D76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7115C37D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(15 step pairs)</w:t>
            </w:r>
          </w:p>
        </w:tc>
        <w:tc>
          <w:tcPr>
            <w:tcW w:w="0" w:type="auto"/>
            <w:hideMark/>
          </w:tcPr>
          <w:p w14:paraId="6AF9854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11.56–14.29</w:t>
            </w:r>
          </w:p>
        </w:tc>
        <w:tc>
          <w:tcPr>
            <w:tcW w:w="0" w:type="auto"/>
            <w:hideMark/>
          </w:tcPr>
          <w:p w14:paraId="017AB9C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3.66–6.91</w:t>
            </w:r>
          </w:p>
        </w:tc>
        <w:tc>
          <w:tcPr>
            <w:tcW w:w="0" w:type="auto"/>
            <w:hideMark/>
          </w:tcPr>
          <w:p w14:paraId="5C36D28D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E38465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Wide 6.91 Å kinetic bottleneck step</w:t>
            </w:r>
          </w:p>
        </w:tc>
      </w:tr>
      <w:tr w:rsidR="004A3FA2" w:rsidRPr="007D1465" w14:paraId="458ECC30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546ACA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MOHMIK_09535_1</w:t>
            </w:r>
          </w:p>
        </w:tc>
        <w:tc>
          <w:tcPr>
            <w:tcW w:w="0" w:type="auto"/>
            <w:hideMark/>
          </w:tcPr>
          <w:p w14:paraId="4F91B1A1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23585D0F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14:paraId="0FF6CDB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(12 step pairs)</w:t>
            </w:r>
          </w:p>
        </w:tc>
        <w:tc>
          <w:tcPr>
            <w:tcW w:w="0" w:type="auto"/>
            <w:hideMark/>
          </w:tcPr>
          <w:p w14:paraId="0A3D861F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11.68–14.17</w:t>
            </w:r>
          </w:p>
        </w:tc>
        <w:tc>
          <w:tcPr>
            <w:tcW w:w="0" w:type="auto"/>
            <w:hideMark/>
          </w:tcPr>
          <w:p w14:paraId="754F1B0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2.83–7.11</w:t>
            </w:r>
          </w:p>
        </w:tc>
        <w:tc>
          <w:tcPr>
            <w:tcW w:w="0" w:type="auto"/>
            <w:hideMark/>
          </w:tcPr>
          <w:p w14:paraId="76CD4F4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D6778B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Bimodal distance distribution, 7.11 Å bottleneck</w:t>
            </w:r>
          </w:p>
        </w:tc>
      </w:tr>
    </w:tbl>
    <w:p w14:paraId="6397AAA4" w14:textId="1F92F651" w:rsidR="004A3FA2" w:rsidRDefault="004A3FA2"/>
    <w:p w14:paraId="64004336" w14:textId="77777777" w:rsidR="004A3FA2" w:rsidRDefault="004A3FA2">
      <w:pPr>
        <w:spacing w:line="278" w:lineRule="auto"/>
      </w:pPr>
      <w:r>
        <w:br w:type="page"/>
      </w:r>
    </w:p>
    <w:p w14:paraId="791F5AE3" w14:textId="77777777" w:rsidR="004A3FA2" w:rsidRDefault="004A3FA2" w:rsidP="004A3FA2">
      <w:pPr>
        <w:pStyle w:val="Heading2"/>
        <w:rPr>
          <w:rFonts w:asciiTheme="majorBidi" w:hAnsiTheme="majorBidi"/>
        </w:rPr>
      </w:pPr>
      <w:r>
        <w:rPr>
          <w:rFonts w:asciiTheme="majorBidi" w:hAnsiTheme="majorBidi"/>
        </w:rPr>
        <w:lastRenderedPageBreak/>
        <w:t>Supplementary Materials</w:t>
      </w:r>
    </w:p>
    <w:p w14:paraId="42EEA25D" w14:textId="77777777" w:rsidR="004A3FA2" w:rsidRDefault="004A3FA2" w:rsidP="004A3FA2">
      <w:pPr>
        <w:pStyle w:val="Heading4"/>
        <w:rPr>
          <w:rFonts w:asciiTheme="majorBidi" w:hAnsiTheme="majorBidi"/>
        </w:rPr>
      </w:pPr>
      <w:r>
        <w:rPr>
          <w:rFonts w:asciiTheme="majorBidi" w:hAnsiTheme="majorBidi"/>
        </w:rPr>
        <w:t>Figure S1 — AlphaFold3 structural models of all 18 candidate multiheme cytochromes (Table S1)</w:t>
      </w:r>
    </w:p>
    <w:p w14:paraId="57D792D7" w14:textId="1EA21324" w:rsidR="004A3FA2" w:rsidRDefault="004A3FA2" w:rsidP="004A3FA2">
      <w:pPr>
        <w:pStyle w:val="NormalWeb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Figure </w:t>
      </w:r>
      <w:r w:rsidR="007D2CE3">
        <w:rPr>
          <w:rFonts w:asciiTheme="majorBidi" w:hAnsiTheme="majorBidi" w:cstheme="majorBidi"/>
        </w:rPr>
        <w:t>4</w:t>
      </w:r>
      <w:r>
        <w:rPr>
          <w:rFonts w:asciiTheme="majorBidi" w:hAnsiTheme="majorBidi" w:cstheme="majorBidi"/>
        </w:rPr>
        <w:t xml:space="preserve"> in the main text presents the five flagship candidates discussed in detail in Section 3.4. For completeness, structural models for all 18 candidate multiheme cytochromes identified from motif-count screening (Table S1) are provided below, with the five flagship taxa separated at top from the remaining 13 candidates.</w:t>
      </w:r>
    </w:p>
    <w:p w14:paraId="04291FC5" w14:textId="77777777" w:rsidR="004A3FA2" w:rsidRDefault="004A3FA2" w:rsidP="004A3FA2">
      <w:pPr>
        <w:jc w:val="center"/>
        <w:rPr>
          <w:rFonts w:asciiTheme="majorBidi" w:hAnsiTheme="majorBidi"/>
        </w:rPr>
      </w:pPr>
      <w:r>
        <w:rPr>
          <w:rFonts w:asciiTheme="majorBidi" w:hAnsiTheme="majorBidi"/>
          <w:noProof/>
        </w:rPr>
        <w:lastRenderedPageBreak/>
        <w:drawing>
          <wp:inline distT="0" distB="0" distL="0" distR="0" wp14:anchorId="1179D1AC" wp14:editId="096D652A">
            <wp:extent cx="5486400" cy="7881052"/>
            <wp:effectExtent l="0" t="0" r="0" b="0"/>
            <wp:docPr id="4" name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S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7DFE" w14:textId="7C26F75F" w:rsidR="004A3FA2" w:rsidRDefault="004A3FA2" w:rsidP="004A3FA2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Figure S1. </w:t>
      </w:r>
      <w:r>
        <w:rPr>
          <w:rFonts w:asciiTheme="majorBidi" w:hAnsiTheme="majorBidi" w:cstheme="majorBidi"/>
          <w:sz w:val="20"/>
          <w:szCs w:val="20"/>
        </w:rPr>
        <w:t xml:space="preserve">AlphaFold3 structural models of all 18 candidate multiheme cytochromes identified in this study, with heme cofactors (yellow) modeled as explicit HEC ligands. Top row (gold border): the five flagship taxa discussed in Section 3.4 and shown in Figure </w:t>
      </w:r>
      <w:r w:rsidR="004B77BD">
        <w:rPr>
          <w:rFonts w:asciiTheme="majorBidi" w:hAnsiTheme="majorBidi" w:cstheme="majorBidi"/>
          <w:sz w:val="20"/>
          <w:szCs w:val="20"/>
        </w:rPr>
        <w:t>4</w:t>
      </w:r>
      <w:r>
        <w:rPr>
          <w:rFonts w:asciiTheme="majorBidi" w:hAnsiTheme="majorBidi" w:cstheme="majorBidi"/>
          <w:sz w:val="20"/>
          <w:szCs w:val="20"/>
        </w:rPr>
        <w:t>. Remaining panels: the additional 13 candidates from Table S1, grouped by genome bin and labeled with gene ID, organism/bin designation, and heme count.</w:t>
      </w:r>
    </w:p>
    <w:p w14:paraId="7F52404D" w14:textId="77777777" w:rsidR="004A3FA2" w:rsidRPr="007D1465" w:rsidRDefault="004A3FA2" w:rsidP="004A3FA2">
      <w:pPr>
        <w:rPr>
          <w:rFonts w:asciiTheme="majorBidi" w:hAnsiTheme="majorBidi" w:cstheme="majorBidi"/>
        </w:rPr>
      </w:pPr>
    </w:p>
    <w:p w14:paraId="116D0CDB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A2"/>
    <w:rsid w:val="000B562B"/>
    <w:rsid w:val="003C2EF4"/>
    <w:rsid w:val="00446799"/>
    <w:rsid w:val="00471820"/>
    <w:rsid w:val="004A3FA2"/>
    <w:rsid w:val="004B77BD"/>
    <w:rsid w:val="006A7E07"/>
    <w:rsid w:val="00701021"/>
    <w:rsid w:val="007D2CE3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EBBDD"/>
  <w15:chartTrackingRefBased/>
  <w15:docId w15:val="{3B65705E-0833-48AE-85D3-184A2129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FA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FA2"/>
    <w:rPr>
      <w:b/>
      <w:bCs/>
      <w:smallCaps/>
      <w:color w:val="0F4761" w:themeColor="accent1" w:themeShade="BF"/>
      <w:spacing w:val="5"/>
    </w:rPr>
  </w:style>
  <w:style w:type="table" w:styleId="GridTable5Dark-Accent6">
    <w:name w:val="Grid Table 5 Dark Accent 6"/>
    <w:basedOn w:val="TableNormal"/>
    <w:uiPriority w:val="50"/>
    <w:rsid w:val="004A3FA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4A3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3305</Characters>
  <Application>Microsoft Office Word</Application>
  <DocSecurity>0</DocSecurity>
  <Lines>27</Lines>
  <Paragraphs>7</Paragraphs>
  <ScaleCrop>false</ScaleCrop>
  <Company>Springer Nature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ahu aruha</cp:lastModifiedBy>
  <cp:revision>3</cp:revision>
  <dcterms:created xsi:type="dcterms:W3CDTF">2026-09-10T04:02:00Z</dcterms:created>
  <dcterms:modified xsi:type="dcterms:W3CDTF">2026-09-24T16:14:00Z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469c5235-dc64-4826-b3db-1567d73b6753</vt:lpwstr>
  </property>
</Properties>
</file>