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after="80"/>
        <w:jc w:val="center"/>
      </w:pPr>
      <w:r>
        <w:rPr>
          <w:rFonts w:ascii="Times New Roman" w:hAnsi="Times New Roman" w:eastAsia="Times New Roman"/>
          <w:b/>
          <w:i w:val="0"/>
          <w:color w:val="111827"/>
          <w:sz w:val="32"/>
        </w:rPr>
        <w:t>Supplementary Material</w:t>
      </w:r>
    </w:p>
    <w:p>
      <w:pPr>
        <w:keepNext/>
        <w:spacing w:after="240"/>
        <w:jc w:val="center"/>
      </w:pPr>
      <w:r>
        <w:rPr>
          <w:rFonts w:ascii="Times New Roman" w:hAnsi="Times New Roman" w:eastAsia="Times New Roman"/>
          <w:b/>
          <w:i w:val="0"/>
          <w:color w:val="111827"/>
          <w:sz w:val="24"/>
        </w:rPr>
        <w:t>Chronic Cerebral Small Vessel Disease Burden and Acute Infarction in Relation to Functional Brain Network Efficiency</w:t>
      </w:r>
    </w:p>
    <w:p>
      <w:pPr>
        <w:pStyle w:val="Heading1"/>
      </w:pPr>
      <w:r>
        <w:rPr>
          <w:rFonts w:ascii="Times New Roman" w:hAnsi="Times New Roman" w:eastAsia="Times New Roman"/>
          <w:b/>
          <w:i w:val="0"/>
          <w:color w:val="111827"/>
          <w:sz w:val="28"/>
        </w:rPr>
        <w:t>Table S1. Sensitivity analyses for acute infarction definition and volume</w:t>
      </w:r>
    </w:p>
    <w:tbl>
      <w:tblPr>
        <w:tblW w:type="dxa" w:w="10700"/>
        <w:jc w:val="left"/>
        <w:tblLayout w:type="fixed"/>
        <w:tblLook w:firstColumn="1" w:firstRow="1" w:lastColumn="0" w:lastRow="0" w:noHBand="0" w:noVBand="1" w:val="04A0"/>
        <w:tblInd w:w="0" w:type="dxa"/>
      </w:tblPr>
      <w:tblGrid>
        <w:gridCol w:w="2300"/>
        <w:gridCol w:w="3000"/>
        <w:gridCol w:w="700"/>
        <w:gridCol w:w="1200"/>
        <w:gridCol w:w="2500"/>
        <w:gridCol w:w="1000"/>
      </w:tblGrid>
      <w:tr>
        <w:trPr>
          <w:tblHeader w:val="true"/>
        </w:trPr>
        <w:tc>
          <w:tcPr>
            <w:tcW w:type="dxa" w:w="2300"/>
            <w:tcBorders>
              <w:top w:val="single" w:sz="12" w:color="000000"/>
              <w:bottom w:val="single" w:sz="8" w:color="000000"/>
            </w:tcBorders>
            <w:vAlign w:val="center"/>
            <w:tcMar>
              <w:top w:w="45" w:type="dxa"/>
              <w:bottom w:w="45" w:type="dxa"/>
              <w:start w:w="70" w:type="dxa"/>
              <w:end w:w="70" w:type="dxa"/>
            </w:tcMar>
          </w:tcPr>
          <w:p>
            <w:pPr>
              <w:spacing w:after="0"/>
              <w:jc w:val="left"/>
            </w:pPr>
            <w:r>
              <w:rPr>
                <w:rFonts w:ascii="Times New Roman" w:hAnsi="Times New Roman" w:eastAsia="Times New Roman"/>
                <w:b/>
                <w:i w:val="0"/>
                <w:color w:val="111827"/>
                <w:sz w:val="17"/>
              </w:rPr>
              <w:t>Model</w:t>
            </w:r>
          </w:p>
        </w:tc>
        <w:tc>
          <w:tcPr>
            <w:tcW w:type="dxa" w:w="3000"/>
            <w:tcBorders>
              <w:top w:val="single" w:sz="12" w:color="000000"/>
              <w:bottom w:val="single" w:sz="8" w:color="000000"/>
            </w:tcBorders>
            <w:vAlign w:val="center"/>
            <w:tcMar>
              <w:top w:w="45" w:type="dxa"/>
              <w:bottom w:w="45" w:type="dxa"/>
              <w:start w:w="70" w:type="dxa"/>
              <w:end w:w="70" w:type="dxa"/>
            </w:tcMar>
          </w:tcPr>
          <w:p>
            <w:pPr>
              <w:spacing w:after="0"/>
              <w:jc w:val="center"/>
            </w:pPr>
            <w:r>
              <w:rPr>
                <w:rFonts w:ascii="Times New Roman" w:hAnsi="Times New Roman" w:eastAsia="Times New Roman"/>
                <w:b/>
                <w:i w:val="0"/>
                <w:color w:val="111827"/>
                <w:sz w:val="17"/>
              </w:rPr>
              <w:t>Predictor</w:t>
            </w:r>
          </w:p>
        </w:tc>
        <w:tc>
          <w:tcPr>
            <w:tcW w:type="dxa" w:w="700"/>
            <w:tcBorders>
              <w:top w:val="single" w:sz="12" w:color="000000"/>
              <w:bottom w:val="single" w:sz="8" w:color="000000"/>
            </w:tcBorders>
            <w:vAlign w:val="center"/>
            <w:tcMar>
              <w:top w:w="45" w:type="dxa"/>
              <w:bottom w:w="45" w:type="dxa"/>
              <w:start w:w="70" w:type="dxa"/>
              <w:end w:w="70" w:type="dxa"/>
            </w:tcMar>
          </w:tcPr>
          <w:p>
            <w:pPr>
              <w:spacing w:after="0"/>
              <w:jc w:val="center"/>
            </w:pPr>
            <w:r>
              <w:rPr>
                <w:rFonts w:ascii="Times New Roman" w:hAnsi="Times New Roman" w:eastAsia="Times New Roman"/>
                <w:b/>
                <w:i w:val="0"/>
                <w:color w:val="111827"/>
                <w:sz w:val="17"/>
              </w:rPr>
              <w:t>N</w:t>
            </w:r>
          </w:p>
        </w:tc>
        <w:tc>
          <w:tcPr>
            <w:tcW w:type="dxa" w:w="1200"/>
            <w:tcBorders>
              <w:top w:val="single" w:sz="12" w:color="000000"/>
              <w:bottom w:val="single" w:sz="8" w:color="000000"/>
            </w:tcBorders>
            <w:vAlign w:val="center"/>
            <w:tcMar>
              <w:top w:w="45" w:type="dxa"/>
              <w:bottom w:w="45" w:type="dxa"/>
              <w:start w:w="70" w:type="dxa"/>
              <w:end w:w="70" w:type="dxa"/>
            </w:tcMar>
          </w:tcPr>
          <w:p>
            <w:pPr>
              <w:spacing w:after="0"/>
              <w:jc w:val="center"/>
            </w:pPr>
            <w:r>
              <w:rPr>
                <w:rFonts w:ascii="Times New Roman" w:hAnsi="Times New Roman" w:eastAsia="Times New Roman"/>
                <w:b/>
                <w:i w:val="0"/>
                <w:color w:val="111827"/>
                <w:sz w:val="17"/>
              </w:rPr>
              <w:t>B</w:t>
            </w:r>
          </w:p>
        </w:tc>
        <w:tc>
          <w:tcPr>
            <w:tcW w:type="dxa" w:w="2500"/>
            <w:tcBorders>
              <w:top w:val="single" w:sz="12" w:color="000000"/>
              <w:bottom w:val="single" w:sz="8" w:color="000000"/>
            </w:tcBorders>
            <w:vAlign w:val="center"/>
            <w:tcMar>
              <w:top w:w="45" w:type="dxa"/>
              <w:bottom w:w="45" w:type="dxa"/>
              <w:start w:w="70" w:type="dxa"/>
              <w:end w:w="70" w:type="dxa"/>
            </w:tcMar>
          </w:tcPr>
          <w:p>
            <w:pPr>
              <w:spacing w:after="0"/>
              <w:jc w:val="center"/>
            </w:pPr>
            <w:r>
              <w:rPr>
                <w:rFonts w:ascii="Times New Roman" w:hAnsi="Times New Roman" w:eastAsia="Times New Roman"/>
                <w:b/>
                <w:i w:val="0"/>
                <w:color w:val="111827"/>
                <w:sz w:val="17"/>
              </w:rPr>
              <w:t>HC3 95% CI</w:t>
            </w:r>
          </w:p>
        </w:tc>
        <w:tc>
          <w:tcPr>
            <w:tcW w:type="dxa" w:w="1000"/>
            <w:tcBorders>
              <w:top w:val="single" w:sz="12" w:color="000000"/>
              <w:bottom w:val="single" w:sz="8" w:color="000000"/>
            </w:tcBorders>
            <w:vAlign w:val="center"/>
            <w:tcMar>
              <w:top w:w="45" w:type="dxa"/>
              <w:bottom w:w="45" w:type="dxa"/>
              <w:start w:w="70" w:type="dxa"/>
              <w:end w:w="70" w:type="dxa"/>
            </w:tcMar>
          </w:tcPr>
          <w:p>
            <w:pPr>
              <w:spacing w:after="0"/>
              <w:jc w:val="center"/>
            </w:pPr>
            <w:r>
              <w:rPr>
                <w:rFonts w:ascii="Times New Roman" w:hAnsi="Times New Roman" w:eastAsia="Times New Roman"/>
                <w:b/>
                <w:i w:val="0"/>
                <w:color w:val="111827"/>
                <w:sz w:val="17"/>
              </w:rPr>
              <w:t>P value</w:t>
            </w:r>
          </w:p>
        </w:tc>
      </w:tr>
      <w:tr>
        <w:tc>
          <w:tcPr>
            <w:tcW w:type="dxa" w:w="2300"/>
            <w:vAlign w:val="center"/>
            <w:tcMar>
              <w:top w:w="45" w:type="dxa"/>
              <w:bottom w:w="45" w:type="dxa"/>
              <w:start w:w="70" w:type="dxa"/>
              <w:end w:w="70" w:type="dxa"/>
            </w:tcMar>
          </w:tcPr>
          <w:p>
            <w:pPr>
              <w:spacing w:after="0" w:line="240" w:lineRule="auto"/>
              <w:jc w:val="left"/>
            </w:pPr>
            <w:r>
              <w:rPr>
                <w:rFonts w:ascii="Times New Roman" w:hAnsi="Times New Roman" w:eastAsia="Times New Roman"/>
                <w:b w:val="0"/>
                <w:i w:val="0"/>
                <w:color w:val="111827"/>
                <w:sz w:val="17"/>
              </w:rPr>
              <w:t>Model1-volume-N156</w:t>
            </w:r>
          </w:p>
        </w:tc>
        <w:tc>
          <w:tcPr>
            <w:tcW w:type="dxa" w:w="30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7"/>
              </w:rPr>
              <w:t>Clinical acute infarction</w:t>
            </w:r>
          </w:p>
        </w:tc>
        <w:tc>
          <w:tcPr>
            <w:tcW w:type="dxa" w:w="7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7"/>
              </w:rPr>
              <w:t>156</w:t>
            </w:r>
          </w:p>
        </w:tc>
        <w:tc>
          <w:tcPr>
            <w:tcW w:type="dxa" w:w="12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7"/>
              </w:rPr>
              <w:t>-0.0022</w:t>
            </w:r>
          </w:p>
        </w:tc>
        <w:tc>
          <w:tcPr>
            <w:tcW w:type="dxa" w:w="25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7"/>
              </w:rPr>
              <w:t>-0.0111 to 0.0066</w:t>
            </w:r>
          </w:p>
        </w:tc>
        <w:tc>
          <w:tcPr>
            <w:tcW w:type="dxa" w:w="10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7"/>
              </w:rPr>
              <w:t>0.620</w:t>
            </w:r>
          </w:p>
        </w:tc>
      </w:tr>
      <w:tr>
        <w:tc>
          <w:tcPr>
            <w:tcW w:type="dxa" w:w="2300"/>
            <w:vAlign w:val="center"/>
            <w:tcMar>
              <w:top w:w="45" w:type="dxa"/>
              <w:bottom w:w="45" w:type="dxa"/>
              <w:start w:w="70" w:type="dxa"/>
              <w:end w:w="70" w:type="dxa"/>
            </w:tcMar>
          </w:tcPr>
          <w:p>
            <w:pPr>
              <w:spacing w:after="0" w:line="240" w:lineRule="auto"/>
              <w:jc w:val="left"/>
            </w:pPr>
            <w:r>
              <w:rPr>
                <w:rFonts w:ascii="Times New Roman" w:hAnsi="Times New Roman" w:eastAsia="Times New Roman"/>
                <w:b w:val="0"/>
                <w:i w:val="0"/>
                <w:color w:val="111827"/>
                <w:sz w:val="17"/>
              </w:rPr>
              <w:t>Model1-volume-N156</w:t>
            </w:r>
          </w:p>
        </w:tc>
        <w:tc>
          <w:tcPr>
            <w:tcW w:type="dxa" w:w="30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7"/>
              </w:rPr>
              <w:t>Case-centered acute-infarct log volume</w:t>
            </w:r>
          </w:p>
        </w:tc>
        <w:tc>
          <w:tcPr>
            <w:tcW w:type="dxa" w:w="7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7"/>
              </w:rPr>
              <w:t>156</w:t>
            </w:r>
          </w:p>
        </w:tc>
        <w:tc>
          <w:tcPr>
            <w:tcW w:type="dxa" w:w="12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7"/>
              </w:rPr>
              <w:t>-0.0006</w:t>
            </w:r>
          </w:p>
        </w:tc>
        <w:tc>
          <w:tcPr>
            <w:tcW w:type="dxa" w:w="25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7"/>
              </w:rPr>
              <w:t>-0.0069 to 0.0058</w:t>
            </w:r>
          </w:p>
        </w:tc>
        <w:tc>
          <w:tcPr>
            <w:tcW w:type="dxa" w:w="10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7"/>
              </w:rPr>
              <w:t>0.858</w:t>
            </w:r>
          </w:p>
        </w:tc>
      </w:tr>
      <w:tr>
        <w:tc>
          <w:tcPr>
            <w:tcW w:type="dxa" w:w="2300"/>
            <w:vAlign w:val="center"/>
            <w:tcMar>
              <w:top w:w="45" w:type="dxa"/>
              <w:bottom w:w="45" w:type="dxa"/>
              <w:start w:w="70" w:type="dxa"/>
              <w:end w:w="70" w:type="dxa"/>
            </w:tcMar>
          </w:tcPr>
          <w:p>
            <w:pPr>
              <w:spacing w:after="0" w:line="240" w:lineRule="auto"/>
              <w:jc w:val="left"/>
            </w:pPr>
            <w:r>
              <w:rPr>
                <w:rFonts w:ascii="Times New Roman" w:hAnsi="Times New Roman" w:eastAsia="Times New Roman"/>
                <w:b w:val="0"/>
                <w:i w:val="0"/>
                <w:color w:val="111827"/>
                <w:sz w:val="17"/>
              </w:rPr>
              <w:t>Model1-RSSI-N166</w:t>
            </w:r>
          </w:p>
        </w:tc>
        <w:tc>
          <w:tcPr>
            <w:tcW w:type="dxa" w:w="30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7"/>
              </w:rPr>
              <w:t>RSSI positive</w:t>
            </w:r>
          </w:p>
        </w:tc>
        <w:tc>
          <w:tcPr>
            <w:tcW w:type="dxa" w:w="7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7"/>
              </w:rPr>
              <w:t>166</w:t>
            </w:r>
          </w:p>
        </w:tc>
        <w:tc>
          <w:tcPr>
            <w:tcW w:type="dxa" w:w="12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7"/>
              </w:rPr>
              <w:t>-0.0056</w:t>
            </w:r>
          </w:p>
        </w:tc>
        <w:tc>
          <w:tcPr>
            <w:tcW w:type="dxa" w:w="25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7"/>
              </w:rPr>
              <w:t>-0.0137 to 0.0024</w:t>
            </w:r>
          </w:p>
        </w:tc>
        <w:tc>
          <w:tcPr>
            <w:tcW w:type="dxa" w:w="10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7"/>
              </w:rPr>
              <w:t>0.168</w:t>
            </w:r>
          </w:p>
        </w:tc>
      </w:tr>
      <w:tr>
        <w:tc>
          <w:tcPr>
            <w:tcW w:type="dxa" w:w="2300"/>
            <w:tcBorders>
              <w:bottom w:val="single" w:sz="12" w:color="000000"/>
            </w:tcBorders>
            <w:vAlign w:val="center"/>
            <w:tcMar>
              <w:top w:w="45" w:type="dxa"/>
              <w:bottom w:w="45" w:type="dxa"/>
              <w:start w:w="70" w:type="dxa"/>
              <w:end w:w="70" w:type="dxa"/>
            </w:tcMar>
          </w:tcPr>
          <w:p>
            <w:pPr>
              <w:spacing w:after="0" w:line="240" w:lineRule="auto"/>
              <w:jc w:val="left"/>
            </w:pPr>
            <w:r>
              <w:rPr>
                <w:rFonts w:ascii="Times New Roman" w:hAnsi="Times New Roman" w:eastAsia="Times New Roman"/>
                <w:b w:val="0"/>
                <w:i w:val="0"/>
                <w:color w:val="111827"/>
                <w:sz w:val="17"/>
              </w:rPr>
              <w:t>Model1-RSSI-N166</w:t>
            </w:r>
          </w:p>
        </w:tc>
        <w:tc>
          <w:tcPr>
            <w:tcW w:type="dxa" w:w="3000"/>
            <w:tcBorders>
              <w:bottom w:val="single" w:sz="12" w:color="000000"/>
            </w:tcBorders>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7"/>
              </w:rPr>
              <w:t>Case-centered RSSI log volume</w:t>
            </w:r>
          </w:p>
        </w:tc>
        <w:tc>
          <w:tcPr>
            <w:tcW w:type="dxa" w:w="700"/>
            <w:tcBorders>
              <w:bottom w:val="single" w:sz="12" w:color="000000"/>
            </w:tcBorders>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7"/>
              </w:rPr>
              <w:t>166</w:t>
            </w:r>
          </w:p>
        </w:tc>
        <w:tc>
          <w:tcPr>
            <w:tcW w:type="dxa" w:w="1200"/>
            <w:tcBorders>
              <w:bottom w:val="single" w:sz="12" w:color="000000"/>
            </w:tcBorders>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7"/>
              </w:rPr>
              <w:t>0.0000</w:t>
            </w:r>
          </w:p>
        </w:tc>
        <w:tc>
          <w:tcPr>
            <w:tcW w:type="dxa" w:w="2500"/>
            <w:tcBorders>
              <w:bottom w:val="single" w:sz="12" w:color="000000"/>
            </w:tcBorders>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7"/>
              </w:rPr>
              <w:t>-0.0056 to 0.0056</w:t>
            </w:r>
          </w:p>
        </w:tc>
        <w:tc>
          <w:tcPr>
            <w:tcW w:type="dxa" w:w="1000"/>
            <w:tcBorders>
              <w:bottom w:val="single" w:sz="12" w:color="000000"/>
            </w:tcBorders>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7"/>
              </w:rPr>
              <w:t>0.995</w:t>
            </w:r>
          </w:p>
        </w:tc>
      </w:tr>
    </w:tbl>
    <w:p>
      <w:pPr>
        <w:spacing w:before="60" w:after="60" w:line="240" w:lineRule="auto"/>
      </w:pPr>
      <w:r>
        <w:rPr>
          <w:rFonts w:ascii="Times New Roman" w:hAnsi="Times New Roman" w:eastAsia="Times New Roman"/>
          <w:b w:val="0"/>
          <w:i w:val="0"/>
          <w:color w:val="4B5563"/>
          <w:sz w:val="17"/>
        </w:rPr>
        <w:t>Both models adjusted for age, sex, hypertension, diabetes mellitus, and meanFD. Clinical acute-infarction volume was not imputed for 10 acute cases without usable RSSI volume; therefore, that sensitivity model used N=156.</w:t>
      </w:r>
    </w:p>
    <w:p>
      <w:pPr/>
      <w:r>
        <w:t>Supplementary result. Alternative acute-injury definitions did not change the primary null finding. In the volume-based model (N=156), neither clinical acute-infarction status (B=-0.0022, 95% CI -0.0111 to 0.0066; P=0.620) nor case-centered acute-infarct log volume (B=-0.0006, 95% CI -0.0069 to 0.0058; P=0.858) was associated with global efficiency. In all 166 participants, RSSI positivity was also non-significant (B=-0.0056, 95% CI -0.0137 to 0.0024; P=0.168), as was case-centered RSSI log volume (B=0.0000, 95% CI -0.0056 to 0.0056; P=0.995).</w:t>
      </w:r>
    </w:p>
    <w:p>
      <w:r>
        <w:br w:type="page"/>
      </w:r>
    </w:p>
    <w:p>
      <w:pPr>
        <w:pStyle w:val="Heading1"/>
      </w:pPr>
      <w:r>
        <w:rPr>
          <w:rFonts w:ascii="Times New Roman" w:hAnsi="Times New Roman" w:eastAsia="Times New Roman"/>
          <w:b/>
          <w:i w:val="0"/>
          <w:color w:val="111827"/>
          <w:sz w:val="28"/>
        </w:rPr>
        <w:t>Table S2. Regional-effect robustness analyses</w:t>
      </w:r>
    </w:p>
    <w:tbl>
      <w:tblPr>
        <w:tblW w:type="dxa" w:w="12960"/>
        <w:jc w:val="left"/>
        <w:tblLayout w:type="fixed"/>
        <w:tblLook w:firstColumn="1" w:firstRow="1" w:lastColumn="0" w:lastRow="0" w:noHBand="0" w:noVBand="1" w:val="04A0"/>
        <w:tblInd w:w="0" w:type="dxa"/>
      </w:tblPr>
      <w:tblGrid>
        <w:gridCol w:w="700"/>
        <w:gridCol w:w="2400"/>
        <w:gridCol w:w="950"/>
        <w:gridCol w:w="950"/>
        <w:gridCol w:w="1500"/>
        <w:gridCol w:w="1450"/>
        <w:gridCol w:w="1800"/>
        <w:gridCol w:w="1700"/>
        <w:gridCol w:w="1510"/>
      </w:tblGrid>
      <w:tr>
        <w:trPr>
          <w:tblHeader w:val="true"/>
        </w:trPr>
        <w:tc>
          <w:tcPr>
            <w:tcW w:type="dxa" w:w="700"/>
            <w:tcBorders>
              <w:top w:val="single" w:sz="12" w:color="000000"/>
              <w:bottom w:val="single" w:sz="8" w:color="000000"/>
            </w:tcBorders>
            <w:vAlign w:val="center"/>
            <w:tcMar>
              <w:top w:w="45" w:type="dxa"/>
              <w:bottom w:w="45" w:type="dxa"/>
              <w:start w:w="70" w:type="dxa"/>
              <w:end w:w="70" w:type="dxa"/>
            </w:tcMar>
          </w:tcPr>
          <w:p>
            <w:pPr>
              <w:spacing w:after="0"/>
              <w:jc w:val="left"/>
            </w:pPr>
            <w:r>
              <w:rPr>
                <w:rFonts w:ascii="Times New Roman" w:hAnsi="Times New Roman" w:eastAsia="Times New Roman"/>
                <w:b/>
                <w:i w:val="0"/>
                <w:color w:val="111827"/>
                <w:sz w:val="13"/>
              </w:rPr>
              <w:t>Family</w:t>
            </w:r>
          </w:p>
        </w:tc>
        <w:tc>
          <w:tcPr>
            <w:tcW w:type="dxa" w:w="2400"/>
            <w:tcBorders>
              <w:top w:val="single" w:sz="12" w:color="000000"/>
              <w:bottom w:val="single" w:sz="8" w:color="000000"/>
            </w:tcBorders>
            <w:vAlign w:val="center"/>
            <w:tcMar>
              <w:top w:w="45" w:type="dxa"/>
              <w:bottom w:w="45" w:type="dxa"/>
              <w:start w:w="70" w:type="dxa"/>
              <w:end w:w="70" w:type="dxa"/>
            </w:tcMar>
          </w:tcPr>
          <w:p>
            <w:pPr>
              <w:spacing w:after="0"/>
              <w:jc w:val="center"/>
            </w:pPr>
            <w:r>
              <w:rPr>
                <w:rFonts w:ascii="Times New Roman" w:hAnsi="Times New Roman" w:eastAsia="Times New Roman"/>
                <w:b/>
                <w:i w:val="0"/>
                <w:color w:val="111827"/>
                <w:sz w:val="13"/>
              </w:rPr>
              <w:t>Region</w:t>
            </w:r>
          </w:p>
        </w:tc>
        <w:tc>
          <w:tcPr>
            <w:tcW w:type="dxa" w:w="950"/>
            <w:tcBorders>
              <w:top w:val="single" w:sz="12" w:color="000000"/>
              <w:bottom w:val="single" w:sz="8" w:color="000000"/>
            </w:tcBorders>
            <w:vAlign w:val="center"/>
            <w:tcMar>
              <w:top w:w="45" w:type="dxa"/>
              <w:bottom w:w="45" w:type="dxa"/>
              <w:start w:w="70" w:type="dxa"/>
              <w:end w:w="70" w:type="dxa"/>
            </w:tcMar>
          </w:tcPr>
          <w:p>
            <w:pPr>
              <w:spacing w:after="0"/>
              <w:jc w:val="center"/>
            </w:pPr>
            <w:r>
              <w:rPr>
                <w:rFonts w:ascii="Times New Roman" w:hAnsi="Times New Roman" w:eastAsia="Times New Roman"/>
                <w:b/>
                <w:i w:val="0"/>
                <w:color w:val="111827"/>
                <w:sz w:val="13"/>
              </w:rPr>
              <w:t>Main B</w:t>
            </w:r>
          </w:p>
        </w:tc>
        <w:tc>
          <w:tcPr>
            <w:tcW w:type="dxa" w:w="950"/>
            <w:tcBorders>
              <w:top w:val="single" w:sz="12" w:color="000000"/>
              <w:bottom w:val="single" w:sz="8" w:color="000000"/>
            </w:tcBorders>
            <w:vAlign w:val="center"/>
            <w:tcMar>
              <w:top w:w="45" w:type="dxa"/>
              <w:bottom w:w="45" w:type="dxa"/>
              <w:start w:w="70" w:type="dxa"/>
              <w:end w:w="70" w:type="dxa"/>
            </w:tcMar>
          </w:tcPr>
          <w:p>
            <w:pPr>
              <w:spacing w:after="0"/>
              <w:jc w:val="center"/>
            </w:pPr>
            <w:r>
              <w:rPr>
                <w:rFonts w:ascii="Times New Roman" w:hAnsi="Times New Roman" w:eastAsia="Times New Roman"/>
                <w:b/>
                <w:i w:val="0"/>
                <w:color w:val="111827"/>
                <w:sz w:val="13"/>
              </w:rPr>
              <w:t>Huber B</w:t>
            </w:r>
          </w:p>
        </w:tc>
        <w:tc>
          <w:tcPr>
            <w:tcW w:type="dxa" w:w="1500"/>
            <w:tcBorders>
              <w:top w:val="single" w:sz="12" w:color="000000"/>
              <w:bottom w:val="single" w:sz="8" w:color="000000"/>
            </w:tcBorders>
            <w:vAlign w:val="center"/>
            <w:tcMar>
              <w:top w:w="45" w:type="dxa"/>
              <w:bottom w:w="45" w:type="dxa"/>
              <w:start w:w="70" w:type="dxa"/>
              <w:end w:w="70" w:type="dxa"/>
            </w:tcMar>
          </w:tcPr>
          <w:p>
            <w:pPr>
              <w:spacing w:after="0"/>
              <w:jc w:val="center"/>
            </w:pPr>
            <w:r>
              <w:rPr>
                <w:rFonts w:ascii="Times New Roman" w:hAnsi="Times New Roman" w:eastAsia="Times New Roman"/>
                <w:b/>
                <w:i w:val="0"/>
                <w:color w:val="111827"/>
                <w:sz w:val="13"/>
              </w:rPr>
              <w:t>Strict exclusion B (P)</w:t>
            </w:r>
          </w:p>
        </w:tc>
        <w:tc>
          <w:tcPr>
            <w:tcW w:type="dxa" w:w="1450"/>
            <w:tcBorders>
              <w:top w:val="single" w:sz="12" w:color="000000"/>
              <w:bottom w:val="single" w:sz="8" w:color="000000"/>
            </w:tcBorders>
            <w:vAlign w:val="center"/>
            <w:tcMar>
              <w:top w:w="45" w:type="dxa"/>
              <w:bottom w:w="45" w:type="dxa"/>
              <w:start w:w="70" w:type="dxa"/>
              <w:end w:w="70" w:type="dxa"/>
            </w:tcMar>
          </w:tcPr>
          <w:p>
            <w:pPr>
              <w:spacing w:after="0"/>
              <w:jc w:val="center"/>
            </w:pPr>
            <w:r>
              <w:rPr>
                <w:rFonts w:ascii="Times New Roman" w:hAnsi="Times New Roman" w:eastAsia="Times New Roman"/>
                <w:b/>
                <w:i w:val="0"/>
                <w:color w:val="111827"/>
                <w:sz w:val="13"/>
              </w:rPr>
              <w:t>No acute B (P)</w:t>
            </w:r>
          </w:p>
        </w:tc>
        <w:tc>
          <w:tcPr>
            <w:tcW w:type="dxa" w:w="1800"/>
            <w:tcBorders>
              <w:top w:val="single" w:sz="12" w:color="000000"/>
              <w:bottom w:val="single" w:sz="8" w:color="000000"/>
            </w:tcBorders>
            <w:vAlign w:val="center"/>
            <w:tcMar>
              <w:top w:w="45" w:type="dxa"/>
              <w:bottom w:w="45" w:type="dxa"/>
              <w:start w:w="70" w:type="dxa"/>
              <w:end w:w="70" w:type="dxa"/>
            </w:tcMar>
          </w:tcPr>
          <w:p>
            <w:pPr>
              <w:spacing w:after="0"/>
              <w:jc w:val="center"/>
            </w:pPr>
            <w:r>
              <w:rPr>
                <w:rFonts w:ascii="Times New Roman" w:hAnsi="Times New Roman" w:eastAsia="Times New Roman"/>
                <w:b/>
                <w:i w:val="0"/>
                <w:color w:val="111827"/>
                <w:sz w:val="13"/>
              </w:rPr>
              <w:t>+Global mean signal B (P)</w:t>
            </w:r>
          </w:p>
        </w:tc>
        <w:tc>
          <w:tcPr>
            <w:tcW w:type="dxa" w:w="1700"/>
            <w:tcBorders>
              <w:top w:val="single" w:sz="12" w:color="000000"/>
              <w:bottom w:val="single" w:sz="8" w:color="000000"/>
            </w:tcBorders>
            <w:vAlign w:val="center"/>
            <w:tcMar>
              <w:top w:w="45" w:type="dxa"/>
              <w:bottom w:w="45" w:type="dxa"/>
              <w:start w:w="70" w:type="dxa"/>
              <w:end w:w="70" w:type="dxa"/>
            </w:tcMar>
          </w:tcPr>
          <w:p>
            <w:pPr>
              <w:spacing w:after="0"/>
              <w:jc w:val="center"/>
            </w:pPr>
            <w:r>
              <w:rPr>
                <w:rFonts w:ascii="Times New Roman" w:hAnsi="Times New Roman" w:eastAsia="Times New Roman"/>
                <w:b/>
                <w:i w:val="0"/>
                <w:color w:val="111827"/>
                <w:sz w:val="13"/>
              </w:rPr>
              <w:t>Retained time points B (P)</w:t>
            </w:r>
          </w:p>
        </w:tc>
        <w:tc>
          <w:tcPr>
            <w:tcW w:type="dxa" w:w="1510"/>
            <w:tcBorders>
              <w:top w:val="single" w:sz="12" w:color="000000"/>
              <w:bottom w:val="single" w:sz="8" w:color="000000"/>
            </w:tcBorders>
            <w:vAlign w:val="center"/>
            <w:tcMar>
              <w:top w:w="45" w:type="dxa"/>
              <w:bottom w:w="45" w:type="dxa"/>
              <w:start w:w="70" w:type="dxa"/>
              <w:end w:w="70" w:type="dxa"/>
            </w:tcMar>
          </w:tcPr>
          <w:p>
            <w:pPr>
              <w:spacing w:after="0"/>
              <w:jc w:val="center"/>
            </w:pPr>
            <w:r>
              <w:rPr>
                <w:rFonts w:ascii="Times New Roman" w:hAnsi="Times New Roman" w:eastAsia="Times New Roman"/>
                <w:b/>
                <w:i w:val="0"/>
                <w:color w:val="111827"/>
                <w:sz w:val="13"/>
              </w:rPr>
              <w:t>Leave-one-out B range</w:t>
            </w:r>
          </w:p>
        </w:tc>
      </w:tr>
      <w:tr>
        <w:tc>
          <w:tcPr>
            <w:tcW w:type="dxa" w:w="700"/>
            <w:vAlign w:val="center"/>
            <w:tcMar>
              <w:top w:w="45" w:type="dxa"/>
              <w:bottom w:w="45" w:type="dxa"/>
              <w:start w:w="70" w:type="dxa"/>
              <w:end w:w="70" w:type="dxa"/>
            </w:tcMar>
          </w:tcPr>
          <w:p>
            <w:pPr>
              <w:spacing w:after="0" w:line="240" w:lineRule="auto"/>
              <w:jc w:val="left"/>
            </w:pPr>
            <w:r>
              <w:rPr>
                <w:rFonts w:ascii="Times New Roman" w:hAnsi="Times New Roman" w:eastAsia="Times New Roman"/>
                <w:b w:val="0"/>
                <w:i w:val="0"/>
                <w:color w:val="111827"/>
                <w:sz w:val="13"/>
              </w:rPr>
              <w:t>LA</w:t>
            </w:r>
          </w:p>
        </w:tc>
        <w:tc>
          <w:tcPr>
            <w:tcW w:type="dxa" w:w="24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Frontal lacune</w:t>
            </w:r>
          </w:p>
        </w:tc>
        <w:tc>
          <w:tcPr>
            <w:tcW w:type="dxa" w:w="9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0.0014</w:t>
            </w:r>
          </w:p>
        </w:tc>
        <w:tc>
          <w:tcPr>
            <w:tcW w:type="dxa" w:w="9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0.0002</w:t>
            </w:r>
          </w:p>
        </w:tc>
        <w:tc>
          <w:tcPr>
            <w:tcW w:type="dxa" w:w="15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0.0010 (0.826)</w:t>
            </w:r>
          </w:p>
        </w:tc>
        <w:tc>
          <w:tcPr>
            <w:tcW w:type="dxa" w:w="14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0.0113 (0.277)</w:t>
            </w:r>
          </w:p>
        </w:tc>
        <w:tc>
          <w:tcPr>
            <w:tcW w:type="dxa" w:w="18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0.0017 (0.735)</w:t>
            </w:r>
          </w:p>
        </w:tc>
        <w:tc>
          <w:tcPr>
            <w:tcW w:type="dxa" w:w="17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0.0023 (0.654)</w:t>
            </w:r>
          </w:p>
        </w:tc>
        <w:tc>
          <w:tcPr>
            <w:tcW w:type="dxa" w:w="151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0.0001 to 0.0030</w:t>
            </w:r>
          </w:p>
        </w:tc>
      </w:tr>
      <w:tr>
        <w:tc>
          <w:tcPr>
            <w:tcW w:type="dxa" w:w="700"/>
            <w:vAlign w:val="center"/>
            <w:tcMar>
              <w:top w:w="45" w:type="dxa"/>
              <w:bottom w:w="45" w:type="dxa"/>
              <w:start w:w="70" w:type="dxa"/>
              <w:end w:w="70" w:type="dxa"/>
            </w:tcMar>
          </w:tcPr>
          <w:p>
            <w:pPr>
              <w:spacing w:after="0" w:line="240" w:lineRule="auto"/>
              <w:jc w:val="left"/>
            </w:pPr>
            <w:r>
              <w:rPr>
                <w:rFonts w:ascii="Times New Roman" w:hAnsi="Times New Roman" w:eastAsia="Times New Roman"/>
                <w:b w:val="0"/>
                <w:i w:val="0"/>
                <w:color w:val="111827"/>
                <w:sz w:val="13"/>
              </w:rPr>
              <w:t>LA</w:t>
            </w:r>
          </w:p>
        </w:tc>
        <w:tc>
          <w:tcPr>
            <w:tcW w:type="dxa" w:w="24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Parietal lacune</w:t>
            </w:r>
          </w:p>
        </w:tc>
        <w:tc>
          <w:tcPr>
            <w:tcW w:type="dxa" w:w="9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-0.0130</w:t>
            </w:r>
          </w:p>
        </w:tc>
        <w:tc>
          <w:tcPr>
            <w:tcW w:type="dxa" w:w="9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-0.0144</w:t>
            </w:r>
          </w:p>
        </w:tc>
        <w:tc>
          <w:tcPr>
            <w:tcW w:type="dxa" w:w="15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-0.0140 (0.008)</w:t>
            </w:r>
          </w:p>
        </w:tc>
        <w:tc>
          <w:tcPr>
            <w:tcW w:type="dxa" w:w="14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-0.0147 (0.079)</w:t>
            </w:r>
          </w:p>
        </w:tc>
        <w:tc>
          <w:tcPr>
            <w:tcW w:type="dxa" w:w="18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-0.0138 (0.012)</w:t>
            </w:r>
          </w:p>
        </w:tc>
        <w:tc>
          <w:tcPr>
            <w:tcW w:type="dxa" w:w="17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-0.0139 (0.012)</w:t>
            </w:r>
          </w:p>
        </w:tc>
        <w:tc>
          <w:tcPr>
            <w:tcW w:type="dxa" w:w="151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-0.0147 to -0.0111</w:t>
            </w:r>
          </w:p>
        </w:tc>
      </w:tr>
      <w:tr>
        <w:tc>
          <w:tcPr>
            <w:tcW w:type="dxa" w:w="700"/>
            <w:vAlign w:val="center"/>
            <w:tcMar>
              <w:top w:w="45" w:type="dxa"/>
              <w:bottom w:w="45" w:type="dxa"/>
              <w:start w:w="70" w:type="dxa"/>
              <w:end w:w="70" w:type="dxa"/>
            </w:tcMar>
          </w:tcPr>
          <w:p>
            <w:pPr>
              <w:spacing w:after="0" w:line="240" w:lineRule="auto"/>
              <w:jc w:val="left"/>
            </w:pPr>
            <w:r>
              <w:rPr>
                <w:rFonts w:ascii="Times New Roman" w:hAnsi="Times New Roman" w:eastAsia="Times New Roman"/>
                <w:b w:val="0"/>
                <w:i w:val="0"/>
                <w:color w:val="111827"/>
                <w:sz w:val="13"/>
              </w:rPr>
              <w:t>LA</w:t>
            </w:r>
          </w:p>
        </w:tc>
        <w:tc>
          <w:tcPr>
            <w:tcW w:type="dxa" w:w="24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Deep lacune</w:t>
            </w:r>
          </w:p>
        </w:tc>
        <w:tc>
          <w:tcPr>
            <w:tcW w:type="dxa" w:w="9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-0.0132</w:t>
            </w:r>
          </w:p>
        </w:tc>
        <w:tc>
          <w:tcPr>
            <w:tcW w:type="dxa" w:w="9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-0.0117</w:t>
            </w:r>
          </w:p>
        </w:tc>
        <w:tc>
          <w:tcPr>
            <w:tcW w:type="dxa" w:w="15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-0.0141 (0.003)</w:t>
            </w:r>
          </w:p>
        </w:tc>
        <w:tc>
          <w:tcPr>
            <w:tcW w:type="dxa" w:w="14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-0.0221 (0.017)</w:t>
            </w:r>
          </w:p>
        </w:tc>
        <w:tc>
          <w:tcPr>
            <w:tcW w:type="dxa" w:w="18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-0.0130 (0.009)</w:t>
            </w:r>
          </w:p>
        </w:tc>
        <w:tc>
          <w:tcPr>
            <w:tcW w:type="dxa" w:w="17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-0.0111 (0.033)</w:t>
            </w:r>
          </w:p>
        </w:tc>
        <w:tc>
          <w:tcPr>
            <w:tcW w:type="dxa" w:w="151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-0.0142 to -0.0116</w:t>
            </w:r>
          </w:p>
        </w:tc>
      </w:tr>
      <w:tr>
        <w:tc>
          <w:tcPr>
            <w:tcW w:type="dxa" w:w="700"/>
            <w:vAlign w:val="center"/>
            <w:tcMar>
              <w:top w:w="45" w:type="dxa"/>
              <w:bottom w:w="45" w:type="dxa"/>
              <w:start w:w="70" w:type="dxa"/>
              <w:end w:w="70" w:type="dxa"/>
            </w:tcMar>
          </w:tcPr>
          <w:p>
            <w:pPr>
              <w:spacing w:after="0" w:line="240" w:lineRule="auto"/>
              <w:jc w:val="left"/>
            </w:pPr>
            <w:r>
              <w:rPr>
                <w:rFonts w:ascii="Times New Roman" w:hAnsi="Times New Roman" w:eastAsia="Times New Roman"/>
                <w:b w:val="0"/>
                <w:i w:val="0"/>
                <w:color w:val="111827"/>
                <w:sz w:val="13"/>
              </w:rPr>
              <w:t>CMB</w:t>
            </w:r>
          </w:p>
        </w:tc>
        <w:tc>
          <w:tcPr>
            <w:tcW w:type="dxa" w:w="24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Frontal CMB</w:t>
            </w:r>
          </w:p>
        </w:tc>
        <w:tc>
          <w:tcPr>
            <w:tcW w:type="dxa" w:w="9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0.0023</w:t>
            </w:r>
          </w:p>
        </w:tc>
        <w:tc>
          <w:tcPr>
            <w:tcW w:type="dxa" w:w="9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0.0053</w:t>
            </w:r>
          </w:p>
        </w:tc>
        <w:tc>
          <w:tcPr>
            <w:tcW w:type="dxa" w:w="15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0.0025 (0.687)</w:t>
            </w:r>
          </w:p>
        </w:tc>
        <w:tc>
          <w:tcPr>
            <w:tcW w:type="dxa" w:w="14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-0.0049 (0.641)</w:t>
            </w:r>
          </w:p>
        </w:tc>
        <w:tc>
          <w:tcPr>
            <w:tcW w:type="dxa" w:w="18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0.0015 (0.821)</w:t>
            </w:r>
          </w:p>
        </w:tc>
        <w:tc>
          <w:tcPr>
            <w:tcW w:type="dxa" w:w="17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0.0041 (0.523)</w:t>
            </w:r>
          </w:p>
        </w:tc>
        <w:tc>
          <w:tcPr>
            <w:tcW w:type="dxa" w:w="151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0.0005 to 0.0053</w:t>
            </w:r>
          </w:p>
        </w:tc>
      </w:tr>
      <w:tr>
        <w:tc>
          <w:tcPr>
            <w:tcW w:type="dxa" w:w="700"/>
            <w:vAlign w:val="center"/>
            <w:tcMar>
              <w:top w:w="45" w:type="dxa"/>
              <w:bottom w:w="45" w:type="dxa"/>
              <w:start w:w="70" w:type="dxa"/>
              <w:end w:w="70" w:type="dxa"/>
            </w:tcMar>
          </w:tcPr>
          <w:p>
            <w:pPr>
              <w:spacing w:after="0" w:line="240" w:lineRule="auto"/>
              <w:jc w:val="left"/>
            </w:pPr>
            <w:r>
              <w:rPr>
                <w:rFonts w:ascii="Times New Roman" w:hAnsi="Times New Roman" w:eastAsia="Times New Roman"/>
                <w:b w:val="0"/>
                <w:i w:val="0"/>
                <w:color w:val="111827"/>
                <w:sz w:val="13"/>
              </w:rPr>
              <w:t>CMB</w:t>
            </w:r>
          </w:p>
        </w:tc>
        <w:tc>
          <w:tcPr>
            <w:tcW w:type="dxa" w:w="24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Parietal CMB</w:t>
            </w:r>
          </w:p>
        </w:tc>
        <w:tc>
          <w:tcPr>
            <w:tcW w:type="dxa" w:w="9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-0.0060</w:t>
            </w:r>
          </w:p>
        </w:tc>
        <w:tc>
          <w:tcPr>
            <w:tcW w:type="dxa" w:w="9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-0.0045</w:t>
            </w:r>
          </w:p>
        </w:tc>
        <w:tc>
          <w:tcPr>
            <w:tcW w:type="dxa" w:w="15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-0.0010 (0.878)</w:t>
            </w:r>
          </w:p>
        </w:tc>
        <w:tc>
          <w:tcPr>
            <w:tcW w:type="dxa" w:w="14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-0.0040 (0.665)</w:t>
            </w:r>
          </w:p>
        </w:tc>
        <w:tc>
          <w:tcPr>
            <w:tcW w:type="dxa" w:w="18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-0.0068 (0.399)</w:t>
            </w:r>
          </w:p>
        </w:tc>
        <w:tc>
          <w:tcPr>
            <w:tcW w:type="dxa" w:w="17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-0.0058 (0.480)</w:t>
            </w:r>
          </w:p>
        </w:tc>
        <w:tc>
          <w:tcPr>
            <w:tcW w:type="dxa" w:w="151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-0.0087 to -0.0015</w:t>
            </w:r>
          </w:p>
        </w:tc>
      </w:tr>
      <w:tr>
        <w:tc>
          <w:tcPr>
            <w:tcW w:type="dxa" w:w="700"/>
            <w:vAlign w:val="center"/>
            <w:tcMar>
              <w:top w:w="45" w:type="dxa"/>
              <w:bottom w:w="45" w:type="dxa"/>
              <w:start w:w="70" w:type="dxa"/>
              <w:end w:w="70" w:type="dxa"/>
            </w:tcMar>
          </w:tcPr>
          <w:p>
            <w:pPr>
              <w:spacing w:after="0" w:line="240" w:lineRule="auto"/>
              <w:jc w:val="left"/>
            </w:pPr>
            <w:r>
              <w:rPr>
                <w:rFonts w:ascii="Times New Roman" w:hAnsi="Times New Roman" w:eastAsia="Times New Roman"/>
                <w:b w:val="0"/>
                <w:i w:val="0"/>
                <w:color w:val="111827"/>
                <w:sz w:val="13"/>
              </w:rPr>
              <w:t>CMB</w:t>
            </w:r>
          </w:p>
        </w:tc>
        <w:tc>
          <w:tcPr>
            <w:tcW w:type="dxa" w:w="24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Temporal CMB</w:t>
            </w:r>
          </w:p>
        </w:tc>
        <w:tc>
          <w:tcPr>
            <w:tcW w:type="dxa" w:w="9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-0.0046</w:t>
            </w:r>
          </w:p>
        </w:tc>
        <w:tc>
          <w:tcPr>
            <w:tcW w:type="dxa" w:w="9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-0.0070</w:t>
            </w:r>
          </w:p>
        </w:tc>
        <w:tc>
          <w:tcPr>
            <w:tcW w:type="dxa" w:w="15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-0.0057 (0.274)</w:t>
            </w:r>
          </w:p>
        </w:tc>
        <w:tc>
          <w:tcPr>
            <w:tcW w:type="dxa" w:w="14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-0.0089 (0.350)</w:t>
            </w:r>
          </w:p>
        </w:tc>
        <w:tc>
          <w:tcPr>
            <w:tcW w:type="dxa" w:w="18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-0.0047 (0.400)</w:t>
            </w:r>
          </w:p>
        </w:tc>
        <w:tc>
          <w:tcPr>
            <w:tcW w:type="dxa" w:w="17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-0.0049 (0.368)</w:t>
            </w:r>
          </w:p>
        </w:tc>
        <w:tc>
          <w:tcPr>
            <w:tcW w:type="dxa" w:w="151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-0.0061 to -0.0028</w:t>
            </w:r>
          </w:p>
        </w:tc>
      </w:tr>
      <w:tr>
        <w:tc>
          <w:tcPr>
            <w:tcW w:type="dxa" w:w="700"/>
            <w:vAlign w:val="center"/>
            <w:tcMar>
              <w:top w:w="45" w:type="dxa"/>
              <w:bottom w:w="45" w:type="dxa"/>
              <w:start w:w="70" w:type="dxa"/>
              <w:end w:w="70" w:type="dxa"/>
            </w:tcMar>
          </w:tcPr>
          <w:p>
            <w:pPr>
              <w:spacing w:after="0" w:line="240" w:lineRule="auto"/>
              <w:jc w:val="left"/>
            </w:pPr>
            <w:r>
              <w:rPr>
                <w:rFonts w:ascii="Times New Roman" w:hAnsi="Times New Roman" w:eastAsia="Times New Roman"/>
                <w:b w:val="0"/>
                <w:i w:val="0"/>
                <w:color w:val="111827"/>
                <w:sz w:val="13"/>
              </w:rPr>
              <w:t>CMB</w:t>
            </w:r>
          </w:p>
        </w:tc>
        <w:tc>
          <w:tcPr>
            <w:tcW w:type="dxa" w:w="24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Deep CMB</w:t>
            </w:r>
          </w:p>
        </w:tc>
        <w:tc>
          <w:tcPr>
            <w:tcW w:type="dxa" w:w="9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-0.0070</w:t>
            </w:r>
          </w:p>
        </w:tc>
        <w:tc>
          <w:tcPr>
            <w:tcW w:type="dxa" w:w="9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-0.0085</w:t>
            </w:r>
          </w:p>
        </w:tc>
        <w:tc>
          <w:tcPr>
            <w:tcW w:type="dxa" w:w="15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-0.0070 (0.226)</w:t>
            </w:r>
          </w:p>
        </w:tc>
        <w:tc>
          <w:tcPr>
            <w:tcW w:type="dxa" w:w="14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-0.0043 (0.654)</w:t>
            </w:r>
          </w:p>
        </w:tc>
        <w:tc>
          <w:tcPr>
            <w:tcW w:type="dxa" w:w="18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-0.0071 (0.270)</w:t>
            </w:r>
          </w:p>
        </w:tc>
        <w:tc>
          <w:tcPr>
            <w:tcW w:type="dxa" w:w="17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-0.0069 (0.254)</w:t>
            </w:r>
          </w:p>
        </w:tc>
        <w:tc>
          <w:tcPr>
            <w:tcW w:type="dxa" w:w="151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-0.0098 to -0.0050</w:t>
            </w:r>
          </w:p>
        </w:tc>
      </w:tr>
      <w:tr>
        <w:tc>
          <w:tcPr>
            <w:tcW w:type="dxa" w:w="700"/>
            <w:vAlign w:val="center"/>
            <w:tcMar>
              <w:top w:w="45" w:type="dxa"/>
              <w:bottom w:w="45" w:type="dxa"/>
              <w:start w:w="70" w:type="dxa"/>
              <w:end w:w="70" w:type="dxa"/>
            </w:tcMar>
          </w:tcPr>
          <w:p>
            <w:pPr>
              <w:spacing w:after="0" w:line="240" w:lineRule="auto"/>
              <w:jc w:val="left"/>
            </w:pPr>
            <w:r>
              <w:rPr>
                <w:rFonts w:ascii="Times New Roman" w:hAnsi="Times New Roman" w:eastAsia="Times New Roman"/>
                <w:b w:val="0"/>
                <w:i w:val="0"/>
                <w:color w:val="111827"/>
                <w:sz w:val="13"/>
              </w:rPr>
              <w:t>CMB</w:t>
            </w:r>
          </w:p>
        </w:tc>
        <w:tc>
          <w:tcPr>
            <w:tcW w:type="dxa" w:w="24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Infratentorial CMB</w:t>
            </w:r>
          </w:p>
        </w:tc>
        <w:tc>
          <w:tcPr>
            <w:tcW w:type="dxa" w:w="9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-0.0034</w:t>
            </w:r>
          </w:p>
        </w:tc>
        <w:tc>
          <w:tcPr>
            <w:tcW w:type="dxa" w:w="9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-0.0030</w:t>
            </w:r>
          </w:p>
        </w:tc>
        <w:tc>
          <w:tcPr>
            <w:tcW w:type="dxa" w:w="15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-0.0058 (0.431)</w:t>
            </w:r>
          </w:p>
        </w:tc>
        <w:tc>
          <w:tcPr>
            <w:tcW w:type="dxa" w:w="14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0.0070 (0.492)</w:t>
            </w:r>
          </w:p>
        </w:tc>
        <w:tc>
          <w:tcPr>
            <w:tcW w:type="dxa" w:w="18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-0.0042 (0.559)</w:t>
            </w:r>
          </w:p>
        </w:tc>
        <w:tc>
          <w:tcPr>
            <w:tcW w:type="dxa" w:w="17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-0.0039 (0.592)</w:t>
            </w:r>
          </w:p>
        </w:tc>
        <w:tc>
          <w:tcPr>
            <w:tcW w:type="dxa" w:w="151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-0.0051 to -0.0001</w:t>
            </w:r>
          </w:p>
        </w:tc>
      </w:tr>
      <w:tr>
        <w:tc>
          <w:tcPr>
            <w:tcW w:type="dxa" w:w="700"/>
            <w:vAlign w:val="center"/>
            <w:tcMar>
              <w:top w:w="45" w:type="dxa"/>
              <w:bottom w:w="45" w:type="dxa"/>
              <w:start w:w="70" w:type="dxa"/>
              <w:end w:w="70" w:type="dxa"/>
            </w:tcMar>
          </w:tcPr>
          <w:p>
            <w:pPr>
              <w:spacing w:after="0" w:line="240" w:lineRule="auto"/>
              <w:jc w:val="left"/>
            </w:pPr>
            <w:r>
              <w:rPr>
                <w:rFonts w:ascii="Times New Roman" w:hAnsi="Times New Roman" w:eastAsia="Times New Roman"/>
                <w:b w:val="0"/>
                <w:i w:val="0"/>
                <w:color w:val="111827"/>
                <w:sz w:val="13"/>
              </w:rPr>
              <w:t>PVS</w:t>
            </w:r>
          </w:p>
        </w:tc>
        <w:tc>
          <w:tcPr>
            <w:tcW w:type="dxa" w:w="24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Frontal PVS volume</w:t>
            </w:r>
          </w:p>
        </w:tc>
        <w:tc>
          <w:tcPr>
            <w:tcW w:type="dxa" w:w="9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0.0001</w:t>
            </w:r>
          </w:p>
        </w:tc>
        <w:tc>
          <w:tcPr>
            <w:tcW w:type="dxa" w:w="9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0.0008</w:t>
            </w:r>
          </w:p>
        </w:tc>
        <w:tc>
          <w:tcPr>
            <w:tcW w:type="dxa" w:w="15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0.0003 (0.941)</w:t>
            </w:r>
          </w:p>
        </w:tc>
        <w:tc>
          <w:tcPr>
            <w:tcW w:type="dxa" w:w="14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0.0035 (0.529)</w:t>
            </w:r>
          </w:p>
        </w:tc>
        <w:tc>
          <w:tcPr>
            <w:tcW w:type="dxa" w:w="18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0.0000 (0.995)</w:t>
            </w:r>
          </w:p>
        </w:tc>
        <w:tc>
          <w:tcPr>
            <w:tcW w:type="dxa" w:w="17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0.0009 (0.812)</w:t>
            </w:r>
          </w:p>
        </w:tc>
        <w:tc>
          <w:tcPr>
            <w:tcW w:type="dxa" w:w="151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-0.0010 to 0.0022</w:t>
            </w:r>
          </w:p>
        </w:tc>
      </w:tr>
      <w:tr>
        <w:tc>
          <w:tcPr>
            <w:tcW w:type="dxa" w:w="700"/>
            <w:vAlign w:val="center"/>
            <w:tcMar>
              <w:top w:w="45" w:type="dxa"/>
              <w:bottom w:w="45" w:type="dxa"/>
              <w:start w:w="70" w:type="dxa"/>
              <w:end w:w="70" w:type="dxa"/>
            </w:tcMar>
          </w:tcPr>
          <w:p>
            <w:pPr>
              <w:spacing w:after="0" w:line="240" w:lineRule="auto"/>
              <w:jc w:val="left"/>
            </w:pPr>
            <w:r>
              <w:rPr>
                <w:rFonts w:ascii="Times New Roman" w:hAnsi="Times New Roman" w:eastAsia="Times New Roman"/>
                <w:b w:val="0"/>
                <w:i w:val="0"/>
                <w:color w:val="111827"/>
                <w:sz w:val="13"/>
              </w:rPr>
              <w:t>PVS</w:t>
            </w:r>
          </w:p>
        </w:tc>
        <w:tc>
          <w:tcPr>
            <w:tcW w:type="dxa" w:w="24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Parietal PVS volume</w:t>
            </w:r>
          </w:p>
        </w:tc>
        <w:tc>
          <w:tcPr>
            <w:tcW w:type="dxa" w:w="9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0.0019</w:t>
            </w:r>
          </w:p>
        </w:tc>
        <w:tc>
          <w:tcPr>
            <w:tcW w:type="dxa" w:w="9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0.0024</w:t>
            </w:r>
          </w:p>
        </w:tc>
        <w:tc>
          <w:tcPr>
            <w:tcW w:type="dxa" w:w="15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0.0025 (0.438)</w:t>
            </w:r>
          </w:p>
        </w:tc>
        <w:tc>
          <w:tcPr>
            <w:tcW w:type="dxa" w:w="14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0.0017 (0.796)</w:t>
            </w:r>
          </w:p>
        </w:tc>
        <w:tc>
          <w:tcPr>
            <w:tcW w:type="dxa" w:w="18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0.0022 (0.540)</w:t>
            </w:r>
          </w:p>
        </w:tc>
        <w:tc>
          <w:tcPr>
            <w:tcW w:type="dxa" w:w="17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0.0014 (0.692)</w:t>
            </w:r>
          </w:p>
        </w:tc>
        <w:tc>
          <w:tcPr>
            <w:tcW w:type="dxa" w:w="151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0.0011 to 0.0030</w:t>
            </w:r>
          </w:p>
        </w:tc>
      </w:tr>
      <w:tr>
        <w:tc>
          <w:tcPr>
            <w:tcW w:type="dxa" w:w="700"/>
            <w:vAlign w:val="center"/>
            <w:tcMar>
              <w:top w:w="45" w:type="dxa"/>
              <w:bottom w:w="45" w:type="dxa"/>
              <w:start w:w="70" w:type="dxa"/>
              <w:end w:w="70" w:type="dxa"/>
            </w:tcMar>
          </w:tcPr>
          <w:p>
            <w:pPr>
              <w:spacing w:after="0" w:line="240" w:lineRule="auto"/>
              <w:jc w:val="left"/>
            </w:pPr>
            <w:r>
              <w:rPr>
                <w:rFonts w:ascii="Times New Roman" w:hAnsi="Times New Roman" w:eastAsia="Times New Roman"/>
                <w:b w:val="0"/>
                <w:i w:val="0"/>
                <w:color w:val="111827"/>
                <w:sz w:val="13"/>
              </w:rPr>
              <w:t>PVS</w:t>
            </w:r>
          </w:p>
        </w:tc>
        <w:tc>
          <w:tcPr>
            <w:tcW w:type="dxa" w:w="24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Temporal PVS volume</w:t>
            </w:r>
          </w:p>
        </w:tc>
        <w:tc>
          <w:tcPr>
            <w:tcW w:type="dxa" w:w="9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-0.0009</w:t>
            </w:r>
          </w:p>
        </w:tc>
        <w:tc>
          <w:tcPr>
            <w:tcW w:type="dxa" w:w="9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-0.0012</w:t>
            </w:r>
          </w:p>
        </w:tc>
        <w:tc>
          <w:tcPr>
            <w:tcW w:type="dxa" w:w="15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-0.0011 (0.729)</w:t>
            </w:r>
          </w:p>
        </w:tc>
        <w:tc>
          <w:tcPr>
            <w:tcW w:type="dxa" w:w="14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-0.0005 (0.932)</w:t>
            </w:r>
          </w:p>
        </w:tc>
        <w:tc>
          <w:tcPr>
            <w:tcW w:type="dxa" w:w="18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-0.0007 (0.833)</w:t>
            </w:r>
          </w:p>
        </w:tc>
        <w:tc>
          <w:tcPr>
            <w:tcW w:type="dxa" w:w="17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-0.0009 (0.811)</w:t>
            </w:r>
          </w:p>
        </w:tc>
        <w:tc>
          <w:tcPr>
            <w:tcW w:type="dxa" w:w="151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-0.0028 to 0.0002</w:t>
            </w:r>
          </w:p>
        </w:tc>
      </w:tr>
      <w:tr>
        <w:tc>
          <w:tcPr>
            <w:tcW w:type="dxa" w:w="700"/>
            <w:vAlign w:val="center"/>
            <w:tcMar>
              <w:top w:w="45" w:type="dxa"/>
              <w:bottom w:w="45" w:type="dxa"/>
              <w:start w:w="70" w:type="dxa"/>
              <w:end w:w="70" w:type="dxa"/>
            </w:tcMar>
          </w:tcPr>
          <w:p>
            <w:pPr>
              <w:spacing w:after="0" w:line="240" w:lineRule="auto"/>
              <w:jc w:val="left"/>
            </w:pPr>
            <w:r>
              <w:rPr>
                <w:rFonts w:ascii="Times New Roman" w:hAnsi="Times New Roman" w:eastAsia="Times New Roman"/>
                <w:b w:val="0"/>
                <w:i w:val="0"/>
                <w:color w:val="111827"/>
                <w:sz w:val="13"/>
              </w:rPr>
              <w:t>PVS</w:t>
            </w:r>
          </w:p>
        </w:tc>
        <w:tc>
          <w:tcPr>
            <w:tcW w:type="dxa" w:w="24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Occipital PVS volume</w:t>
            </w:r>
          </w:p>
        </w:tc>
        <w:tc>
          <w:tcPr>
            <w:tcW w:type="dxa" w:w="9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-0.0004</w:t>
            </w:r>
          </w:p>
        </w:tc>
        <w:tc>
          <w:tcPr>
            <w:tcW w:type="dxa" w:w="9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-0.0017</w:t>
            </w:r>
          </w:p>
        </w:tc>
        <w:tc>
          <w:tcPr>
            <w:tcW w:type="dxa" w:w="15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-0.0013 (0.535)</w:t>
            </w:r>
          </w:p>
        </w:tc>
        <w:tc>
          <w:tcPr>
            <w:tcW w:type="dxa" w:w="14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-0.0051 (0.092)</w:t>
            </w:r>
          </w:p>
        </w:tc>
        <w:tc>
          <w:tcPr>
            <w:tcW w:type="dxa" w:w="18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-0.0005 (0.835)</w:t>
            </w:r>
          </w:p>
        </w:tc>
        <w:tc>
          <w:tcPr>
            <w:tcW w:type="dxa" w:w="17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-0.0011 (0.691)</w:t>
            </w:r>
          </w:p>
        </w:tc>
        <w:tc>
          <w:tcPr>
            <w:tcW w:type="dxa" w:w="151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-0.0016 to 0.0001</w:t>
            </w:r>
          </w:p>
        </w:tc>
      </w:tr>
      <w:tr>
        <w:tc>
          <w:tcPr>
            <w:tcW w:type="dxa" w:w="700"/>
            <w:vAlign w:val="center"/>
            <w:tcMar>
              <w:top w:w="45" w:type="dxa"/>
              <w:bottom w:w="45" w:type="dxa"/>
              <w:start w:w="70" w:type="dxa"/>
              <w:end w:w="70" w:type="dxa"/>
            </w:tcMar>
          </w:tcPr>
          <w:p>
            <w:pPr>
              <w:spacing w:after="0" w:line="240" w:lineRule="auto"/>
              <w:jc w:val="left"/>
            </w:pPr>
            <w:r>
              <w:rPr>
                <w:rFonts w:ascii="Times New Roman" w:hAnsi="Times New Roman" w:eastAsia="Times New Roman"/>
                <w:b w:val="0"/>
                <w:i w:val="0"/>
                <w:color w:val="111827"/>
                <w:sz w:val="13"/>
              </w:rPr>
              <w:t>PVS</w:t>
            </w:r>
          </w:p>
        </w:tc>
        <w:tc>
          <w:tcPr>
            <w:tcW w:type="dxa" w:w="24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Deep PVS volume</w:t>
            </w:r>
          </w:p>
        </w:tc>
        <w:tc>
          <w:tcPr>
            <w:tcW w:type="dxa" w:w="9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-0.0018</w:t>
            </w:r>
          </w:p>
        </w:tc>
        <w:tc>
          <w:tcPr>
            <w:tcW w:type="dxa" w:w="9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-0.0016</w:t>
            </w:r>
          </w:p>
        </w:tc>
        <w:tc>
          <w:tcPr>
            <w:tcW w:type="dxa" w:w="15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-0.0008 (0.740)</w:t>
            </w:r>
          </w:p>
        </w:tc>
        <w:tc>
          <w:tcPr>
            <w:tcW w:type="dxa" w:w="14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-0.0069 (0.032)</w:t>
            </w:r>
          </w:p>
        </w:tc>
        <w:tc>
          <w:tcPr>
            <w:tcW w:type="dxa" w:w="18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-0.0018 (0.473)</w:t>
            </w:r>
          </w:p>
        </w:tc>
        <w:tc>
          <w:tcPr>
            <w:tcW w:type="dxa" w:w="17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-0.0018 (0.485)</w:t>
            </w:r>
          </w:p>
        </w:tc>
        <w:tc>
          <w:tcPr>
            <w:tcW w:type="dxa" w:w="151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-0.0030 to -0.0009</w:t>
            </w:r>
          </w:p>
        </w:tc>
      </w:tr>
      <w:tr>
        <w:tc>
          <w:tcPr>
            <w:tcW w:type="dxa" w:w="700"/>
            <w:vAlign w:val="center"/>
            <w:tcMar>
              <w:top w:w="45" w:type="dxa"/>
              <w:bottom w:w="45" w:type="dxa"/>
              <w:start w:w="70" w:type="dxa"/>
              <w:end w:w="70" w:type="dxa"/>
            </w:tcMar>
          </w:tcPr>
          <w:p>
            <w:pPr>
              <w:spacing w:after="0" w:line="240" w:lineRule="auto"/>
              <w:jc w:val="left"/>
            </w:pPr>
            <w:r>
              <w:rPr>
                <w:rFonts w:ascii="Times New Roman" w:hAnsi="Times New Roman" w:eastAsia="Times New Roman"/>
                <w:b w:val="0"/>
                <w:i w:val="0"/>
                <w:color w:val="111827"/>
                <w:sz w:val="13"/>
              </w:rPr>
              <w:t>PVS</w:t>
            </w:r>
          </w:p>
        </w:tc>
        <w:tc>
          <w:tcPr>
            <w:tcW w:type="dxa" w:w="24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Infratentorial PVS volume</w:t>
            </w:r>
          </w:p>
        </w:tc>
        <w:tc>
          <w:tcPr>
            <w:tcW w:type="dxa" w:w="9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0.0003</w:t>
            </w:r>
          </w:p>
        </w:tc>
        <w:tc>
          <w:tcPr>
            <w:tcW w:type="dxa" w:w="9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-0.0003</w:t>
            </w:r>
          </w:p>
        </w:tc>
        <w:tc>
          <w:tcPr>
            <w:tcW w:type="dxa" w:w="15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-0.0009 (0.638)</w:t>
            </w:r>
          </w:p>
        </w:tc>
        <w:tc>
          <w:tcPr>
            <w:tcW w:type="dxa" w:w="14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0.0017 (0.554)</w:t>
            </w:r>
          </w:p>
        </w:tc>
        <w:tc>
          <w:tcPr>
            <w:tcW w:type="dxa" w:w="18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0.0000 (0.991)</w:t>
            </w:r>
          </w:p>
        </w:tc>
        <w:tc>
          <w:tcPr>
            <w:tcW w:type="dxa" w:w="17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0.0005 (0.806)</w:t>
            </w:r>
          </w:p>
        </w:tc>
        <w:tc>
          <w:tcPr>
            <w:tcW w:type="dxa" w:w="151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-0.0003 to 0.0007</w:t>
            </w:r>
          </w:p>
        </w:tc>
      </w:tr>
      <w:tr>
        <w:tc>
          <w:tcPr>
            <w:tcW w:type="dxa" w:w="700"/>
            <w:vAlign w:val="center"/>
            <w:tcMar>
              <w:top w:w="45" w:type="dxa"/>
              <w:bottom w:w="45" w:type="dxa"/>
              <w:start w:w="70" w:type="dxa"/>
              <w:end w:w="70" w:type="dxa"/>
            </w:tcMar>
          </w:tcPr>
          <w:p>
            <w:pPr>
              <w:spacing w:after="0" w:line="240" w:lineRule="auto"/>
              <w:jc w:val="left"/>
            </w:pPr>
            <w:r>
              <w:rPr>
                <w:rFonts w:ascii="Times New Roman" w:hAnsi="Times New Roman" w:eastAsia="Times New Roman"/>
                <w:b w:val="0"/>
                <w:i w:val="0"/>
                <w:color w:val="111827"/>
                <w:sz w:val="13"/>
              </w:rPr>
              <w:t>WMH</w:t>
            </w:r>
          </w:p>
        </w:tc>
        <w:tc>
          <w:tcPr>
            <w:tcW w:type="dxa" w:w="24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Juxtaventricular WMH volume</w:t>
            </w:r>
          </w:p>
        </w:tc>
        <w:tc>
          <w:tcPr>
            <w:tcW w:type="dxa" w:w="9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0.0031</w:t>
            </w:r>
          </w:p>
        </w:tc>
        <w:tc>
          <w:tcPr>
            <w:tcW w:type="dxa" w:w="9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-0.0004</w:t>
            </w:r>
          </w:p>
        </w:tc>
        <w:tc>
          <w:tcPr>
            <w:tcW w:type="dxa" w:w="15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0.0005 (0.929)</w:t>
            </w:r>
          </w:p>
        </w:tc>
        <w:tc>
          <w:tcPr>
            <w:tcW w:type="dxa" w:w="14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0.0021 (0.836)</w:t>
            </w:r>
          </w:p>
        </w:tc>
        <w:tc>
          <w:tcPr>
            <w:tcW w:type="dxa" w:w="18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0.0023 (0.702)</w:t>
            </w:r>
          </w:p>
        </w:tc>
        <w:tc>
          <w:tcPr>
            <w:tcW w:type="dxa" w:w="17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0.0031 (0.587)</w:t>
            </w:r>
          </w:p>
        </w:tc>
        <w:tc>
          <w:tcPr>
            <w:tcW w:type="dxa" w:w="151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0.0011 to 0.0046</w:t>
            </w:r>
          </w:p>
        </w:tc>
      </w:tr>
      <w:tr>
        <w:tc>
          <w:tcPr>
            <w:tcW w:type="dxa" w:w="700"/>
            <w:vAlign w:val="center"/>
            <w:tcMar>
              <w:top w:w="45" w:type="dxa"/>
              <w:bottom w:w="45" w:type="dxa"/>
              <w:start w:w="70" w:type="dxa"/>
              <w:end w:w="70" w:type="dxa"/>
            </w:tcMar>
          </w:tcPr>
          <w:p>
            <w:pPr>
              <w:spacing w:after="0" w:line="240" w:lineRule="auto"/>
              <w:jc w:val="left"/>
            </w:pPr>
            <w:r>
              <w:rPr>
                <w:rFonts w:ascii="Times New Roman" w:hAnsi="Times New Roman" w:eastAsia="Times New Roman"/>
                <w:b w:val="0"/>
                <w:i w:val="0"/>
                <w:color w:val="111827"/>
                <w:sz w:val="13"/>
              </w:rPr>
              <w:t>WMH</w:t>
            </w:r>
          </w:p>
        </w:tc>
        <w:tc>
          <w:tcPr>
            <w:tcW w:type="dxa" w:w="24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Periventricular WMH volume</w:t>
            </w:r>
          </w:p>
        </w:tc>
        <w:tc>
          <w:tcPr>
            <w:tcW w:type="dxa" w:w="9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-0.0062</w:t>
            </w:r>
          </w:p>
        </w:tc>
        <w:tc>
          <w:tcPr>
            <w:tcW w:type="dxa" w:w="9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-0.0033</w:t>
            </w:r>
          </w:p>
        </w:tc>
        <w:tc>
          <w:tcPr>
            <w:tcW w:type="dxa" w:w="15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-0.0030 (0.600)</w:t>
            </w:r>
          </w:p>
        </w:tc>
        <w:tc>
          <w:tcPr>
            <w:tcW w:type="dxa" w:w="14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-0.0084 (0.423)</w:t>
            </w:r>
          </w:p>
        </w:tc>
        <w:tc>
          <w:tcPr>
            <w:tcW w:type="dxa" w:w="18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-0.0055 (0.358)</w:t>
            </w:r>
          </w:p>
        </w:tc>
        <w:tc>
          <w:tcPr>
            <w:tcW w:type="dxa" w:w="17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-0.0058 (0.340)</w:t>
            </w:r>
          </w:p>
        </w:tc>
        <w:tc>
          <w:tcPr>
            <w:tcW w:type="dxa" w:w="151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-0.0082 to -0.0042</w:t>
            </w:r>
          </w:p>
        </w:tc>
      </w:tr>
      <w:tr>
        <w:tc>
          <w:tcPr>
            <w:tcW w:type="dxa" w:w="700"/>
            <w:vAlign w:val="center"/>
            <w:tcMar>
              <w:top w:w="45" w:type="dxa"/>
              <w:bottom w:w="45" w:type="dxa"/>
              <w:start w:w="70" w:type="dxa"/>
              <w:end w:w="70" w:type="dxa"/>
            </w:tcMar>
          </w:tcPr>
          <w:p>
            <w:pPr>
              <w:spacing w:after="0" w:line="240" w:lineRule="auto"/>
              <w:jc w:val="left"/>
            </w:pPr>
            <w:r>
              <w:rPr>
                <w:rFonts w:ascii="Times New Roman" w:hAnsi="Times New Roman" w:eastAsia="Times New Roman"/>
                <w:b w:val="0"/>
                <w:i w:val="0"/>
                <w:color w:val="111827"/>
                <w:sz w:val="13"/>
              </w:rPr>
              <w:t>WMH</w:t>
            </w:r>
          </w:p>
        </w:tc>
        <w:tc>
          <w:tcPr>
            <w:tcW w:type="dxa" w:w="24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Deep WMH volume</w:t>
            </w:r>
          </w:p>
        </w:tc>
        <w:tc>
          <w:tcPr>
            <w:tcW w:type="dxa" w:w="9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0.0001</w:t>
            </w:r>
          </w:p>
        </w:tc>
        <w:tc>
          <w:tcPr>
            <w:tcW w:type="dxa" w:w="9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-0.0001</w:t>
            </w:r>
          </w:p>
        </w:tc>
        <w:tc>
          <w:tcPr>
            <w:tcW w:type="dxa" w:w="15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-0.0011 (0.717)</w:t>
            </w:r>
          </w:p>
        </w:tc>
        <w:tc>
          <w:tcPr>
            <w:tcW w:type="dxa" w:w="14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0.0001 (0.989)</w:t>
            </w:r>
          </w:p>
        </w:tc>
        <w:tc>
          <w:tcPr>
            <w:tcW w:type="dxa" w:w="18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-0.0000 (0.997)</w:t>
            </w:r>
          </w:p>
        </w:tc>
        <w:tc>
          <w:tcPr>
            <w:tcW w:type="dxa" w:w="17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0.0007 (0.831)</w:t>
            </w:r>
          </w:p>
        </w:tc>
        <w:tc>
          <w:tcPr>
            <w:tcW w:type="dxa" w:w="151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-0.0008 to 0.0009</w:t>
            </w:r>
          </w:p>
        </w:tc>
      </w:tr>
      <w:tr>
        <w:tc>
          <w:tcPr>
            <w:tcW w:type="dxa" w:w="700"/>
            <w:tcBorders>
              <w:bottom w:val="single" w:sz="12" w:color="000000"/>
            </w:tcBorders>
            <w:vAlign w:val="center"/>
            <w:tcMar>
              <w:top w:w="45" w:type="dxa"/>
              <w:bottom w:w="45" w:type="dxa"/>
              <w:start w:w="70" w:type="dxa"/>
              <w:end w:w="70" w:type="dxa"/>
            </w:tcMar>
          </w:tcPr>
          <w:p>
            <w:pPr>
              <w:spacing w:after="0" w:line="240" w:lineRule="auto"/>
              <w:jc w:val="left"/>
            </w:pPr>
            <w:r>
              <w:rPr>
                <w:rFonts w:ascii="Times New Roman" w:hAnsi="Times New Roman" w:eastAsia="Times New Roman"/>
                <w:b w:val="0"/>
                <w:i w:val="0"/>
                <w:color w:val="111827"/>
                <w:sz w:val="13"/>
              </w:rPr>
              <w:t>WMH</w:t>
            </w:r>
          </w:p>
        </w:tc>
        <w:tc>
          <w:tcPr>
            <w:tcW w:type="dxa" w:w="2400"/>
            <w:tcBorders>
              <w:bottom w:val="single" w:sz="12" w:color="000000"/>
            </w:tcBorders>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Juxtacortical WMH volume</w:t>
            </w:r>
          </w:p>
        </w:tc>
        <w:tc>
          <w:tcPr>
            <w:tcW w:type="dxa" w:w="950"/>
            <w:tcBorders>
              <w:bottom w:val="single" w:sz="12" w:color="000000"/>
            </w:tcBorders>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-0.0028</w:t>
            </w:r>
          </w:p>
        </w:tc>
        <w:tc>
          <w:tcPr>
            <w:tcW w:type="dxa" w:w="950"/>
            <w:tcBorders>
              <w:bottom w:val="single" w:sz="12" w:color="000000"/>
            </w:tcBorders>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-0.0023</w:t>
            </w:r>
          </w:p>
        </w:tc>
        <w:tc>
          <w:tcPr>
            <w:tcW w:type="dxa" w:w="1500"/>
            <w:tcBorders>
              <w:bottom w:val="single" w:sz="12" w:color="000000"/>
            </w:tcBorders>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-0.0032 (0.237)</w:t>
            </w:r>
          </w:p>
        </w:tc>
        <w:tc>
          <w:tcPr>
            <w:tcW w:type="dxa" w:w="1450"/>
            <w:tcBorders>
              <w:bottom w:val="single" w:sz="12" w:color="000000"/>
            </w:tcBorders>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-0.0016 (0.660)</w:t>
            </w:r>
          </w:p>
        </w:tc>
        <w:tc>
          <w:tcPr>
            <w:tcW w:type="dxa" w:w="1800"/>
            <w:tcBorders>
              <w:bottom w:val="single" w:sz="12" w:color="000000"/>
            </w:tcBorders>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-0.0028 (0.346)</w:t>
            </w:r>
          </w:p>
        </w:tc>
        <w:tc>
          <w:tcPr>
            <w:tcW w:type="dxa" w:w="1700"/>
            <w:tcBorders>
              <w:bottom w:val="single" w:sz="12" w:color="000000"/>
            </w:tcBorders>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-0.0036 (0.237)</w:t>
            </w:r>
          </w:p>
        </w:tc>
        <w:tc>
          <w:tcPr>
            <w:tcW w:type="dxa" w:w="1510"/>
            <w:tcBorders>
              <w:bottom w:val="single" w:sz="12" w:color="000000"/>
            </w:tcBorders>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3"/>
              </w:rPr>
              <w:t>-0.0039 to -0.0015</w:t>
            </w:r>
          </w:p>
        </w:tc>
      </w:tr>
    </w:tbl>
    <w:p>
      <w:pPr>
        <w:spacing w:before="60" w:after="60" w:line="240" w:lineRule="auto"/>
      </w:pPr>
      <w:r>
        <w:rPr>
          <w:rFonts w:ascii="Times New Roman" w:hAnsi="Times New Roman" w:eastAsia="Times New Roman"/>
          <w:b w:val="0"/>
          <w:i w:val="0"/>
          <w:color w:val="4B5563"/>
          <w:sz w:val="15"/>
        </w:rPr>
        <w:t>Strict exclusion required both Cook D&gt;4/N and |studentized residual|&gt;3 (N=164). The no-acute-infarction subgroup included 86 participants. Remaining time points replaced meanFD and were not entered concurrently. These sensitivity analyses are supportive and do not replace the primary HC3 models.</w:t>
      </w:r>
    </w:p>
    <w:p>
      <w:pPr/>
      <w:r>
        <w:t>Supplementary result. Parietal and deep lacune coefficients remained negative with Huber regression and after strict exclusion of two influential observations (N=164; B=-0.0140, P=0.008 and B=-0.0141, P=0.003, respectively). Their negative associations were also retained after additional adjustment for global mean signal (P=0.012 and P=0.009), when retained time points replaced meanFD (P=0.012 and P=0.033), and in all leave-one-out models. In the no-acute-infarction subgroup (N=86), the deep-lacune association persisted (B=-0.0221; P=0.017), whereas the parietal estimate remained negative but was less precise (B=-0.0147; P=0.079).</w:t>
      </w:r>
    </w:p>
    <w:p>
      <w:pPr/>
      <w:r>
        <w:t>The lacune block remained significant after adjustment for global mean signal, substitution of retained time points, and inclusion of a quadratic meanFD term (robust block P=0.0014, P=0.0058, and P=0.0015, respectively). CMB and PVS blocks remained non-significant across the principal sensitivity models, whereas the WMH block remained borderline (robust block P=0.057-0.075). An isolated negative association for deep PVS volume in the no-acute-infarction subgroup (P=0.032) was not reproduced in the primary model or other sensitivity analyses.</w:t>
      </w:r>
    </w:p>
    <w:p>
      <w:r>
        <w:br w:type="page"/>
      </w:r>
    </w:p>
    <w:p>
      <w:pPr>
        <w:pStyle w:val="Heading1"/>
      </w:pPr>
      <w:r>
        <w:rPr>
          <w:rFonts w:ascii="Times New Roman" w:hAnsi="Times New Roman" w:eastAsia="Times New Roman"/>
          <w:b/>
          <w:i w:val="0"/>
          <w:color w:val="111827"/>
          <w:sz w:val="28"/>
        </w:rPr>
        <w:t>Table S3. Regional block tests, collinearity, diagnostics, and bootstrap quality</w:t>
      </w:r>
    </w:p>
    <w:tbl>
      <w:tblPr>
        <w:tblW w:type="dxa" w:w="10650"/>
        <w:jc w:val="left"/>
        <w:tblLayout w:type="fixed"/>
        <w:tblLook w:firstColumn="1" w:firstRow="1" w:lastColumn="0" w:lastRow="0" w:noHBand="0" w:noVBand="1" w:val="04A0"/>
        <w:tblInd w:w="0" w:type="dxa"/>
      </w:tblPr>
      <w:tblGrid>
        <w:gridCol w:w="850"/>
        <w:gridCol w:w="550"/>
        <w:gridCol w:w="700"/>
        <w:gridCol w:w="950"/>
        <w:gridCol w:w="850"/>
        <w:gridCol w:w="850"/>
        <w:gridCol w:w="850"/>
        <w:gridCol w:w="750"/>
        <w:gridCol w:w="1100"/>
        <w:gridCol w:w="1700"/>
        <w:gridCol w:w="750"/>
        <w:gridCol w:w="750"/>
      </w:tblGrid>
      <w:tr>
        <w:trPr>
          <w:tblHeader w:val="true"/>
        </w:trPr>
        <w:tc>
          <w:tcPr>
            <w:tcW w:type="dxa" w:w="850"/>
            <w:tcBorders>
              <w:top w:val="single" w:sz="12" w:color="000000"/>
              <w:bottom w:val="single" w:sz="8" w:color="000000"/>
            </w:tcBorders>
            <w:vAlign w:val="center"/>
            <w:tcMar>
              <w:top w:w="45" w:type="dxa"/>
              <w:bottom w:w="45" w:type="dxa"/>
              <w:start w:w="70" w:type="dxa"/>
              <w:end w:w="70" w:type="dxa"/>
            </w:tcMar>
          </w:tcPr>
          <w:p>
            <w:pPr>
              <w:spacing w:after="0"/>
              <w:jc w:val="left"/>
            </w:pPr>
            <w:r>
              <w:rPr>
                <w:rFonts w:ascii="Times New Roman" w:hAnsi="Times New Roman" w:eastAsia="Times New Roman"/>
                <w:b/>
                <w:i w:val="0"/>
                <w:color w:val="111827"/>
                <w:sz w:val="15"/>
              </w:rPr>
              <w:t>Family</w:t>
            </w:r>
          </w:p>
        </w:tc>
        <w:tc>
          <w:tcPr>
            <w:tcW w:type="dxa" w:w="550"/>
            <w:tcBorders>
              <w:top w:val="single" w:sz="12" w:color="000000"/>
              <w:bottom w:val="single" w:sz="8" w:color="000000"/>
            </w:tcBorders>
            <w:vAlign w:val="center"/>
            <w:tcMar>
              <w:top w:w="45" w:type="dxa"/>
              <w:bottom w:w="45" w:type="dxa"/>
              <w:start w:w="70" w:type="dxa"/>
              <w:end w:w="70" w:type="dxa"/>
            </w:tcMar>
          </w:tcPr>
          <w:p>
            <w:pPr>
              <w:spacing w:after="0"/>
              <w:jc w:val="center"/>
            </w:pPr>
            <w:r>
              <w:rPr>
                <w:rFonts w:ascii="Times New Roman" w:hAnsi="Times New Roman" w:eastAsia="Times New Roman"/>
                <w:b/>
                <w:i w:val="0"/>
                <w:color w:val="111827"/>
                <w:sz w:val="15"/>
              </w:rPr>
              <w:t>N</w:t>
            </w:r>
          </w:p>
        </w:tc>
        <w:tc>
          <w:tcPr>
            <w:tcW w:type="dxa" w:w="700"/>
            <w:tcBorders>
              <w:top w:val="single" w:sz="12" w:color="000000"/>
              <w:bottom w:val="single" w:sz="8" w:color="000000"/>
            </w:tcBorders>
            <w:vAlign w:val="center"/>
            <w:tcMar>
              <w:top w:w="45" w:type="dxa"/>
              <w:bottom w:w="45" w:type="dxa"/>
              <w:start w:w="70" w:type="dxa"/>
              <w:end w:w="70" w:type="dxa"/>
            </w:tcMar>
          </w:tcPr>
          <w:p>
            <w:pPr>
              <w:spacing w:after="0"/>
              <w:jc w:val="center"/>
            </w:pPr>
            <w:r>
              <w:rPr>
                <w:rFonts w:ascii="Times New Roman" w:hAnsi="Times New Roman" w:eastAsia="Times New Roman"/>
                <w:b/>
                <w:i w:val="0"/>
                <w:color w:val="111827"/>
                <w:sz w:val="15"/>
              </w:rPr>
              <w:t>R2</w:t>
            </w:r>
          </w:p>
        </w:tc>
        <w:tc>
          <w:tcPr>
            <w:tcW w:type="dxa" w:w="950"/>
            <w:tcBorders>
              <w:top w:val="single" w:sz="12" w:color="000000"/>
              <w:bottom w:val="single" w:sz="8" w:color="000000"/>
            </w:tcBorders>
            <w:vAlign w:val="center"/>
            <w:tcMar>
              <w:top w:w="45" w:type="dxa"/>
              <w:bottom w:w="45" w:type="dxa"/>
              <w:start w:w="70" w:type="dxa"/>
              <w:end w:w="70" w:type="dxa"/>
            </w:tcMar>
          </w:tcPr>
          <w:p>
            <w:pPr>
              <w:spacing w:after="0"/>
              <w:jc w:val="center"/>
            </w:pPr>
            <w:r>
              <w:rPr>
                <w:rFonts w:ascii="Times New Roman" w:hAnsi="Times New Roman" w:eastAsia="Times New Roman"/>
                <w:b/>
                <w:i w:val="0"/>
                <w:color w:val="111827"/>
                <w:sz w:val="15"/>
              </w:rPr>
              <w:t>Adjusted R2</w:t>
            </w:r>
          </w:p>
        </w:tc>
        <w:tc>
          <w:tcPr>
            <w:tcW w:type="dxa" w:w="850"/>
            <w:tcBorders>
              <w:top w:val="single" w:sz="12" w:color="000000"/>
              <w:bottom w:val="single" w:sz="8" w:color="000000"/>
            </w:tcBorders>
            <w:vAlign w:val="center"/>
            <w:tcMar>
              <w:top w:w="45" w:type="dxa"/>
              <w:bottom w:w="45" w:type="dxa"/>
              <w:start w:w="70" w:type="dxa"/>
              <w:end w:w="70" w:type="dxa"/>
            </w:tcMar>
          </w:tcPr>
          <w:p>
            <w:pPr>
              <w:spacing w:after="0"/>
              <w:jc w:val="center"/>
            </w:pPr>
            <w:r>
              <w:rPr>
                <w:rFonts w:ascii="Times New Roman" w:hAnsi="Times New Roman" w:eastAsia="Times New Roman"/>
                <w:b/>
                <w:i w:val="0"/>
                <w:color w:val="111827"/>
                <w:sz w:val="15"/>
              </w:rPr>
              <w:t>Delta R2</w:t>
            </w:r>
          </w:p>
        </w:tc>
        <w:tc>
          <w:tcPr>
            <w:tcW w:type="dxa" w:w="850"/>
            <w:tcBorders>
              <w:top w:val="single" w:sz="12" w:color="000000"/>
              <w:bottom w:val="single" w:sz="8" w:color="000000"/>
            </w:tcBorders>
            <w:vAlign w:val="center"/>
            <w:tcMar>
              <w:top w:w="45" w:type="dxa"/>
              <w:bottom w:w="45" w:type="dxa"/>
              <w:start w:w="70" w:type="dxa"/>
              <w:end w:w="70" w:type="dxa"/>
            </w:tcMar>
          </w:tcPr>
          <w:p>
            <w:pPr>
              <w:spacing w:after="0"/>
              <w:jc w:val="center"/>
            </w:pPr>
            <w:r>
              <w:rPr>
                <w:rFonts w:ascii="Times New Roman" w:hAnsi="Times New Roman" w:eastAsia="Times New Roman"/>
                <w:b/>
                <w:i w:val="0"/>
                <w:color w:val="111827"/>
                <w:sz w:val="15"/>
              </w:rPr>
              <w:t>Block P</w:t>
            </w:r>
          </w:p>
        </w:tc>
        <w:tc>
          <w:tcPr>
            <w:tcW w:type="dxa" w:w="850"/>
            <w:tcBorders>
              <w:top w:val="single" w:sz="12" w:color="000000"/>
              <w:bottom w:val="single" w:sz="8" w:color="000000"/>
            </w:tcBorders>
            <w:vAlign w:val="center"/>
            <w:tcMar>
              <w:top w:w="45" w:type="dxa"/>
              <w:bottom w:w="45" w:type="dxa"/>
              <w:start w:w="70" w:type="dxa"/>
              <w:end w:w="70" w:type="dxa"/>
            </w:tcMar>
          </w:tcPr>
          <w:p>
            <w:pPr>
              <w:spacing w:after="0"/>
              <w:jc w:val="center"/>
            </w:pPr>
            <w:r>
              <w:rPr>
                <w:rFonts w:ascii="Times New Roman" w:hAnsi="Times New Roman" w:eastAsia="Times New Roman"/>
                <w:b/>
                <w:i w:val="0"/>
                <w:color w:val="111827"/>
                <w:sz w:val="15"/>
              </w:rPr>
              <w:t>Max VIF</w:t>
            </w:r>
          </w:p>
        </w:tc>
        <w:tc>
          <w:tcPr>
            <w:tcW w:type="dxa" w:w="750"/>
            <w:tcBorders>
              <w:top w:val="single" w:sz="12" w:color="000000"/>
              <w:bottom w:val="single" w:sz="8" w:color="000000"/>
            </w:tcBorders>
            <w:vAlign w:val="center"/>
            <w:tcMar>
              <w:top w:w="45" w:type="dxa"/>
              <w:bottom w:w="45" w:type="dxa"/>
              <w:start w:w="70" w:type="dxa"/>
              <w:end w:w="70" w:type="dxa"/>
            </w:tcMar>
          </w:tcPr>
          <w:p>
            <w:pPr>
              <w:spacing w:after="0"/>
              <w:jc w:val="center"/>
            </w:pPr>
            <w:r>
              <w:rPr>
                <w:rFonts w:ascii="Times New Roman" w:hAnsi="Times New Roman" w:eastAsia="Times New Roman"/>
                <w:b/>
                <w:i w:val="0"/>
                <w:color w:val="111827"/>
                <w:sz w:val="15"/>
              </w:rPr>
              <w:t>BP P</w:t>
            </w:r>
          </w:p>
        </w:tc>
        <w:tc>
          <w:tcPr>
            <w:tcW w:type="dxa" w:w="1100"/>
            <w:tcBorders>
              <w:top w:val="single" w:sz="12" w:color="000000"/>
              <w:bottom w:val="single" w:sz="8" w:color="000000"/>
            </w:tcBorders>
            <w:vAlign w:val="center"/>
            <w:tcMar>
              <w:top w:w="45" w:type="dxa"/>
              <w:bottom w:w="45" w:type="dxa"/>
              <w:start w:w="70" w:type="dxa"/>
              <w:end w:w="70" w:type="dxa"/>
            </w:tcMar>
          </w:tcPr>
          <w:p>
            <w:pPr>
              <w:spacing w:after="0"/>
              <w:jc w:val="center"/>
            </w:pPr>
            <w:r>
              <w:rPr>
                <w:rFonts w:ascii="Times New Roman" w:hAnsi="Times New Roman" w:eastAsia="Times New Roman"/>
                <w:b/>
                <w:i w:val="0"/>
                <w:color w:val="111827"/>
                <w:sz w:val="15"/>
              </w:rPr>
              <w:t>Strict influence n</w:t>
            </w:r>
          </w:p>
        </w:tc>
        <w:tc>
          <w:tcPr>
            <w:tcW w:type="dxa" w:w="1700"/>
            <w:tcBorders>
              <w:top w:val="single" w:sz="12" w:color="000000"/>
              <w:bottom w:val="single" w:sz="8" w:color="000000"/>
            </w:tcBorders>
            <w:vAlign w:val="center"/>
            <w:tcMar>
              <w:top w:w="45" w:type="dxa"/>
              <w:bottom w:w="45" w:type="dxa"/>
              <w:start w:w="70" w:type="dxa"/>
              <w:end w:w="70" w:type="dxa"/>
            </w:tcMar>
          </w:tcPr>
          <w:p>
            <w:pPr>
              <w:spacing w:after="0"/>
              <w:jc w:val="center"/>
            </w:pPr>
            <w:r>
              <w:rPr>
                <w:rFonts w:ascii="Times New Roman" w:hAnsi="Times New Roman" w:eastAsia="Times New Roman"/>
                <w:b/>
                <w:i w:val="0"/>
                <w:color w:val="111827"/>
                <w:sz w:val="15"/>
              </w:rPr>
              <w:t>Bootstrap success/requested</w:t>
            </w:r>
          </w:p>
        </w:tc>
        <w:tc>
          <w:tcPr>
            <w:tcW w:type="dxa" w:w="750"/>
            <w:tcBorders>
              <w:top w:val="single" w:sz="12" w:color="000000"/>
              <w:bottom w:val="single" w:sz="8" w:color="000000"/>
            </w:tcBorders>
            <w:vAlign w:val="center"/>
            <w:tcMar>
              <w:top w:w="45" w:type="dxa"/>
              <w:bottom w:w="45" w:type="dxa"/>
              <w:start w:w="70" w:type="dxa"/>
              <w:end w:w="70" w:type="dxa"/>
            </w:tcMar>
          </w:tcPr>
          <w:p>
            <w:pPr>
              <w:spacing w:after="0"/>
              <w:jc w:val="center"/>
            </w:pPr>
            <w:r>
              <w:rPr>
                <w:rFonts w:ascii="Times New Roman" w:hAnsi="Times New Roman" w:eastAsia="Times New Roman"/>
                <w:b/>
                <w:i w:val="0"/>
                <w:color w:val="111827"/>
                <w:sz w:val="15"/>
              </w:rPr>
              <w:t>Failed</w:t>
            </w:r>
          </w:p>
        </w:tc>
        <w:tc>
          <w:tcPr>
            <w:tcW w:type="dxa" w:w="750"/>
            <w:tcBorders>
              <w:top w:val="single" w:sz="12" w:color="000000"/>
              <w:bottom w:val="single" w:sz="8" w:color="000000"/>
            </w:tcBorders>
            <w:vAlign w:val="center"/>
            <w:tcMar>
              <w:top w:w="45" w:type="dxa"/>
              <w:bottom w:w="45" w:type="dxa"/>
              <w:start w:w="70" w:type="dxa"/>
              <w:end w:w="70" w:type="dxa"/>
            </w:tcMar>
          </w:tcPr>
          <w:p>
            <w:pPr>
              <w:spacing w:after="0"/>
              <w:jc w:val="center"/>
            </w:pPr>
            <w:r>
              <w:rPr>
                <w:rFonts w:ascii="Times New Roman" w:hAnsi="Times New Roman" w:eastAsia="Times New Roman"/>
                <w:b/>
                <w:i w:val="0"/>
                <w:color w:val="111827"/>
                <w:sz w:val="15"/>
              </w:rPr>
              <w:t>Singular</w:t>
            </w:r>
          </w:p>
        </w:tc>
      </w:tr>
      <w:tr>
        <w:tc>
          <w:tcPr>
            <w:tcW w:type="dxa" w:w="850"/>
            <w:vAlign w:val="center"/>
            <w:tcMar>
              <w:top w:w="45" w:type="dxa"/>
              <w:bottom w:w="45" w:type="dxa"/>
              <w:start w:w="70" w:type="dxa"/>
              <w:end w:w="70" w:type="dxa"/>
            </w:tcMar>
          </w:tcPr>
          <w:p>
            <w:pPr>
              <w:spacing w:after="0" w:line="240" w:lineRule="auto"/>
              <w:jc w:val="left"/>
            </w:pPr>
            <w:r>
              <w:rPr>
                <w:rFonts w:ascii="Times New Roman" w:hAnsi="Times New Roman" w:eastAsia="Times New Roman"/>
                <w:b w:val="0"/>
                <w:i w:val="0"/>
                <w:color w:val="111827"/>
                <w:sz w:val="15"/>
              </w:rPr>
              <w:t>LA</w:t>
            </w:r>
          </w:p>
        </w:tc>
        <w:tc>
          <w:tcPr>
            <w:tcW w:type="dxa" w:w="5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5"/>
              </w:rPr>
              <w:t>166</w:t>
            </w:r>
          </w:p>
        </w:tc>
        <w:tc>
          <w:tcPr>
            <w:tcW w:type="dxa" w:w="7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5"/>
              </w:rPr>
              <w:t>0.275</w:t>
            </w:r>
          </w:p>
        </w:tc>
        <w:tc>
          <w:tcPr>
            <w:tcW w:type="dxa" w:w="9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5"/>
              </w:rPr>
              <w:t>0.233</w:t>
            </w:r>
          </w:p>
        </w:tc>
        <w:tc>
          <w:tcPr>
            <w:tcW w:type="dxa" w:w="8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5"/>
              </w:rPr>
              <w:t>0.0927</w:t>
            </w:r>
          </w:p>
        </w:tc>
        <w:tc>
          <w:tcPr>
            <w:tcW w:type="dxa" w:w="8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5"/>
              </w:rPr>
              <w:t>0.002</w:t>
            </w:r>
          </w:p>
        </w:tc>
        <w:tc>
          <w:tcPr>
            <w:tcW w:type="dxa" w:w="8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5"/>
              </w:rPr>
              <w:t>1.21</w:t>
            </w:r>
          </w:p>
        </w:tc>
        <w:tc>
          <w:tcPr>
            <w:tcW w:type="dxa" w:w="7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5"/>
              </w:rPr>
              <w:t>&lt;0.001</w:t>
            </w:r>
          </w:p>
        </w:tc>
        <w:tc>
          <w:tcPr>
            <w:tcW w:type="dxa" w:w="11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5"/>
              </w:rPr>
              <w:t>2</w:t>
            </w:r>
          </w:p>
        </w:tc>
        <w:tc>
          <w:tcPr>
            <w:tcW w:type="dxa" w:w="17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5"/>
              </w:rPr>
              <w:t>1000/1000</w:t>
            </w:r>
          </w:p>
        </w:tc>
        <w:tc>
          <w:tcPr>
            <w:tcW w:type="dxa" w:w="7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5"/>
              </w:rPr>
              <w:t>0</w:t>
            </w:r>
          </w:p>
        </w:tc>
        <w:tc>
          <w:tcPr>
            <w:tcW w:type="dxa" w:w="7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5"/>
              </w:rPr>
              <w:t>0</w:t>
            </w:r>
          </w:p>
        </w:tc>
      </w:tr>
      <w:tr>
        <w:tc>
          <w:tcPr>
            <w:tcW w:type="dxa" w:w="850"/>
            <w:vAlign w:val="center"/>
            <w:tcMar>
              <w:top w:w="45" w:type="dxa"/>
              <w:bottom w:w="45" w:type="dxa"/>
              <w:start w:w="70" w:type="dxa"/>
              <w:end w:w="70" w:type="dxa"/>
            </w:tcMar>
          </w:tcPr>
          <w:p>
            <w:pPr>
              <w:spacing w:after="0" w:line="240" w:lineRule="auto"/>
              <w:jc w:val="left"/>
            </w:pPr>
            <w:r>
              <w:rPr>
                <w:rFonts w:ascii="Times New Roman" w:hAnsi="Times New Roman" w:eastAsia="Times New Roman"/>
                <w:b w:val="0"/>
                <w:i w:val="0"/>
                <w:color w:val="111827"/>
                <w:sz w:val="15"/>
              </w:rPr>
              <w:t>CMB</w:t>
            </w:r>
          </w:p>
        </w:tc>
        <w:tc>
          <w:tcPr>
            <w:tcW w:type="dxa" w:w="5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5"/>
              </w:rPr>
              <w:t>166</w:t>
            </w:r>
          </w:p>
        </w:tc>
        <w:tc>
          <w:tcPr>
            <w:tcW w:type="dxa" w:w="7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5"/>
              </w:rPr>
              <w:t>0.217</w:t>
            </w:r>
          </w:p>
        </w:tc>
        <w:tc>
          <w:tcPr>
            <w:tcW w:type="dxa" w:w="9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5"/>
              </w:rPr>
              <w:t>0.161</w:t>
            </w:r>
          </w:p>
        </w:tc>
        <w:tc>
          <w:tcPr>
            <w:tcW w:type="dxa" w:w="8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5"/>
              </w:rPr>
              <w:t>0.0344</w:t>
            </w:r>
          </w:p>
        </w:tc>
        <w:tc>
          <w:tcPr>
            <w:tcW w:type="dxa" w:w="8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5"/>
              </w:rPr>
              <w:t>0.392</w:t>
            </w:r>
          </w:p>
        </w:tc>
        <w:tc>
          <w:tcPr>
            <w:tcW w:type="dxa" w:w="8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5"/>
              </w:rPr>
              <w:t>1.33</w:t>
            </w:r>
          </w:p>
        </w:tc>
        <w:tc>
          <w:tcPr>
            <w:tcW w:type="dxa" w:w="7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5"/>
              </w:rPr>
              <w:t>0.003</w:t>
            </w:r>
          </w:p>
        </w:tc>
        <w:tc>
          <w:tcPr>
            <w:tcW w:type="dxa" w:w="11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5"/>
              </w:rPr>
              <w:t>2</w:t>
            </w:r>
          </w:p>
        </w:tc>
        <w:tc>
          <w:tcPr>
            <w:tcW w:type="dxa" w:w="17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5"/>
              </w:rPr>
              <w:t>1000/1000</w:t>
            </w:r>
          </w:p>
        </w:tc>
        <w:tc>
          <w:tcPr>
            <w:tcW w:type="dxa" w:w="7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5"/>
              </w:rPr>
              <w:t>0</w:t>
            </w:r>
          </w:p>
        </w:tc>
        <w:tc>
          <w:tcPr>
            <w:tcW w:type="dxa" w:w="7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5"/>
              </w:rPr>
              <w:t>0</w:t>
            </w:r>
          </w:p>
        </w:tc>
      </w:tr>
      <w:tr>
        <w:tc>
          <w:tcPr>
            <w:tcW w:type="dxa" w:w="850"/>
            <w:vAlign w:val="center"/>
            <w:tcMar>
              <w:top w:w="45" w:type="dxa"/>
              <w:bottom w:w="45" w:type="dxa"/>
              <w:start w:w="70" w:type="dxa"/>
              <w:end w:w="70" w:type="dxa"/>
            </w:tcMar>
          </w:tcPr>
          <w:p>
            <w:pPr>
              <w:spacing w:after="0" w:line="240" w:lineRule="auto"/>
              <w:jc w:val="left"/>
            </w:pPr>
            <w:r>
              <w:rPr>
                <w:rFonts w:ascii="Times New Roman" w:hAnsi="Times New Roman" w:eastAsia="Times New Roman"/>
                <w:b w:val="0"/>
                <w:i w:val="0"/>
                <w:color w:val="111827"/>
                <w:sz w:val="15"/>
              </w:rPr>
              <w:t>PVS</w:t>
            </w:r>
          </w:p>
        </w:tc>
        <w:tc>
          <w:tcPr>
            <w:tcW w:type="dxa" w:w="5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5"/>
              </w:rPr>
              <w:t>166</w:t>
            </w:r>
          </w:p>
        </w:tc>
        <w:tc>
          <w:tcPr>
            <w:tcW w:type="dxa" w:w="7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5"/>
              </w:rPr>
              <w:t>0.188</w:t>
            </w:r>
          </w:p>
        </w:tc>
        <w:tc>
          <w:tcPr>
            <w:tcW w:type="dxa" w:w="9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5"/>
              </w:rPr>
              <w:t>0.124</w:t>
            </w:r>
          </w:p>
        </w:tc>
        <w:tc>
          <w:tcPr>
            <w:tcW w:type="dxa" w:w="8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5"/>
              </w:rPr>
              <w:t>0.0057</w:t>
            </w:r>
          </w:p>
        </w:tc>
        <w:tc>
          <w:tcPr>
            <w:tcW w:type="dxa" w:w="8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5"/>
              </w:rPr>
              <w:t>0.987</w:t>
            </w:r>
          </w:p>
        </w:tc>
        <w:tc>
          <w:tcPr>
            <w:tcW w:type="dxa" w:w="8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5"/>
              </w:rPr>
              <w:t>2.88</w:t>
            </w:r>
          </w:p>
        </w:tc>
        <w:tc>
          <w:tcPr>
            <w:tcW w:type="dxa" w:w="7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5"/>
              </w:rPr>
              <w:t>0.014</w:t>
            </w:r>
          </w:p>
        </w:tc>
        <w:tc>
          <w:tcPr>
            <w:tcW w:type="dxa" w:w="11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5"/>
              </w:rPr>
              <w:t>2</w:t>
            </w:r>
          </w:p>
        </w:tc>
        <w:tc>
          <w:tcPr>
            <w:tcW w:type="dxa" w:w="170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5"/>
              </w:rPr>
              <w:t>1000/1000</w:t>
            </w:r>
          </w:p>
        </w:tc>
        <w:tc>
          <w:tcPr>
            <w:tcW w:type="dxa" w:w="7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5"/>
              </w:rPr>
              <w:t>0</w:t>
            </w:r>
          </w:p>
        </w:tc>
        <w:tc>
          <w:tcPr>
            <w:tcW w:type="dxa" w:w="750"/>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5"/>
              </w:rPr>
              <w:t>0</w:t>
            </w:r>
          </w:p>
        </w:tc>
      </w:tr>
      <w:tr>
        <w:tc>
          <w:tcPr>
            <w:tcW w:type="dxa" w:w="850"/>
            <w:tcBorders>
              <w:bottom w:val="single" w:sz="12" w:color="000000"/>
            </w:tcBorders>
            <w:vAlign w:val="center"/>
            <w:tcMar>
              <w:top w:w="45" w:type="dxa"/>
              <w:bottom w:w="45" w:type="dxa"/>
              <w:start w:w="70" w:type="dxa"/>
              <w:end w:w="70" w:type="dxa"/>
            </w:tcMar>
          </w:tcPr>
          <w:p>
            <w:pPr>
              <w:spacing w:after="0" w:line="240" w:lineRule="auto"/>
              <w:jc w:val="left"/>
            </w:pPr>
            <w:r>
              <w:rPr>
                <w:rFonts w:ascii="Times New Roman" w:hAnsi="Times New Roman" w:eastAsia="Times New Roman"/>
                <w:b w:val="0"/>
                <w:i w:val="0"/>
                <w:color w:val="111827"/>
                <w:sz w:val="15"/>
              </w:rPr>
              <w:t>WMH</w:t>
            </w:r>
          </w:p>
        </w:tc>
        <w:tc>
          <w:tcPr>
            <w:tcW w:type="dxa" w:w="550"/>
            <w:tcBorders>
              <w:bottom w:val="single" w:sz="12" w:color="000000"/>
            </w:tcBorders>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5"/>
              </w:rPr>
              <w:t>166</w:t>
            </w:r>
          </w:p>
        </w:tc>
        <w:tc>
          <w:tcPr>
            <w:tcW w:type="dxa" w:w="700"/>
            <w:tcBorders>
              <w:bottom w:val="single" w:sz="12" w:color="000000"/>
            </w:tcBorders>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5"/>
              </w:rPr>
              <w:t>0.224</w:t>
            </w:r>
          </w:p>
        </w:tc>
        <w:tc>
          <w:tcPr>
            <w:tcW w:type="dxa" w:w="950"/>
            <w:tcBorders>
              <w:bottom w:val="single" w:sz="12" w:color="000000"/>
            </w:tcBorders>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5"/>
              </w:rPr>
              <w:t>0.173</w:t>
            </w:r>
          </w:p>
        </w:tc>
        <w:tc>
          <w:tcPr>
            <w:tcW w:type="dxa" w:w="850"/>
            <w:tcBorders>
              <w:bottom w:val="single" w:sz="12" w:color="000000"/>
            </w:tcBorders>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5"/>
              </w:rPr>
              <w:t>0.0413</w:t>
            </w:r>
          </w:p>
        </w:tc>
        <w:tc>
          <w:tcPr>
            <w:tcW w:type="dxa" w:w="850"/>
            <w:tcBorders>
              <w:bottom w:val="single" w:sz="12" w:color="000000"/>
            </w:tcBorders>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5"/>
              </w:rPr>
              <w:t>0.057</w:t>
            </w:r>
          </w:p>
        </w:tc>
        <w:tc>
          <w:tcPr>
            <w:tcW w:type="dxa" w:w="850"/>
            <w:tcBorders>
              <w:bottom w:val="single" w:sz="12" w:color="000000"/>
            </w:tcBorders>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5"/>
              </w:rPr>
              <w:t>8.38</w:t>
            </w:r>
          </w:p>
        </w:tc>
        <w:tc>
          <w:tcPr>
            <w:tcW w:type="dxa" w:w="750"/>
            <w:tcBorders>
              <w:bottom w:val="single" w:sz="12" w:color="000000"/>
            </w:tcBorders>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5"/>
              </w:rPr>
              <w:t>0.001</w:t>
            </w:r>
          </w:p>
        </w:tc>
        <w:tc>
          <w:tcPr>
            <w:tcW w:type="dxa" w:w="1100"/>
            <w:tcBorders>
              <w:bottom w:val="single" w:sz="12" w:color="000000"/>
            </w:tcBorders>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5"/>
              </w:rPr>
              <w:t>2</w:t>
            </w:r>
          </w:p>
        </w:tc>
        <w:tc>
          <w:tcPr>
            <w:tcW w:type="dxa" w:w="1700"/>
            <w:tcBorders>
              <w:bottom w:val="single" w:sz="12" w:color="000000"/>
            </w:tcBorders>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5"/>
              </w:rPr>
              <w:t>1000/1000</w:t>
            </w:r>
          </w:p>
        </w:tc>
        <w:tc>
          <w:tcPr>
            <w:tcW w:type="dxa" w:w="750"/>
            <w:tcBorders>
              <w:bottom w:val="single" w:sz="12" w:color="000000"/>
            </w:tcBorders>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5"/>
              </w:rPr>
              <w:t>0</w:t>
            </w:r>
          </w:p>
        </w:tc>
        <w:tc>
          <w:tcPr>
            <w:tcW w:type="dxa" w:w="750"/>
            <w:tcBorders>
              <w:bottom w:val="single" w:sz="12" w:color="000000"/>
            </w:tcBorders>
            <w:vAlign w:val="center"/>
            <w:tcMar>
              <w:top w:w="45" w:type="dxa"/>
              <w:bottom w:w="45" w:type="dxa"/>
              <w:start w:w="70" w:type="dxa"/>
              <w:end w:w="70" w:type="dxa"/>
            </w:tcMar>
          </w:tcPr>
          <w:p>
            <w:pPr>
              <w:spacing w:after="0" w:line="240" w:lineRule="auto"/>
              <w:jc w:val="center"/>
            </w:pPr>
            <w:r>
              <w:rPr>
                <w:rFonts w:ascii="Times New Roman" w:hAnsi="Times New Roman" w:eastAsia="Times New Roman"/>
                <w:b w:val="0"/>
                <w:i w:val="0"/>
                <w:color w:val="111827"/>
                <w:sz w:val="15"/>
              </w:rPr>
              <w:t>0</w:t>
            </w:r>
          </w:p>
        </w:tc>
      </w:tr>
    </w:tbl>
    <w:p>
      <w:pPr>
        <w:spacing w:before="60" w:after="60" w:line="240" w:lineRule="auto"/>
      </w:pPr>
      <w:r>
        <w:rPr>
          <w:rFonts w:ascii="Times New Roman" w:hAnsi="Times New Roman" w:eastAsia="Times New Roman"/>
          <w:b w:val="0"/>
          <w:i w:val="0"/>
          <w:color w:val="4B5563"/>
          <w:sz w:val="15"/>
        </w:rPr>
        <w:t>Block P values are HC3 robust joint Wald tests. BP denotes the Breusch-Pagan heteroskedasticity test. Bootstrap used participant-level resampling with 1,000 requested samples and seed 20260801. WMH variance inflation factors require cautious interpretation because juxtaventricular and periventricular volumes were highly correlated.</w:t>
      </w:r>
    </w:p>
    <w:p>
      <w:pPr/>
      <w:r>
        <w:t>Supplementary result. Breusch-Pagan tests indicated heteroskedasticity for all four regional models (P&lt;0.05), supporting the prespecified use of HC3 robust inference. Maximum variance inflation factors were low for lacunes (1.21) and CMBs (1.33), moderate for PVS (2.88), and high for WMH (8.38). Two participants met the strict influence criterion, but their exclusion did not materially alter the principal lacune estimates. Each lesion-family bootstrap completed 1,000 of 1,000 requested resamples, with no failed or singular fits.</w:t>
      </w:r>
    </w:p>
    <w:p>
      <w:r>
        <w:br w:type="page"/>
      </w:r>
    </w:p>
    <w:p>
      <w:pPr>
        <w:pStyle w:val="Heading1"/>
      </w:pPr>
      <w:r>
        <w:rPr>
          <w:rFonts w:ascii="Times New Roman" w:hAnsi="Times New Roman" w:eastAsia="Times New Roman"/>
          <w:b/>
          <w:i w:val="0"/>
          <w:color w:val="111827"/>
          <w:sz w:val="28"/>
        </w:rPr>
        <w:t>Figure S1. Exploratory correlations between quantitative CSVD markers and network measures</w:t>
      </w:r>
    </w:p>
    <w:p>
      <w:pPr>
        <w:keepNext/>
        <w:jc w:val="center"/>
      </w:pPr>
      <w:r>
        <w:drawing>
          <wp:inline xmlns:a="http://schemas.openxmlformats.org/drawingml/2006/main" xmlns:pic="http://schemas.openxmlformats.org/drawingml/2006/picture">
            <wp:extent cx="8046720" cy="6142330"/>
            <wp:docPr id="1" name="Picture 1"/>
            <wp:cNvGraphicFramePr>
              <a:graphicFrameLocks noChangeAspect="1"/>
            </wp:cNvGraphicFramePr>
            <a:graphic>
              <a:graphicData uri="http://schemas.openxmlformats.org/drawingml/2006/picture">
                <pic:pic>
                  <pic:nvPicPr>
                    <pic:cNvPr id="0" name="FigureS1_exploratory_correlation_matrix.png"/>
                    <pic:cNvPicPr/>
                  </pic:nvPicPr>
                  <pic:blipFill>
                    <a:blip r:embed="rId10"/>
                    <a:stretch>
                      <a:fillRect/>
                    </a:stretch>
                  </pic:blipFill>
                  <pic:spPr>
                    <a:xfrm>
                      <a:off x="0" y="0"/>
                      <a:ext cx="8046720" cy="6142330"/>
                    </a:xfrm>
                    <a:prstGeom prst="rect"/>
                  </pic:spPr>
                </pic:pic>
              </a:graphicData>
            </a:graphic>
          </wp:inline>
        </w:drawing>
      </w:r>
    </w:p>
    <w:p>
      <w:pPr>
        <w:spacing w:before="60" w:after="60" w:line="240" w:lineRule="auto"/>
      </w:pPr>
      <w:r>
        <w:rPr>
          <w:rFonts w:ascii="Times New Roman" w:hAnsi="Times New Roman" w:eastAsia="Times New Roman"/>
          <w:b w:val="0"/>
          <w:i w:val="0"/>
          <w:color w:val="4B5563"/>
          <w:sz w:val="18"/>
        </w:rPr>
        <w:t>Spearman correlations are unadjusted and descriptive. Benjamini-Hochberg FDR correction was applied across the full displayed matrix. Volumes were ln(volume+1) transformed. These analyses do not replace the multivariable models.</w:t>
      </w:r>
    </w:p>
    <w:sectPr w:rsidR="00FC693F" w:rsidRPr="0006063C" w:rsidSect="00034616">
      <w:footerReference w:type="default" r:id="rId9"/>
      <w:pgSz w:w="15840" w:h="12240" w:orient="landscape"/>
      <w:pgMar w:top="648" w:right="648" w:bottom="648"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b w:val="0"/>
        <w:i w:val="0"/>
        <w:color w:val="4B5563"/>
        <w:sz w:val="18"/>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40"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Times New Roman" w:hAnsi="Times New Roman"/>
      <w:b/>
      <w:bCs/>
      <w:color w:val="111827"/>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Times New Roman" w:hAnsi="Times New Roman"/>
      <w:b/>
      <w:bCs/>
      <w:color w:val="111827"/>
      <w:sz w:val="24"/>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Times New Roman" w:hAnsi="Times New Roman"/>
      <w:b/>
      <w:bCs/>
      <w:color w:val="111827"/>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