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FEDA" w14:textId="0D3E6BFB" w:rsidR="0020661E" w:rsidRDefault="00353CDD" w:rsidP="00056C8D">
      <w:pPr>
        <w:spacing w:line="480" w:lineRule="auto"/>
        <w:rPr>
          <w:rFonts w:cs="Arial"/>
          <w:b/>
          <w:bCs/>
          <w:sz w:val="36"/>
          <w:szCs w:val="36"/>
        </w:rPr>
      </w:pPr>
      <w:r w:rsidRPr="00353CDD">
        <w:rPr>
          <w:rFonts w:cs="Arial"/>
          <w:b/>
          <w:bCs/>
          <w:sz w:val="36"/>
          <w:szCs w:val="36"/>
        </w:rPr>
        <w:t>Salivary microbiome exhibits stage-associated network topological shifts in upper gastrointestinal carcinogenesis</w:t>
      </w:r>
    </w:p>
    <w:p w14:paraId="45CFEE99" w14:textId="77777777" w:rsidR="001659CE" w:rsidRPr="00375FB4" w:rsidRDefault="001659CE" w:rsidP="001659CE">
      <w:pPr>
        <w:snapToGrid w:val="0"/>
        <w:spacing w:line="480" w:lineRule="auto"/>
        <w:rPr>
          <w:rFonts w:cs="Arial"/>
          <w:sz w:val="24"/>
          <w:szCs w:val="24"/>
        </w:rPr>
      </w:pPr>
      <w:r w:rsidRPr="00375FB4">
        <w:rPr>
          <w:rFonts w:cs="Arial"/>
          <w:sz w:val="24"/>
          <w:szCs w:val="24"/>
        </w:rPr>
        <w:t>Junling Xiang</w:t>
      </w:r>
      <w:r w:rsidRPr="00D535CF">
        <w:rPr>
          <w:rFonts w:cs="Arial"/>
          <w:sz w:val="28"/>
          <w:szCs w:val="24"/>
          <w:vertAlign w:val="superscript"/>
        </w:rPr>
        <w:t>1,2</w:t>
      </w:r>
      <w:r>
        <w:rPr>
          <w:rFonts w:cs="Arial"/>
          <w:sz w:val="28"/>
          <w:szCs w:val="24"/>
          <w:vertAlign w:val="superscript"/>
        </w:rPr>
        <w:t>†</w:t>
      </w:r>
      <w:r w:rsidRPr="00375FB4">
        <w:rPr>
          <w:rFonts w:cs="Arial"/>
          <w:sz w:val="24"/>
          <w:szCs w:val="24"/>
        </w:rPr>
        <w:t>, Shuai Zhang</w:t>
      </w:r>
      <w:r w:rsidRPr="00D535CF">
        <w:rPr>
          <w:rFonts w:cs="Arial"/>
          <w:sz w:val="28"/>
          <w:szCs w:val="24"/>
          <w:vertAlign w:val="superscript"/>
        </w:rPr>
        <w:t>1,2</w:t>
      </w:r>
      <w:r>
        <w:rPr>
          <w:rFonts w:cs="Arial"/>
          <w:sz w:val="28"/>
          <w:szCs w:val="24"/>
          <w:vertAlign w:val="superscript"/>
        </w:rPr>
        <w:t>†</w:t>
      </w:r>
      <w:r w:rsidRPr="00375FB4">
        <w:rPr>
          <w:rFonts w:cs="Arial"/>
          <w:sz w:val="24"/>
          <w:szCs w:val="24"/>
        </w:rPr>
        <w:t>,</w:t>
      </w:r>
      <w:r>
        <w:rPr>
          <w:rFonts w:cs="Arial" w:hint="eastAsia"/>
          <w:sz w:val="24"/>
          <w:szCs w:val="24"/>
        </w:rPr>
        <w:t xml:space="preserve"> Nan Zhang</w:t>
      </w:r>
      <w:r w:rsidRPr="00DF00D9">
        <w:rPr>
          <w:rFonts w:cs="Arial" w:hint="eastAsia"/>
          <w:sz w:val="28"/>
          <w:szCs w:val="24"/>
          <w:vertAlign w:val="superscript"/>
        </w:rPr>
        <w:t>3</w:t>
      </w:r>
      <w:r>
        <w:rPr>
          <w:rFonts w:cs="Arial" w:hint="eastAsia"/>
          <w:sz w:val="24"/>
          <w:szCs w:val="24"/>
        </w:rPr>
        <w:t>,</w:t>
      </w:r>
      <w:r w:rsidRPr="00375FB4">
        <w:rPr>
          <w:rFonts w:cs="Arial"/>
          <w:sz w:val="24"/>
          <w:szCs w:val="24"/>
        </w:rPr>
        <w:t xml:space="preserve"> Jun Zhang</w:t>
      </w:r>
      <w:r w:rsidRPr="00D535CF">
        <w:rPr>
          <w:rFonts w:cs="Arial"/>
          <w:sz w:val="28"/>
          <w:szCs w:val="24"/>
          <w:vertAlign w:val="superscript"/>
        </w:rPr>
        <w:t>1,2</w:t>
      </w:r>
      <w:r w:rsidRPr="00375FB4">
        <w:rPr>
          <w:rFonts w:cs="Arial"/>
          <w:sz w:val="24"/>
          <w:szCs w:val="24"/>
        </w:rPr>
        <w:t xml:space="preserve">, </w:t>
      </w:r>
      <w:proofErr w:type="spellStart"/>
      <w:r>
        <w:rPr>
          <w:rFonts w:cs="Arial" w:hint="eastAsia"/>
          <w:sz w:val="24"/>
          <w:szCs w:val="24"/>
        </w:rPr>
        <w:t>Youhua</w:t>
      </w:r>
      <w:proofErr w:type="spellEnd"/>
      <w:r>
        <w:rPr>
          <w:rFonts w:cs="Arial" w:hint="eastAsia"/>
          <w:sz w:val="24"/>
          <w:szCs w:val="24"/>
        </w:rPr>
        <w:t xml:space="preserve"> Lu</w:t>
      </w:r>
      <w:r w:rsidRPr="00DF00D9">
        <w:rPr>
          <w:rFonts w:cs="Arial" w:hint="eastAsia"/>
          <w:sz w:val="28"/>
          <w:szCs w:val="24"/>
          <w:vertAlign w:val="superscript"/>
        </w:rPr>
        <w:t>3</w:t>
      </w:r>
      <w:r w:rsidRPr="00375FB4">
        <w:rPr>
          <w:rFonts w:cs="Arial" w:hint="eastAsia"/>
          <w:sz w:val="24"/>
          <w:szCs w:val="24"/>
        </w:rPr>
        <w:t>*</w:t>
      </w:r>
      <w:r>
        <w:rPr>
          <w:rFonts w:cs="Arial" w:hint="eastAsia"/>
          <w:sz w:val="24"/>
          <w:szCs w:val="24"/>
        </w:rPr>
        <w:t xml:space="preserve">, </w:t>
      </w:r>
      <w:r w:rsidRPr="00375FB4">
        <w:rPr>
          <w:rFonts w:cs="Arial"/>
          <w:sz w:val="24"/>
          <w:szCs w:val="24"/>
        </w:rPr>
        <w:t>Tao Zhang</w:t>
      </w:r>
      <w:r w:rsidRPr="00D535CF">
        <w:rPr>
          <w:rFonts w:cs="Arial"/>
          <w:sz w:val="28"/>
          <w:szCs w:val="24"/>
          <w:vertAlign w:val="superscript"/>
        </w:rPr>
        <w:t>1,</w:t>
      </w:r>
      <w:r>
        <w:rPr>
          <w:rFonts w:cs="Arial" w:hint="eastAsia"/>
          <w:sz w:val="28"/>
          <w:szCs w:val="24"/>
          <w:vertAlign w:val="superscript"/>
        </w:rPr>
        <w:t>4,5,6</w:t>
      </w:r>
      <w:r w:rsidRPr="00375FB4">
        <w:rPr>
          <w:rFonts w:cs="Arial" w:hint="eastAsia"/>
          <w:sz w:val="24"/>
          <w:szCs w:val="24"/>
        </w:rPr>
        <w:t>*</w:t>
      </w:r>
    </w:p>
    <w:p w14:paraId="55014F67" w14:textId="77777777" w:rsidR="001659CE" w:rsidRPr="00375FB4" w:rsidRDefault="001659CE" w:rsidP="001659CE">
      <w:pPr>
        <w:snapToGrid w:val="0"/>
        <w:spacing w:line="480" w:lineRule="auto"/>
        <w:rPr>
          <w:rFonts w:cs="Arial"/>
          <w:sz w:val="24"/>
          <w:szCs w:val="24"/>
        </w:rPr>
      </w:pPr>
      <w:r w:rsidRPr="00375FB4">
        <w:rPr>
          <w:rFonts w:cs="Arial"/>
          <w:sz w:val="24"/>
          <w:szCs w:val="24"/>
        </w:rPr>
        <w:t xml:space="preserve">1 </w:t>
      </w:r>
      <w:r w:rsidRPr="00375FB4">
        <w:rPr>
          <w:rFonts w:cs="Arial" w:hint="eastAsia"/>
          <w:sz w:val="24"/>
          <w:szCs w:val="24"/>
        </w:rPr>
        <w:t xml:space="preserve">Department of Biostatistics, School of Public Health, </w:t>
      </w:r>
      <w:proofErr w:type="spellStart"/>
      <w:r w:rsidRPr="00375FB4">
        <w:rPr>
          <w:rFonts w:cs="Arial" w:hint="eastAsia"/>
          <w:sz w:val="24"/>
          <w:szCs w:val="24"/>
        </w:rPr>
        <w:t>Cheeloo</w:t>
      </w:r>
      <w:proofErr w:type="spellEnd"/>
      <w:r w:rsidRPr="00375FB4">
        <w:rPr>
          <w:rFonts w:cs="Arial" w:hint="eastAsia"/>
          <w:sz w:val="24"/>
          <w:szCs w:val="24"/>
        </w:rPr>
        <w:t xml:space="preserve"> College of Medicine, Shandong University, Jinan, Shandong, 250012, China.</w:t>
      </w:r>
    </w:p>
    <w:p w14:paraId="2E500ADF" w14:textId="77777777" w:rsidR="001659CE" w:rsidRPr="00375FB4" w:rsidRDefault="001659CE" w:rsidP="001659CE">
      <w:pPr>
        <w:snapToGrid w:val="0"/>
        <w:spacing w:line="480" w:lineRule="auto"/>
        <w:rPr>
          <w:rFonts w:cs="Arial"/>
          <w:sz w:val="24"/>
          <w:szCs w:val="24"/>
        </w:rPr>
      </w:pPr>
      <w:r w:rsidRPr="00375FB4">
        <w:rPr>
          <w:rFonts w:cs="Arial" w:hint="eastAsia"/>
          <w:sz w:val="24"/>
          <w:szCs w:val="24"/>
        </w:rPr>
        <w:t>2 National Institute of Health Data Science, Shandong University, Jinan, Shandong, 250002, China.</w:t>
      </w:r>
    </w:p>
    <w:p w14:paraId="4FBDC86E" w14:textId="77777777" w:rsidR="001659CE" w:rsidRDefault="001659CE" w:rsidP="001659CE">
      <w:pPr>
        <w:snapToGrid w:val="0"/>
        <w:spacing w:line="480" w:lineRule="auto"/>
        <w:rPr>
          <w:rFonts w:cs="Arial"/>
          <w:sz w:val="24"/>
          <w:szCs w:val="24"/>
        </w:rPr>
      </w:pPr>
      <w:r w:rsidRPr="00375FB4">
        <w:rPr>
          <w:rFonts w:cs="Arial"/>
          <w:sz w:val="24"/>
          <w:szCs w:val="24"/>
        </w:rPr>
        <w:t>3</w:t>
      </w:r>
      <w:r w:rsidRPr="00375FB4">
        <w:rPr>
          <w:rFonts w:cs="Arial" w:hint="eastAsia"/>
          <w:sz w:val="24"/>
          <w:szCs w:val="24"/>
        </w:rPr>
        <w:t xml:space="preserve"> </w:t>
      </w:r>
      <w:r w:rsidRPr="00732453">
        <w:rPr>
          <w:rFonts w:cs="Arial" w:hint="eastAsia"/>
          <w:sz w:val="24"/>
          <w:szCs w:val="24"/>
        </w:rPr>
        <w:t>Shandong Cancer Hospital and Institute, Shandong First Medical University and Shandong Academy of Medical Sciences, Jinan, Shandong, 250117, China.</w:t>
      </w:r>
    </w:p>
    <w:p w14:paraId="3EBEFF60" w14:textId="77777777" w:rsidR="001659CE" w:rsidRDefault="001659CE" w:rsidP="001659CE">
      <w:pPr>
        <w:snapToGrid w:val="0"/>
        <w:spacing w:line="480" w:lineRule="auto"/>
        <w:rPr>
          <w:rFonts w:cs="Arial"/>
          <w:sz w:val="24"/>
          <w:szCs w:val="24"/>
        </w:rPr>
      </w:pPr>
      <w:r>
        <w:rPr>
          <w:rFonts w:cs="Arial" w:hint="eastAsia"/>
          <w:sz w:val="24"/>
          <w:szCs w:val="24"/>
        </w:rPr>
        <w:t xml:space="preserve">4 </w:t>
      </w:r>
      <w:r w:rsidRPr="00375FB4">
        <w:rPr>
          <w:rFonts w:cs="Arial"/>
          <w:sz w:val="24"/>
          <w:szCs w:val="24"/>
        </w:rPr>
        <w:t>Department of Epidemiology and Biostatistics, School of Public Health, Tianjin Medical University, Tianjin, 300070, China.</w:t>
      </w:r>
    </w:p>
    <w:p w14:paraId="4057D06E" w14:textId="77777777" w:rsidR="001659CE" w:rsidRPr="00C77D15" w:rsidRDefault="001659CE" w:rsidP="001659CE">
      <w:pPr>
        <w:snapToGrid w:val="0"/>
        <w:spacing w:line="480" w:lineRule="auto"/>
        <w:rPr>
          <w:rFonts w:cs="Arial"/>
          <w:sz w:val="24"/>
          <w:szCs w:val="24"/>
        </w:rPr>
      </w:pPr>
      <w:r>
        <w:rPr>
          <w:rFonts w:cs="Arial" w:hint="eastAsia"/>
          <w:sz w:val="24"/>
          <w:szCs w:val="24"/>
        </w:rPr>
        <w:t xml:space="preserve">5 </w:t>
      </w:r>
      <w:r w:rsidRPr="00C77D15">
        <w:rPr>
          <w:rFonts w:cs="Arial" w:hint="eastAsia"/>
          <w:sz w:val="24"/>
          <w:szCs w:val="24"/>
        </w:rPr>
        <w:t xml:space="preserve">Key Laboratory of Prevention and Control of Major Diseases in the Population, Ministry of Education, Tianjin Medical University, Tianjin 300070, China. </w:t>
      </w:r>
    </w:p>
    <w:p w14:paraId="03E3DB8A" w14:textId="77777777" w:rsidR="001659CE" w:rsidRDefault="001659CE" w:rsidP="001659CE">
      <w:pPr>
        <w:snapToGrid w:val="0"/>
        <w:spacing w:line="480" w:lineRule="auto"/>
        <w:rPr>
          <w:rFonts w:cs="Arial"/>
          <w:sz w:val="24"/>
          <w:szCs w:val="24"/>
        </w:rPr>
      </w:pPr>
      <w:r>
        <w:rPr>
          <w:rFonts w:cs="Arial" w:hint="eastAsia"/>
          <w:sz w:val="24"/>
          <w:szCs w:val="24"/>
        </w:rPr>
        <w:t>6</w:t>
      </w:r>
      <w:r w:rsidRPr="00C77D15">
        <w:rPr>
          <w:rFonts w:cs="Arial" w:hint="eastAsia"/>
          <w:sz w:val="24"/>
          <w:szCs w:val="24"/>
        </w:rPr>
        <w:t xml:space="preserve"> Tianjin Key Laboratory of Environment, Nutrition and Public Health, Tianjin 300070, China.</w:t>
      </w:r>
    </w:p>
    <w:p w14:paraId="5769ECDC" w14:textId="77777777" w:rsidR="001659CE" w:rsidRDefault="001659CE" w:rsidP="001659CE">
      <w:pPr>
        <w:snapToGrid w:val="0"/>
        <w:spacing w:line="480" w:lineRule="auto"/>
        <w:rPr>
          <w:rFonts w:cs="Arial"/>
          <w:sz w:val="24"/>
          <w:szCs w:val="24"/>
        </w:rPr>
      </w:pPr>
    </w:p>
    <w:p w14:paraId="15B0A8D0" w14:textId="77777777" w:rsidR="001659CE" w:rsidRPr="00F20C1E" w:rsidRDefault="001659CE" w:rsidP="001659CE">
      <w:pPr>
        <w:snapToGrid w:val="0"/>
        <w:spacing w:line="480" w:lineRule="auto"/>
        <w:rPr>
          <w:rFonts w:cs="Arial"/>
          <w:sz w:val="24"/>
          <w:szCs w:val="24"/>
        </w:rPr>
      </w:pPr>
      <w:r>
        <w:rPr>
          <w:rFonts w:cs="Arial"/>
          <w:sz w:val="24"/>
          <w:szCs w:val="24"/>
        </w:rPr>
        <w:t>†</w:t>
      </w:r>
      <w:r>
        <w:rPr>
          <w:rFonts w:cs="Arial" w:hint="eastAsia"/>
          <w:sz w:val="24"/>
          <w:szCs w:val="24"/>
        </w:rPr>
        <w:t>Junling Xiang</w:t>
      </w:r>
      <w:r w:rsidRPr="00F20C1E">
        <w:rPr>
          <w:rFonts w:cs="Arial" w:hint="eastAsia"/>
          <w:sz w:val="24"/>
          <w:szCs w:val="24"/>
        </w:rPr>
        <w:t xml:space="preserve"> and </w:t>
      </w:r>
      <w:r>
        <w:rPr>
          <w:rFonts w:cs="Arial" w:hint="eastAsia"/>
          <w:sz w:val="24"/>
          <w:szCs w:val="24"/>
        </w:rPr>
        <w:t>Shuai</w:t>
      </w:r>
      <w:r w:rsidRPr="00F20C1E">
        <w:rPr>
          <w:rFonts w:cs="Arial" w:hint="eastAsia"/>
          <w:sz w:val="24"/>
          <w:szCs w:val="24"/>
        </w:rPr>
        <w:t xml:space="preserve"> Zhang have contributed equally to this work.</w:t>
      </w:r>
    </w:p>
    <w:p w14:paraId="3548F4D3" w14:textId="77777777" w:rsidR="001659CE" w:rsidRPr="00C77D15" w:rsidRDefault="001659CE" w:rsidP="001659CE">
      <w:pPr>
        <w:snapToGrid w:val="0"/>
        <w:spacing w:line="480" w:lineRule="auto"/>
        <w:rPr>
          <w:rFonts w:cs="Arial"/>
          <w:sz w:val="24"/>
          <w:szCs w:val="24"/>
        </w:rPr>
      </w:pPr>
      <w:r w:rsidRPr="00F20C1E">
        <w:rPr>
          <w:rFonts w:cs="Arial" w:hint="eastAsia"/>
          <w:sz w:val="24"/>
          <w:szCs w:val="24"/>
        </w:rPr>
        <w:t>*To whom correspondence should be addressed.</w:t>
      </w:r>
    </w:p>
    <w:p w14:paraId="4AE52482" w14:textId="77777777" w:rsidR="001659CE" w:rsidRPr="00F20C1E" w:rsidRDefault="001659CE" w:rsidP="001659CE">
      <w:pPr>
        <w:pStyle w:val="31"/>
        <w:adjustRightInd w:val="0"/>
        <w:snapToGrid w:val="0"/>
        <w:spacing w:after="0" w:line="480" w:lineRule="auto"/>
        <w:ind w:leftChars="0" w:left="0"/>
        <w:rPr>
          <w:rFonts w:ascii="Arial" w:hAnsi="Arial" w:cs="Arial"/>
          <w:color w:val="000000"/>
          <w:sz w:val="24"/>
          <w:szCs w:val="24"/>
        </w:rPr>
      </w:pPr>
      <w:r w:rsidRPr="00853168">
        <w:rPr>
          <w:rFonts w:ascii="Arial" w:hAnsi="Arial" w:cs="Arial"/>
          <w:color w:val="000000"/>
          <w:sz w:val="24"/>
          <w:szCs w:val="24"/>
        </w:rPr>
        <w:t xml:space="preserve">The authors do not </w:t>
      </w:r>
      <w:r w:rsidRPr="00C3594A">
        <w:rPr>
          <w:rFonts w:ascii="Arial" w:hAnsi="Arial" w:cs="Arial"/>
          <w:sz w:val="24"/>
          <w:szCs w:val="24"/>
        </w:rPr>
        <w:t>have</w:t>
      </w:r>
      <w:r w:rsidRPr="00853168">
        <w:rPr>
          <w:rFonts w:ascii="Arial" w:hAnsi="Arial" w:cs="Arial"/>
          <w:color w:val="000000"/>
          <w:sz w:val="24"/>
          <w:szCs w:val="24"/>
        </w:rPr>
        <w:t xml:space="preserve"> any conflict of interest.</w:t>
      </w:r>
    </w:p>
    <w:p w14:paraId="1E0373CD" w14:textId="77777777" w:rsidR="00B21220" w:rsidRPr="001659CE" w:rsidRDefault="00B21220" w:rsidP="00056C8D">
      <w:pPr>
        <w:spacing w:line="480" w:lineRule="auto"/>
        <w:rPr>
          <w:rFonts w:cs="Arial"/>
          <w:sz w:val="24"/>
          <w:szCs w:val="24"/>
        </w:rPr>
      </w:pPr>
    </w:p>
    <w:p w14:paraId="2B625414" w14:textId="43893A71" w:rsidR="00B21220" w:rsidRPr="001911D5" w:rsidRDefault="00B21220" w:rsidP="00B21220">
      <w:pPr>
        <w:spacing w:line="360" w:lineRule="auto"/>
        <w:rPr>
          <w:rFonts w:cs="Arial"/>
          <w:sz w:val="24"/>
          <w:szCs w:val="24"/>
        </w:rPr>
      </w:pPr>
      <w:r w:rsidRPr="00375FB4">
        <w:rPr>
          <w:rFonts w:cs="Arial" w:hint="eastAsia"/>
          <w:b/>
          <w:bCs/>
          <w:sz w:val="24"/>
          <w:szCs w:val="24"/>
        </w:rPr>
        <w:t xml:space="preserve">Running Title: </w:t>
      </w:r>
      <w:r w:rsidR="001911D5" w:rsidRPr="001911D5">
        <w:rPr>
          <w:rFonts w:cs="Arial"/>
          <w:sz w:val="24"/>
          <w:szCs w:val="24"/>
        </w:rPr>
        <w:t>Stage-associated microbiome network shifts in UGIC</w:t>
      </w:r>
    </w:p>
    <w:p w14:paraId="76403ADC" w14:textId="77777777" w:rsidR="00B21220" w:rsidRPr="00375FB4" w:rsidRDefault="00B21220" w:rsidP="00B21220">
      <w:pPr>
        <w:spacing w:line="360" w:lineRule="auto"/>
        <w:rPr>
          <w:rFonts w:cs="Arial"/>
          <w:b/>
          <w:bCs/>
          <w:sz w:val="24"/>
          <w:szCs w:val="24"/>
        </w:rPr>
      </w:pPr>
      <w:r w:rsidRPr="00375FB4">
        <w:rPr>
          <w:rFonts w:cs="Arial" w:hint="eastAsia"/>
          <w:b/>
          <w:bCs/>
          <w:sz w:val="24"/>
          <w:szCs w:val="24"/>
        </w:rPr>
        <w:t>Correspondence &amp; Reprints:</w:t>
      </w:r>
    </w:p>
    <w:p w14:paraId="14444E94" w14:textId="77777777" w:rsidR="001911D5" w:rsidRPr="001911D5" w:rsidRDefault="001911D5" w:rsidP="001911D5">
      <w:pPr>
        <w:spacing w:line="360" w:lineRule="auto"/>
        <w:rPr>
          <w:rFonts w:cs="Arial"/>
          <w:sz w:val="24"/>
          <w:szCs w:val="24"/>
        </w:rPr>
      </w:pPr>
      <w:proofErr w:type="spellStart"/>
      <w:r w:rsidRPr="001911D5">
        <w:rPr>
          <w:rFonts w:cs="Arial"/>
          <w:sz w:val="24"/>
          <w:szCs w:val="24"/>
        </w:rPr>
        <w:t>Youhua</w:t>
      </w:r>
      <w:proofErr w:type="spellEnd"/>
      <w:r w:rsidRPr="001911D5">
        <w:rPr>
          <w:rFonts w:cs="Arial"/>
          <w:sz w:val="24"/>
          <w:szCs w:val="24"/>
        </w:rPr>
        <w:t xml:space="preserve"> Lu, MD, PhD </w:t>
      </w:r>
    </w:p>
    <w:p w14:paraId="2D70566C" w14:textId="5B41E8CD" w:rsidR="001911D5" w:rsidRPr="001911D5" w:rsidRDefault="001911D5" w:rsidP="001911D5">
      <w:pPr>
        <w:spacing w:line="360" w:lineRule="auto"/>
        <w:rPr>
          <w:rFonts w:cs="Arial"/>
          <w:sz w:val="24"/>
          <w:szCs w:val="24"/>
        </w:rPr>
      </w:pPr>
      <w:r w:rsidRPr="001911D5">
        <w:rPr>
          <w:rFonts w:cs="Arial"/>
          <w:sz w:val="24"/>
          <w:szCs w:val="24"/>
        </w:rPr>
        <w:t>Shandong Cancer Hospital and Institute, Shandong First Medical University and Shandong</w:t>
      </w:r>
      <w:r>
        <w:rPr>
          <w:rFonts w:cs="Arial" w:hint="eastAsia"/>
          <w:sz w:val="24"/>
          <w:szCs w:val="24"/>
        </w:rPr>
        <w:t xml:space="preserve"> </w:t>
      </w:r>
      <w:r w:rsidRPr="001911D5">
        <w:rPr>
          <w:rFonts w:cs="Arial"/>
          <w:sz w:val="24"/>
          <w:szCs w:val="24"/>
        </w:rPr>
        <w:lastRenderedPageBreak/>
        <w:t>Academy of Medical Sciences, Jinan, Shandong, 250117, China</w:t>
      </w:r>
      <w:r>
        <w:rPr>
          <w:rFonts w:cs="Arial" w:hint="eastAsia"/>
          <w:sz w:val="24"/>
          <w:szCs w:val="24"/>
        </w:rPr>
        <w:t>.</w:t>
      </w:r>
    </w:p>
    <w:p w14:paraId="1A77E606" w14:textId="49B02DE6" w:rsidR="001911D5" w:rsidRDefault="001911D5" w:rsidP="001911D5">
      <w:pPr>
        <w:spacing w:line="360" w:lineRule="auto"/>
        <w:rPr>
          <w:rFonts w:cs="Arial"/>
          <w:sz w:val="24"/>
          <w:szCs w:val="24"/>
        </w:rPr>
      </w:pPr>
      <w:r w:rsidRPr="001911D5">
        <w:rPr>
          <w:rFonts w:cs="Arial"/>
          <w:sz w:val="24"/>
          <w:szCs w:val="24"/>
        </w:rPr>
        <w:t>E-mail: luyouhua@126.com</w:t>
      </w:r>
    </w:p>
    <w:p w14:paraId="5D19CE8B" w14:textId="77777777" w:rsidR="001911D5" w:rsidRDefault="001911D5" w:rsidP="00B21220">
      <w:pPr>
        <w:spacing w:line="360" w:lineRule="auto"/>
        <w:rPr>
          <w:rFonts w:cs="Arial"/>
          <w:sz w:val="24"/>
          <w:szCs w:val="24"/>
        </w:rPr>
      </w:pPr>
    </w:p>
    <w:p w14:paraId="191F0196" w14:textId="4AA797D0" w:rsidR="00B21220" w:rsidRPr="00375FB4" w:rsidRDefault="00B21220" w:rsidP="00B21220">
      <w:pPr>
        <w:spacing w:line="360" w:lineRule="auto"/>
        <w:rPr>
          <w:rFonts w:cs="Arial"/>
          <w:sz w:val="24"/>
          <w:szCs w:val="24"/>
        </w:rPr>
      </w:pPr>
      <w:r w:rsidRPr="00375FB4">
        <w:rPr>
          <w:rFonts w:cs="Arial"/>
          <w:sz w:val="24"/>
          <w:szCs w:val="24"/>
        </w:rPr>
        <w:t>Tao Zhang, MD, PhD</w:t>
      </w:r>
    </w:p>
    <w:p w14:paraId="558C8E1D" w14:textId="77777777" w:rsidR="00B21220" w:rsidRPr="00375FB4" w:rsidRDefault="00B21220" w:rsidP="00B21220">
      <w:pPr>
        <w:spacing w:line="360" w:lineRule="auto"/>
        <w:rPr>
          <w:rFonts w:cs="Arial"/>
          <w:sz w:val="24"/>
          <w:szCs w:val="24"/>
        </w:rPr>
      </w:pPr>
      <w:r w:rsidRPr="00375FB4">
        <w:rPr>
          <w:rFonts w:cs="Arial"/>
          <w:sz w:val="24"/>
          <w:szCs w:val="24"/>
        </w:rPr>
        <w:t>Department of Epidemiology and Biostatistics, School of Public Health, Tianjin Medical University, Tianjin, 300070, China.</w:t>
      </w:r>
    </w:p>
    <w:p w14:paraId="0C34D856" w14:textId="77777777" w:rsidR="00B21220" w:rsidRPr="00375FB4" w:rsidRDefault="00B21220" w:rsidP="00B21220">
      <w:pPr>
        <w:spacing w:line="360" w:lineRule="auto"/>
        <w:rPr>
          <w:rFonts w:cs="Arial"/>
          <w:sz w:val="24"/>
          <w:szCs w:val="24"/>
        </w:rPr>
      </w:pPr>
      <w:r w:rsidRPr="00375FB4">
        <w:rPr>
          <w:rFonts w:cs="Arial"/>
          <w:sz w:val="24"/>
          <w:szCs w:val="24"/>
        </w:rPr>
        <w:t>E-mail: taozhang@tmu.edu.cn</w:t>
      </w:r>
    </w:p>
    <w:p w14:paraId="744496AE" w14:textId="77777777" w:rsidR="00DB2CA1" w:rsidRDefault="00DB2CA1">
      <w:pPr>
        <w:widowControl/>
        <w:jc w:val="left"/>
        <w:rPr>
          <w:rFonts w:cs="Arial"/>
          <w:b/>
          <w:bCs/>
          <w:szCs w:val="21"/>
        </w:rPr>
        <w:sectPr w:rsidR="00DB2CA1" w:rsidSect="00130177">
          <w:footerReference w:type="default" r:id="rId8"/>
          <w:pgSz w:w="11906" w:h="16838"/>
          <w:pgMar w:top="1151" w:right="1151" w:bottom="1151" w:left="1151" w:header="851" w:footer="992" w:gutter="0"/>
          <w:cols w:space="425"/>
          <w:docGrid w:type="lines" w:linePitch="312"/>
        </w:sectPr>
      </w:pPr>
    </w:p>
    <w:sdt>
      <w:sdtPr>
        <w:rPr>
          <w:rFonts w:ascii="Arial" w:eastAsiaTheme="minorEastAsia" w:hAnsi="Arial" w:cstheme="minorBidi"/>
          <w:color w:val="auto"/>
          <w:kern w:val="2"/>
          <w:sz w:val="21"/>
          <w:szCs w:val="22"/>
          <w:lang w:val="zh-CN"/>
          <w14:ligatures w14:val="standardContextual"/>
        </w:rPr>
        <w:id w:val="37401362"/>
        <w:docPartObj>
          <w:docPartGallery w:val="Table of Contents"/>
          <w:docPartUnique/>
        </w:docPartObj>
      </w:sdtPr>
      <w:sdtEndPr>
        <w:rPr>
          <w:b/>
          <w:bCs/>
        </w:rPr>
      </w:sdtEndPr>
      <w:sdtContent>
        <w:p w14:paraId="38C79589" w14:textId="67398F99" w:rsidR="00D40827" w:rsidRPr="00B21220" w:rsidRDefault="00772F3B" w:rsidP="00772F3B">
          <w:pPr>
            <w:pStyle w:val="TOC"/>
            <w:spacing w:afterLines="100" w:after="312" w:line="480" w:lineRule="auto"/>
            <w:rPr>
              <w:rFonts w:ascii="Arial" w:hAnsi="Arial" w:cs="Arial"/>
              <w:b/>
              <w:bCs/>
              <w:color w:val="auto"/>
              <w:sz w:val="44"/>
              <w:szCs w:val="44"/>
            </w:rPr>
          </w:pPr>
          <w:r w:rsidRPr="00B21220">
            <w:rPr>
              <w:rFonts w:ascii="Arial" w:hAnsi="Arial" w:cs="Arial"/>
              <w:b/>
              <w:bCs/>
              <w:color w:val="auto"/>
              <w:sz w:val="44"/>
              <w:szCs w:val="44"/>
              <w:lang w:val="zh-CN"/>
            </w:rPr>
            <w:t>Continent</w:t>
          </w:r>
        </w:p>
        <w:p w14:paraId="06EE663C" w14:textId="02DBFDD2" w:rsidR="004F7CF5" w:rsidRPr="005B4F41" w:rsidRDefault="00D40827" w:rsidP="005B4F41">
          <w:pPr>
            <w:pStyle w:val="TOC1"/>
            <w:tabs>
              <w:tab w:val="right" w:leader="dot" w:pos="8296"/>
            </w:tabs>
            <w:spacing w:line="300" w:lineRule="auto"/>
            <w:rPr>
              <w:rFonts w:asciiTheme="minorHAnsi" w:hAnsiTheme="minorHAnsi" w:hint="eastAsia"/>
              <w:noProof/>
              <w:sz w:val="24"/>
              <w:szCs w:val="24"/>
            </w:rPr>
          </w:pPr>
          <w:r w:rsidRPr="005B4F41">
            <w:rPr>
              <w:rFonts w:cs="Arial"/>
              <w:sz w:val="24"/>
              <w:szCs w:val="24"/>
            </w:rPr>
            <w:fldChar w:fldCharType="begin"/>
          </w:r>
          <w:r w:rsidRPr="005B4F41">
            <w:rPr>
              <w:rFonts w:cs="Arial"/>
              <w:sz w:val="24"/>
              <w:szCs w:val="24"/>
            </w:rPr>
            <w:instrText xml:space="preserve"> TOC \o "1-3" \h \z \u </w:instrText>
          </w:r>
          <w:r w:rsidRPr="005B4F41">
            <w:rPr>
              <w:rFonts w:cs="Arial"/>
              <w:sz w:val="24"/>
              <w:szCs w:val="24"/>
            </w:rPr>
            <w:fldChar w:fldCharType="separate"/>
          </w:r>
          <w:hyperlink w:anchor="_Toc228455647" w:history="1">
            <w:r w:rsidR="004F7CF5" w:rsidRPr="005B4F41">
              <w:rPr>
                <w:rStyle w:val="af4"/>
                <w:rFonts w:hint="eastAsia"/>
                <w:b/>
                <w:bCs/>
                <w:noProof/>
                <w:sz w:val="24"/>
                <w:szCs w:val="24"/>
              </w:rPr>
              <w:t>Supplementary Methods</w:t>
            </w:r>
            <w:r w:rsidR="004F7CF5" w:rsidRPr="005B4F41">
              <w:rPr>
                <w:rFonts w:hint="eastAsia"/>
                <w:noProof/>
                <w:webHidden/>
                <w:sz w:val="24"/>
                <w:szCs w:val="24"/>
              </w:rPr>
              <w:tab/>
            </w:r>
            <w:r w:rsidR="004F7CF5" w:rsidRPr="005B4F41">
              <w:rPr>
                <w:rFonts w:hint="eastAsia"/>
                <w:noProof/>
                <w:webHidden/>
                <w:sz w:val="24"/>
                <w:szCs w:val="24"/>
              </w:rPr>
              <w:fldChar w:fldCharType="begin"/>
            </w:r>
            <w:r w:rsidR="004F7CF5" w:rsidRPr="005B4F41">
              <w:rPr>
                <w:rFonts w:hint="eastAsia"/>
                <w:noProof/>
                <w:webHidden/>
                <w:sz w:val="24"/>
                <w:szCs w:val="24"/>
              </w:rPr>
              <w:instrText xml:space="preserve"> </w:instrText>
            </w:r>
            <w:r w:rsidR="004F7CF5" w:rsidRPr="005B4F41">
              <w:rPr>
                <w:noProof/>
                <w:webHidden/>
                <w:sz w:val="24"/>
                <w:szCs w:val="24"/>
              </w:rPr>
              <w:instrText>PAGEREF _Toc228455647 \h</w:instrText>
            </w:r>
            <w:r w:rsidR="004F7CF5" w:rsidRPr="005B4F41">
              <w:rPr>
                <w:rFonts w:hint="eastAsia"/>
                <w:noProof/>
                <w:webHidden/>
                <w:sz w:val="24"/>
                <w:szCs w:val="24"/>
              </w:rPr>
              <w:instrText xml:space="preserve"> </w:instrText>
            </w:r>
            <w:r w:rsidR="004F7CF5" w:rsidRPr="005B4F41">
              <w:rPr>
                <w:rFonts w:hint="eastAsia"/>
                <w:noProof/>
                <w:webHidden/>
                <w:sz w:val="24"/>
                <w:szCs w:val="24"/>
              </w:rPr>
            </w:r>
            <w:r w:rsidR="004F7CF5" w:rsidRPr="005B4F41">
              <w:rPr>
                <w:rFonts w:hint="eastAsia"/>
                <w:noProof/>
                <w:webHidden/>
                <w:sz w:val="24"/>
                <w:szCs w:val="24"/>
              </w:rPr>
              <w:fldChar w:fldCharType="separate"/>
            </w:r>
            <w:r w:rsidR="00130177" w:rsidRPr="005B4F41">
              <w:rPr>
                <w:noProof/>
                <w:webHidden/>
                <w:sz w:val="24"/>
                <w:szCs w:val="24"/>
              </w:rPr>
              <w:t>1</w:t>
            </w:r>
            <w:r w:rsidR="004F7CF5" w:rsidRPr="005B4F41">
              <w:rPr>
                <w:rFonts w:hint="eastAsia"/>
                <w:noProof/>
                <w:webHidden/>
                <w:sz w:val="24"/>
                <w:szCs w:val="24"/>
              </w:rPr>
              <w:fldChar w:fldCharType="end"/>
            </w:r>
          </w:hyperlink>
        </w:p>
        <w:p w14:paraId="02D4AF3E" w14:textId="71ECCDF7" w:rsidR="004F7CF5" w:rsidRPr="005B4F41" w:rsidRDefault="004F7CF5" w:rsidP="005B4F41">
          <w:pPr>
            <w:pStyle w:val="TOC2"/>
            <w:tabs>
              <w:tab w:val="right" w:leader="dot" w:pos="8296"/>
            </w:tabs>
            <w:spacing w:line="300" w:lineRule="auto"/>
            <w:rPr>
              <w:rFonts w:asciiTheme="minorHAnsi" w:hAnsiTheme="minorHAnsi" w:hint="eastAsia"/>
              <w:noProof/>
              <w:sz w:val="24"/>
              <w:szCs w:val="24"/>
            </w:rPr>
          </w:pPr>
          <w:hyperlink w:anchor="_Toc228455648" w:history="1">
            <w:r w:rsidRPr="005B4F41">
              <w:rPr>
                <w:rStyle w:val="af4"/>
                <w:rFonts w:cs="Arial" w:hint="eastAsia"/>
                <w:noProof/>
                <w:sz w:val="24"/>
                <w:szCs w:val="24"/>
              </w:rPr>
              <w:t>Subject</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_Toc228455648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1</w:t>
            </w:r>
            <w:r w:rsidRPr="005B4F41">
              <w:rPr>
                <w:rFonts w:hint="eastAsia"/>
                <w:noProof/>
                <w:webHidden/>
                <w:sz w:val="24"/>
                <w:szCs w:val="24"/>
              </w:rPr>
              <w:fldChar w:fldCharType="end"/>
            </w:r>
          </w:hyperlink>
        </w:p>
        <w:p w14:paraId="34538DC7" w14:textId="1EC9748A" w:rsidR="004F7CF5" w:rsidRPr="005B4F41" w:rsidRDefault="004F7CF5" w:rsidP="005B4F41">
          <w:pPr>
            <w:pStyle w:val="TOC2"/>
            <w:tabs>
              <w:tab w:val="right" w:leader="dot" w:pos="8296"/>
            </w:tabs>
            <w:spacing w:line="300" w:lineRule="auto"/>
            <w:rPr>
              <w:rFonts w:asciiTheme="minorHAnsi" w:hAnsiTheme="minorHAnsi" w:hint="eastAsia"/>
              <w:noProof/>
              <w:sz w:val="24"/>
              <w:szCs w:val="24"/>
            </w:rPr>
          </w:pPr>
          <w:hyperlink w:anchor="_Toc228455649" w:history="1">
            <w:r w:rsidRPr="005B4F41">
              <w:rPr>
                <w:rStyle w:val="af4"/>
                <w:rFonts w:cs="Arial" w:hint="eastAsia"/>
                <w:iCs/>
                <w:noProof/>
                <w:sz w:val="24"/>
                <w:szCs w:val="24"/>
              </w:rPr>
              <w:t>Data collection</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_Toc228455649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2</w:t>
            </w:r>
            <w:r w:rsidRPr="005B4F41">
              <w:rPr>
                <w:rFonts w:hint="eastAsia"/>
                <w:noProof/>
                <w:webHidden/>
                <w:sz w:val="24"/>
                <w:szCs w:val="24"/>
              </w:rPr>
              <w:fldChar w:fldCharType="end"/>
            </w:r>
          </w:hyperlink>
        </w:p>
        <w:p w14:paraId="0472E43D" w14:textId="623A6CA3" w:rsidR="004F7CF5" w:rsidRPr="005B4F41" w:rsidRDefault="004F7CF5" w:rsidP="005B4F41">
          <w:pPr>
            <w:pStyle w:val="TOC1"/>
            <w:tabs>
              <w:tab w:val="right" w:leader="dot" w:pos="8296"/>
            </w:tabs>
            <w:spacing w:line="300" w:lineRule="auto"/>
            <w:rPr>
              <w:rStyle w:val="af4"/>
              <w:noProof/>
              <w:sz w:val="24"/>
              <w:szCs w:val="24"/>
            </w:rPr>
          </w:pPr>
          <w:hyperlink w:anchor="_Toc228455650" w:history="1">
            <w:r w:rsidRPr="005B4F41">
              <w:rPr>
                <w:rStyle w:val="af4"/>
                <w:rFonts w:hint="eastAsia"/>
                <w:b/>
                <w:bCs/>
                <w:noProof/>
                <w:sz w:val="24"/>
                <w:szCs w:val="24"/>
              </w:rPr>
              <w:t>Supplementary Tables</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_Toc228455650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7</w:t>
            </w:r>
            <w:r w:rsidRPr="005B4F41">
              <w:rPr>
                <w:rFonts w:hint="eastAsia"/>
                <w:noProof/>
                <w:webHidden/>
                <w:sz w:val="24"/>
                <w:szCs w:val="24"/>
              </w:rPr>
              <w:fldChar w:fldCharType="end"/>
            </w:r>
          </w:hyperlink>
        </w:p>
        <w:p w14:paraId="448C3AF0" w14:textId="58E63D6B" w:rsidR="004F7CF5" w:rsidRPr="005B4F41" w:rsidRDefault="004F7CF5" w:rsidP="005B4F41">
          <w:pPr>
            <w:pStyle w:val="af5"/>
            <w:tabs>
              <w:tab w:val="right" w:leader="dot" w:pos="8296"/>
            </w:tabs>
            <w:spacing w:line="300" w:lineRule="auto"/>
            <w:ind w:left="900" w:hanging="480"/>
            <w:rPr>
              <w:rFonts w:asciiTheme="minorHAnsi" w:hAnsiTheme="minorHAnsi" w:hint="eastAsia"/>
              <w:noProof/>
              <w:sz w:val="24"/>
              <w:szCs w:val="24"/>
            </w:rPr>
          </w:pPr>
          <w:hyperlink w:anchor="_Toc228455861" w:history="1">
            <w:r w:rsidRPr="005B4F41">
              <w:rPr>
                <w:rStyle w:val="af4"/>
                <w:rFonts w:cs="Arial" w:hint="eastAsia"/>
                <w:noProof/>
                <w:sz w:val="24"/>
                <w:szCs w:val="24"/>
              </w:rPr>
              <w:t>Supplementary Table 1. Distribution of study participants across the 13 multicenter recruitment sites stratified by clinical stage.</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_Toc228455861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7</w:t>
            </w:r>
            <w:r w:rsidRPr="005B4F41">
              <w:rPr>
                <w:rFonts w:hint="eastAsia"/>
                <w:noProof/>
                <w:webHidden/>
                <w:sz w:val="24"/>
                <w:szCs w:val="24"/>
              </w:rPr>
              <w:fldChar w:fldCharType="end"/>
            </w:r>
          </w:hyperlink>
        </w:p>
        <w:p w14:paraId="52BDDE75" w14:textId="07E1A3BA" w:rsidR="004F7CF5" w:rsidRPr="005B4F41" w:rsidRDefault="004F7CF5" w:rsidP="005B4F41">
          <w:pPr>
            <w:pStyle w:val="af5"/>
            <w:tabs>
              <w:tab w:val="right" w:leader="dot" w:pos="8296"/>
            </w:tabs>
            <w:spacing w:line="300" w:lineRule="auto"/>
            <w:ind w:left="900" w:hanging="480"/>
            <w:rPr>
              <w:rFonts w:asciiTheme="minorHAnsi" w:hAnsiTheme="minorHAnsi" w:hint="eastAsia"/>
              <w:noProof/>
              <w:sz w:val="24"/>
              <w:szCs w:val="24"/>
            </w:rPr>
          </w:pPr>
          <w:hyperlink w:anchor="_Toc228455862" w:history="1">
            <w:r w:rsidRPr="005B4F41">
              <w:rPr>
                <w:rStyle w:val="af4"/>
                <w:rFonts w:cs="Arial" w:hint="eastAsia"/>
                <w:noProof/>
                <w:sz w:val="24"/>
                <w:szCs w:val="24"/>
              </w:rPr>
              <w:t xml:space="preserve">Supplementary Table 2. </w:t>
            </w:r>
            <w:r w:rsidRPr="005B4F41">
              <w:rPr>
                <w:rStyle w:val="af4"/>
                <w:rFonts w:cs="Arial" w:hint="eastAsia"/>
                <w:iCs/>
                <w:noProof/>
                <w:sz w:val="24"/>
                <w:szCs w:val="24"/>
              </w:rPr>
              <w:t>Pairwise Kolmogorov-Smirnov (K-S) test results comparing the distributions of degree across clinical stages.</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_Toc228455862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7</w:t>
            </w:r>
            <w:r w:rsidRPr="005B4F41">
              <w:rPr>
                <w:rFonts w:hint="eastAsia"/>
                <w:noProof/>
                <w:webHidden/>
                <w:sz w:val="24"/>
                <w:szCs w:val="24"/>
              </w:rPr>
              <w:fldChar w:fldCharType="end"/>
            </w:r>
          </w:hyperlink>
        </w:p>
        <w:p w14:paraId="590BFD1A" w14:textId="5F9151E0" w:rsidR="004F7CF5" w:rsidRPr="005B4F41" w:rsidRDefault="004F7CF5" w:rsidP="005B4F41">
          <w:pPr>
            <w:pStyle w:val="af5"/>
            <w:tabs>
              <w:tab w:val="right" w:leader="dot" w:pos="8296"/>
            </w:tabs>
            <w:spacing w:line="300" w:lineRule="auto"/>
            <w:ind w:left="900" w:hanging="480"/>
            <w:rPr>
              <w:rFonts w:asciiTheme="minorHAnsi" w:hAnsiTheme="minorHAnsi" w:hint="eastAsia"/>
              <w:noProof/>
              <w:sz w:val="24"/>
              <w:szCs w:val="24"/>
            </w:rPr>
          </w:pPr>
          <w:hyperlink w:anchor="_Toc228455863" w:history="1">
            <w:r w:rsidRPr="005B4F41">
              <w:rPr>
                <w:rStyle w:val="af4"/>
                <w:rFonts w:cs="Arial" w:hint="eastAsia"/>
                <w:noProof/>
                <w:sz w:val="24"/>
                <w:szCs w:val="24"/>
              </w:rPr>
              <w:t>Supplementary Table 3. Reconnection edge counts of core high-reconnect taxa</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_Toc228455863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8</w:t>
            </w:r>
            <w:r w:rsidRPr="005B4F41">
              <w:rPr>
                <w:rFonts w:hint="eastAsia"/>
                <w:noProof/>
                <w:webHidden/>
                <w:sz w:val="24"/>
                <w:szCs w:val="24"/>
              </w:rPr>
              <w:fldChar w:fldCharType="end"/>
            </w:r>
          </w:hyperlink>
        </w:p>
        <w:p w14:paraId="068978F5" w14:textId="246551DB" w:rsidR="00D40827" w:rsidRPr="005B4F41" w:rsidRDefault="004F7CF5" w:rsidP="005B4F41">
          <w:pPr>
            <w:pStyle w:val="TOC1"/>
            <w:tabs>
              <w:tab w:val="right" w:leader="dot" w:pos="8296"/>
            </w:tabs>
            <w:spacing w:line="300" w:lineRule="auto"/>
            <w:rPr>
              <w:rFonts w:cs="Arial"/>
              <w:noProof/>
              <w:sz w:val="24"/>
              <w:szCs w:val="24"/>
            </w:rPr>
          </w:pPr>
          <w:hyperlink w:anchor="_Toc228455651" w:history="1">
            <w:r w:rsidRPr="005B4F41">
              <w:rPr>
                <w:rStyle w:val="af4"/>
                <w:rFonts w:hint="eastAsia"/>
                <w:b/>
                <w:bCs/>
                <w:noProof/>
                <w:sz w:val="24"/>
                <w:szCs w:val="24"/>
              </w:rPr>
              <w:t>Supplementary Figures</w:t>
            </w:r>
            <w:r w:rsidRPr="005B4F41">
              <w:rPr>
                <w:rFonts w:hint="eastAsia"/>
                <w:noProof/>
                <w:webHidden/>
                <w:sz w:val="24"/>
                <w:szCs w:val="24"/>
              </w:rPr>
              <w:tab/>
            </w:r>
            <w:r w:rsidRPr="005B4F41">
              <w:rPr>
                <w:rFonts w:hint="eastAsia"/>
                <w:noProof/>
                <w:webHidden/>
                <w:sz w:val="24"/>
                <w:szCs w:val="24"/>
              </w:rPr>
              <w:fldChar w:fldCharType="begin"/>
            </w:r>
            <w:r w:rsidRPr="005B4F41">
              <w:rPr>
                <w:rFonts w:hint="eastAsia"/>
                <w:noProof/>
                <w:webHidden/>
                <w:sz w:val="24"/>
                <w:szCs w:val="24"/>
              </w:rPr>
              <w:instrText xml:space="preserve"> </w:instrText>
            </w:r>
            <w:r w:rsidRPr="005B4F41">
              <w:rPr>
                <w:noProof/>
                <w:webHidden/>
                <w:sz w:val="24"/>
                <w:szCs w:val="24"/>
              </w:rPr>
              <w:instrText>PAGEREF _Toc228455651 \h</w:instrText>
            </w:r>
            <w:r w:rsidRPr="005B4F41">
              <w:rPr>
                <w:rFonts w:hint="eastAsia"/>
                <w:noProof/>
                <w:webHidden/>
                <w:sz w:val="24"/>
                <w:szCs w:val="24"/>
              </w:rPr>
              <w:instrText xml:space="preserve"> </w:instrText>
            </w:r>
            <w:r w:rsidRPr="005B4F41">
              <w:rPr>
                <w:rFonts w:hint="eastAsia"/>
                <w:noProof/>
                <w:webHidden/>
                <w:sz w:val="24"/>
                <w:szCs w:val="24"/>
              </w:rPr>
            </w:r>
            <w:r w:rsidRPr="005B4F41">
              <w:rPr>
                <w:rFonts w:hint="eastAsia"/>
                <w:noProof/>
                <w:webHidden/>
                <w:sz w:val="24"/>
                <w:szCs w:val="24"/>
              </w:rPr>
              <w:fldChar w:fldCharType="separate"/>
            </w:r>
            <w:r w:rsidR="00130177" w:rsidRPr="005B4F41">
              <w:rPr>
                <w:noProof/>
                <w:webHidden/>
                <w:sz w:val="24"/>
                <w:szCs w:val="24"/>
              </w:rPr>
              <w:t>9</w:t>
            </w:r>
            <w:r w:rsidRPr="005B4F41">
              <w:rPr>
                <w:rFonts w:hint="eastAsia"/>
                <w:noProof/>
                <w:webHidden/>
                <w:sz w:val="24"/>
                <w:szCs w:val="24"/>
              </w:rPr>
              <w:fldChar w:fldCharType="end"/>
            </w:r>
          </w:hyperlink>
          <w:r w:rsidR="00D40827" w:rsidRPr="005B4F41">
            <w:rPr>
              <w:rFonts w:cs="Arial"/>
              <w:b/>
              <w:bCs/>
              <w:sz w:val="24"/>
              <w:szCs w:val="24"/>
              <w:lang w:val="zh-CN"/>
            </w:rPr>
            <w:fldChar w:fldCharType="end"/>
          </w:r>
          <w:r w:rsidR="00D40827" w:rsidRPr="005B4F41">
            <w:rPr>
              <w:rFonts w:cs="Arial"/>
              <w:b/>
              <w:bCs/>
              <w:sz w:val="24"/>
              <w:szCs w:val="24"/>
              <w:lang w:val="zh-CN"/>
            </w:rPr>
            <w:fldChar w:fldCharType="begin"/>
          </w:r>
          <w:r w:rsidR="00D40827" w:rsidRPr="005B4F41">
            <w:rPr>
              <w:rFonts w:cs="Arial"/>
              <w:b/>
              <w:bCs/>
              <w:sz w:val="24"/>
              <w:szCs w:val="24"/>
              <w:lang w:val="zh-CN"/>
            </w:rPr>
            <w:instrText xml:space="preserve"> TOC \h \z \c "Supplementary Figure" </w:instrText>
          </w:r>
          <w:r w:rsidR="00D40827" w:rsidRPr="005B4F41">
            <w:rPr>
              <w:rFonts w:cs="Arial"/>
              <w:b/>
              <w:bCs/>
              <w:sz w:val="24"/>
              <w:szCs w:val="24"/>
              <w:lang w:val="zh-CN"/>
            </w:rPr>
            <w:fldChar w:fldCharType="separate"/>
          </w:r>
        </w:p>
        <w:p w14:paraId="62F200FB" w14:textId="5F1CE238"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0" w:history="1">
            <w:r w:rsidRPr="005B4F41">
              <w:rPr>
                <w:rStyle w:val="af4"/>
                <w:rFonts w:cs="Arial"/>
                <w:noProof/>
                <w:sz w:val="24"/>
                <w:szCs w:val="24"/>
              </w:rPr>
              <w:t>Supplementary Figure 1 Flow diagram of study participant selection and cohort design.</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_Toc227337870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12</w:t>
            </w:r>
            <w:r w:rsidRPr="005B4F41">
              <w:rPr>
                <w:rFonts w:cs="Arial"/>
                <w:noProof/>
                <w:webHidden/>
                <w:sz w:val="24"/>
                <w:szCs w:val="24"/>
              </w:rPr>
              <w:fldChar w:fldCharType="end"/>
            </w:r>
          </w:hyperlink>
        </w:p>
        <w:p w14:paraId="791C7CF0" w14:textId="3B91A630"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1" w:history="1">
            <w:r w:rsidRPr="005B4F41">
              <w:rPr>
                <w:rStyle w:val="af4"/>
                <w:rFonts w:cs="Arial"/>
                <w:noProof/>
                <w:sz w:val="24"/>
                <w:szCs w:val="24"/>
              </w:rPr>
              <w:t>Supplementary Figure 2. Marginal variance partitioning of the salivary microbiome driven by host and environmental metadata.</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_Toc227337871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13</w:t>
            </w:r>
            <w:r w:rsidRPr="005B4F41">
              <w:rPr>
                <w:rFonts w:cs="Arial"/>
                <w:noProof/>
                <w:webHidden/>
                <w:sz w:val="24"/>
                <w:szCs w:val="24"/>
              </w:rPr>
              <w:fldChar w:fldCharType="end"/>
            </w:r>
          </w:hyperlink>
        </w:p>
        <w:p w14:paraId="54F208A2" w14:textId="13C23542"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2" w:history="1">
            <w:r w:rsidRPr="005B4F41">
              <w:rPr>
                <w:rStyle w:val="af4"/>
                <w:rFonts w:cs="Arial"/>
                <w:noProof/>
                <w:sz w:val="24"/>
                <w:szCs w:val="24"/>
              </w:rPr>
              <w:t>Supplementary Figure 3. Constrained variance partitioning of the salivary microbiome via canonical analysis of principal coordinates (CAP).</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_Toc227337872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13</w:t>
            </w:r>
            <w:r w:rsidRPr="005B4F41">
              <w:rPr>
                <w:rFonts w:cs="Arial"/>
                <w:noProof/>
                <w:webHidden/>
                <w:sz w:val="24"/>
                <w:szCs w:val="24"/>
              </w:rPr>
              <w:fldChar w:fldCharType="end"/>
            </w:r>
          </w:hyperlink>
        </w:p>
        <w:p w14:paraId="64421C05" w14:textId="3E7BD33E"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3" w:history="1">
            <w:r w:rsidRPr="005B4F41">
              <w:rPr>
                <w:rStyle w:val="af4"/>
                <w:rFonts w:cs="Arial"/>
                <w:noProof/>
                <w:sz w:val="24"/>
                <w:szCs w:val="24"/>
              </w:rPr>
              <w:t>Supplementary Figure 4. Calibration curve of the combined predictive model.</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_Toc227337873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14</w:t>
            </w:r>
            <w:r w:rsidRPr="005B4F41">
              <w:rPr>
                <w:rFonts w:cs="Arial"/>
                <w:noProof/>
                <w:webHidden/>
                <w:sz w:val="24"/>
                <w:szCs w:val="24"/>
              </w:rPr>
              <w:fldChar w:fldCharType="end"/>
            </w:r>
          </w:hyperlink>
        </w:p>
        <w:p w14:paraId="5739DE9B" w14:textId="20109C65"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4" w:history="1">
            <w:r w:rsidRPr="005B4F41">
              <w:rPr>
                <w:rStyle w:val="af4"/>
                <w:rFonts w:cs="Arial"/>
                <w:noProof/>
                <w:sz w:val="24"/>
                <w:szCs w:val="24"/>
              </w:rPr>
              <w:t>Supplementary Figure 5. Nomogram of the combined predictive model for estimating the risk of UGIC progression.</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_Toc227337874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14</w:t>
            </w:r>
            <w:r w:rsidRPr="005B4F41">
              <w:rPr>
                <w:rFonts w:cs="Arial"/>
                <w:noProof/>
                <w:webHidden/>
                <w:sz w:val="24"/>
                <w:szCs w:val="24"/>
              </w:rPr>
              <w:fldChar w:fldCharType="end"/>
            </w:r>
          </w:hyperlink>
        </w:p>
        <w:p w14:paraId="621DC4A3" w14:textId="6B44309E"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5" w:history="1">
            <w:r w:rsidRPr="005B4F41">
              <w:rPr>
                <w:rStyle w:val="af4"/>
                <w:rFonts w:cs="Arial"/>
                <w:noProof/>
                <w:sz w:val="24"/>
                <w:szCs w:val="24"/>
              </w:rPr>
              <w:t>Supplementary Figure 6. Diagnostic performance of the predictive models for distinguishing LGIN from HC.</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_Toc227337875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15</w:t>
            </w:r>
            <w:r w:rsidRPr="005B4F41">
              <w:rPr>
                <w:rFonts w:cs="Arial"/>
                <w:noProof/>
                <w:webHidden/>
                <w:sz w:val="24"/>
                <w:szCs w:val="24"/>
              </w:rPr>
              <w:fldChar w:fldCharType="end"/>
            </w:r>
          </w:hyperlink>
        </w:p>
        <w:p w14:paraId="2B0D835F" w14:textId="46051263" w:rsidR="00D40827" w:rsidRPr="005B4F41" w:rsidRDefault="00D40827" w:rsidP="005B4F41">
          <w:pPr>
            <w:pStyle w:val="af5"/>
            <w:tabs>
              <w:tab w:val="right" w:leader="dot" w:pos="8296"/>
            </w:tabs>
            <w:spacing w:line="300" w:lineRule="auto"/>
            <w:ind w:left="900" w:hanging="480"/>
            <w:rPr>
              <w:rFonts w:cs="Arial"/>
              <w:noProof/>
              <w:sz w:val="24"/>
              <w:szCs w:val="24"/>
            </w:rPr>
          </w:pPr>
          <w:hyperlink w:anchor="_Toc227337876" w:history="1">
            <w:r w:rsidRPr="005B4F41">
              <w:rPr>
                <w:rStyle w:val="af4"/>
                <w:rFonts w:cs="Arial"/>
                <w:noProof/>
                <w:sz w:val="24"/>
                <w:szCs w:val="24"/>
              </w:rPr>
              <w:t>Supplementary Figure 7. Diagnostic performance of the predictive models for distinguishing HGIN from HC.</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_Toc227337876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16</w:t>
            </w:r>
            <w:r w:rsidRPr="005B4F41">
              <w:rPr>
                <w:rFonts w:cs="Arial"/>
                <w:noProof/>
                <w:webHidden/>
                <w:sz w:val="24"/>
                <w:szCs w:val="24"/>
              </w:rPr>
              <w:fldChar w:fldCharType="end"/>
            </w:r>
          </w:hyperlink>
        </w:p>
        <w:p w14:paraId="4075AB67" w14:textId="356E1189" w:rsidR="00D40827" w:rsidRPr="005B4F41" w:rsidRDefault="00D40827" w:rsidP="005B4F41">
          <w:pPr>
            <w:pStyle w:val="af5"/>
            <w:tabs>
              <w:tab w:val="right" w:leader="dot" w:pos="8296"/>
            </w:tabs>
            <w:spacing w:line="300" w:lineRule="auto"/>
            <w:ind w:left="900" w:hanging="480"/>
            <w:rPr>
              <w:sz w:val="24"/>
              <w:szCs w:val="24"/>
            </w:rPr>
          </w:pPr>
          <w:hyperlink w:anchor="_Toc227337877" w:history="1">
            <w:r w:rsidRPr="005B4F41">
              <w:rPr>
                <w:rStyle w:val="af4"/>
                <w:rFonts w:cs="Arial"/>
                <w:noProof/>
                <w:sz w:val="24"/>
                <w:szCs w:val="24"/>
              </w:rPr>
              <w:t>Supplementary Figure 8. Diagnostic performance of the predictive models for distinguishing UGIC from HC.</w:t>
            </w:r>
            <w:r w:rsidRPr="005B4F41">
              <w:rPr>
                <w:rFonts w:cs="Arial"/>
                <w:noProof/>
                <w:webHidden/>
                <w:sz w:val="24"/>
                <w:szCs w:val="24"/>
              </w:rPr>
              <w:tab/>
            </w:r>
            <w:r w:rsidRPr="005B4F41">
              <w:rPr>
                <w:rFonts w:cs="Arial"/>
                <w:noProof/>
                <w:webHidden/>
                <w:sz w:val="24"/>
                <w:szCs w:val="24"/>
              </w:rPr>
              <w:fldChar w:fldCharType="begin"/>
            </w:r>
            <w:r w:rsidRPr="005B4F41">
              <w:rPr>
                <w:rFonts w:cs="Arial"/>
                <w:noProof/>
                <w:webHidden/>
                <w:sz w:val="24"/>
                <w:szCs w:val="24"/>
              </w:rPr>
              <w:instrText xml:space="preserve"> PAGEREF _Toc227337877 \h </w:instrText>
            </w:r>
            <w:r w:rsidRPr="005B4F41">
              <w:rPr>
                <w:rFonts w:cs="Arial"/>
                <w:noProof/>
                <w:webHidden/>
                <w:sz w:val="24"/>
                <w:szCs w:val="24"/>
              </w:rPr>
            </w:r>
            <w:r w:rsidRPr="005B4F41">
              <w:rPr>
                <w:rFonts w:cs="Arial"/>
                <w:noProof/>
                <w:webHidden/>
                <w:sz w:val="24"/>
                <w:szCs w:val="24"/>
              </w:rPr>
              <w:fldChar w:fldCharType="separate"/>
            </w:r>
            <w:r w:rsidRPr="005B4F41">
              <w:rPr>
                <w:rFonts w:cs="Arial"/>
                <w:noProof/>
                <w:webHidden/>
                <w:sz w:val="24"/>
                <w:szCs w:val="24"/>
              </w:rPr>
              <w:t>17</w:t>
            </w:r>
            <w:r w:rsidRPr="005B4F41">
              <w:rPr>
                <w:rFonts w:cs="Arial"/>
                <w:noProof/>
                <w:webHidden/>
                <w:sz w:val="24"/>
                <w:szCs w:val="24"/>
              </w:rPr>
              <w:fldChar w:fldCharType="end"/>
            </w:r>
          </w:hyperlink>
        </w:p>
        <w:p w14:paraId="1E54D957" w14:textId="77777777" w:rsidR="004F7CF5" w:rsidRPr="005B4F41" w:rsidRDefault="004F7CF5" w:rsidP="005B4F41">
          <w:pPr>
            <w:spacing w:line="300" w:lineRule="auto"/>
            <w:rPr>
              <w:sz w:val="24"/>
              <w:szCs w:val="24"/>
            </w:rPr>
          </w:pPr>
        </w:p>
        <w:p w14:paraId="5BC08C0C" w14:textId="6CB212D5" w:rsidR="00D40827" w:rsidRDefault="00D40827" w:rsidP="005B4F41">
          <w:pPr>
            <w:spacing w:line="300" w:lineRule="auto"/>
          </w:pPr>
          <w:r w:rsidRPr="005B4F41">
            <w:rPr>
              <w:rFonts w:cs="Arial"/>
              <w:b/>
              <w:bCs/>
              <w:sz w:val="24"/>
              <w:szCs w:val="24"/>
              <w:lang w:val="zh-CN"/>
            </w:rPr>
            <w:fldChar w:fldCharType="end"/>
          </w:r>
        </w:p>
      </w:sdtContent>
    </w:sdt>
    <w:p w14:paraId="54F1F182" w14:textId="77777777" w:rsidR="002D4FF5" w:rsidRDefault="002D4FF5">
      <w:pPr>
        <w:widowControl/>
        <w:jc w:val="left"/>
        <w:rPr>
          <w:rFonts w:cs="Arial"/>
          <w:b/>
          <w:bCs/>
          <w:szCs w:val="21"/>
        </w:rPr>
        <w:sectPr w:rsidR="002D4FF5" w:rsidSect="00DB2CA1">
          <w:pgSz w:w="11906" w:h="16838"/>
          <w:pgMar w:top="1440" w:right="1800" w:bottom="1440" w:left="1800" w:header="851" w:footer="992" w:gutter="0"/>
          <w:cols w:space="425"/>
          <w:docGrid w:type="lines" w:linePitch="312"/>
        </w:sectPr>
      </w:pPr>
    </w:p>
    <w:p w14:paraId="6FE5906A" w14:textId="2B7162F2" w:rsidR="00C62CA6" w:rsidRPr="008725C3" w:rsidRDefault="00056C8D" w:rsidP="008725C3">
      <w:pPr>
        <w:outlineLvl w:val="0"/>
        <w:rPr>
          <w:b/>
          <w:bCs/>
          <w:sz w:val="28"/>
          <w:szCs w:val="28"/>
        </w:rPr>
      </w:pPr>
      <w:bookmarkStart w:id="0" w:name="_Toc227337620"/>
      <w:bookmarkStart w:id="1" w:name="_Toc228455647"/>
      <w:r w:rsidRPr="008725C3">
        <w:rPr>
          <w:b/>
          <w:bCs/>
          <w:sz w:val="28"/>
          <w:szCs w:val="28"/>
        </w:rPr>
        <w:lastRenderedPageBreak/>
        <w:t>Supplementary Methods</w:t>
      </w:r>
      <w:bookmarkEnd w:id="0"/>
      <w:bookmarkEnd w:id="1"/>
    </w:p>
    <w:p w14:paraId="059CFAF3" w14:textId="537E4605" w:rsidR="00E01737" w:rsidRPr="001F4858" w:rsidRDefault="00E01737" w:rsidP="008725C3">
      <w:pPr>
        <w:spacing w:line="480" w:lineRule="auto"/>
        <w:outlineLvl w:val="1"/>
        <w:rPr>
          <w:rFonts w:cs="Arial"/>
          <w:b/>
          <w:bCs/>
          <w:szCs w:val="21"/>
          <w:u w:val="single"/>
        </w:rPr>
      </w:pPr>
      <w:bookmarkStart w:id="2" w:name="_Toc227337621"/>
      <w:bookmarkStart w:id="3" w:name="_Toc228455648"/>
      <w:r w:rsidRPr="001F4858">
        <w:rPr>
          <w:rFonts w:cs="Arial"/>
          <w:b/>
          <w:bCs/>
          <w:szCs w:val="21"/>
          <w:u w:val="single"/>
        </w:rPr>
        <w:t>Subject</w:t>
      </w:r>
      <w:bookmarkEnd w:id="2"/>
      <w:bookmarkEnd w:id="3"/>
    </w:p>
    <w:p w14:paraId="7C573A1E" w14:textId="2A1BBFE2" w:rsidR="00056C8D" w:rsidRPr="001F4858" w:rsidRDefault="00056C8D" w:rsidP="00056C8D">
      <w:pPr>
        <w:spacing w:line="480" w:lineRule="auto"/>
        <w:rPr>
          <w:rFonts w:cs="Arial"/>
          <w:b/>
          <w:bCs/>
          <w:i/>
          <w:iCs/>
          <w:szCs w:val="21"/>
        </w:rPr>
      </w:pPr>
      <w:r w:rsidRPr="001F4858">
        <w:rPr>
          <w:rFonts w:cs="Arial"/>
          <w:b/>
          <w:bCs/>
          <w:i/>
          <w:iCs/>
          <w:szCs w:val="21"/>
        </w:rPr>
        <w:t>Study cohort</w:t>
      </w:r>
    </w:p>
    <w:p w14:paraId="35C4F6C6" w14:textId="663CE388" w:rsidR="00056C8D" w:rsidRPr="001F4858" w:rsidRDefault="00A5793A" w:rsidP="00875DFB">
      <w:pPr>
        <w:spacing w:line="480" w:lineRule="auto"/>
        <w:rPr>
          <w:rFonts w:cs="Arial"/>
          <w:szCs w:val="21"/>
        </w:rPr>
      </w:pPr>
      <w:bookmarkStart w:id="4" w:name="OLE_LINK8"/>
      <w:r w:rsidRPr="001F4858">
        <w:rPr>
          <w:rFonts w:cs="Arial"/>
          <w:szCs w:val="21"/>
        </w:rPr>
        <w:t>Participants in this study were enrolled from a multicenter upper digestive tract cancer screening initiative conducted in the general population of Shandong Province, China</w:t>
      </w:r>
      <w:r w:rsidR="00E01737" w:rsidRPr="001F4858">
        <w:rPr>
          <w:rFonts w:cs="Arial"/>
          <w:szCs w:val="21"/>
        </w:rPr>
        <w:t>. Initiated in March 2024 with a planned three-year duration, the recruitment phase remains active (state 2026).</w:t>
      </w:r>
      <w:bookmarkEnd w:id="4"/>
    </w:p>
    <w:p w14:paraId="7CC8EDA8" w14:textId="6410FB52" w:rsidR="00E01737" w:rsidRPr="001F4858" w:rsidRDefault="00E01737" w:rsidP="00056C8D">
      <w:pPr>
        <w:spacing w:line="480" w:lineRule="auto"/>
        <w:rPr>
          <w:rFonts w:cs="Arial"/>
          <w:b/>
          <w:i/>
          <w:szCs w:val="21"/>
        </w:rPr>
      </w:pPr>
      <w:r w:rsidRPr="001F4858">
        <w:rPr>
          <w:rFonts w:cs="Arial"/>
          <w:b/>
          <w:i/>
          <w:szCs w:val="21"/>
        </w:rPr>
        <w:t>Eligibility</w:t>
      </w:r>
      <w:r w:rsidRPr="001F4858">
        <w:rPr>
          <w:rFonts w:cs="Arial"/>
          <w:b/>
          <w:i/>
          <w:spacing w:val="-5"/>
          <w:szCs w:val="21"/>
        </w:rPr>
        <w:t xml:space="preserve"> </w:t>
      </w:r>
      <w:r w:rsidRPr="001F4858">
        <w:rPr>
          <w:rFonts w:cs="Arial"/>
          <w:b/>
          <w:i/>
          <w:szCs w:val="21"/>
        </w:rPr>
        <w:t>criteria</w:t>
      </w:r>
      <w:r w:rsidR="00CE6C89" w:rsidRPr="001F4858">
        <w:rPr>
          <w:rFonts w:cs="Arial"/>
          <w:b/>
          <w:i/>
          <w:szCs w:val="21"/>
        </w:rPr>
        <w:t>, fo</w:t>
      </w:r>
      <w:r w:rsidRPr="001F4858">
        <w:rPr>
          <w:rFonts w:cs="Arial"/>
          <w:b/>
          <w:i/>
          <w:szCs w:val="21"/>
        </w:rPr>
        <w:t>llow-up</w:t>
      </w:r>
      <w:r w:rsidR="00CE6C89" w:rsidRPr="001F4858">
        <w:rPr>
          <w:rFonts w:cs="Arial"/>
          <w:b/>
          <w:i/>
          <w:szCs w:val="21"/>
        </w:rPr>
        <w:t>, ethics</w:t>
      </w:r>
    </w:p>
    <w:p w14:paraId="2CDC373A" w14:textId="1319DF81" w:rsidR="00635995" w:rsidRPr="001F4858" w:rsidRDefault="008F4994" w:rsidP="004D77CB">
      <w:pPr>
        <w:spacing w:line="480" w:lineRule="auto"/>
        <w:rPr>
          <w:rFonts w:cs="Arial"/>
          <w:bCs/>
          <w:iCs/>
          <w:szCs w:val="21"/>
        </w:rPr>
      </w:pPr>
      <w:r w:rsidRPr="001F4858">
        <w:rPr>
          <w:rFonts w:cs="Arial"/>
          <w:bCs/>
          <w:iCs/>
          <w:szCs w:val="21"/>
        </w:rPr>
        <w:t xml:space="preserve">The recruitment followed a standardized workflow as depicted in </w:t>
      </w:r>
      <w:r w:rsidRPr="001650B4">
        <w:rPr>
          <w:rFonts w:cs="Arial"/>
          <w:b/>
          <w:iCs/>
          <w:szCs w:val="21"/>
        </w:rPr>
        <w:t>Fig</w:t>
      </w:r>
      <w:r w:rsidR="00E45242" w:rsidRPr="001650B4">
        <w:rPr>
          <w:rFonts w:cs="Arial" w:hint="eastAsia"/>
          <w:b/>
          <w:iCs/>
          <w:szCs w:val="21"/>
        </w:rPr>
        <w:t>.</w:t>
      </w:r>
      <w:r w:rsidRPr="001650B4">
        <w:rPr>
          <w:rFonts w:cs="Arial"/>
          <w:b/>
          <w:iCs/>
          <w:szCs w:val="21"/>
        </w:rPr>
        <w:t>S</w:t>
      </w:r>
      <w:r w:rsidR="00E45242" w:rsidRPr="001650B4">
        <w:rPr>
          <w:rFonts w:cs="Arial" w:hint="eastAsia"/>
          <w:b/>
          <w:iCs/>
          <w:szCs w:val="21"/>
        </w:rPr>
        <w:t>1</w:t>
      </w:r>
      <w:r w:rsidRPr="001F4858">
        <w:rPr>
          <w:rFonts w:cs="Arial"/>
          <w:bCs/>
          <w:iCs/>
          <w:szCs w:val="21"/>
        </w:rPr>
        <w:t xml:space="preserve">. </w:t>
      </w:r>
      <w:r w:rsidR="004D77CB" w:rsidRPr="001F4858">
        <w:rPr>
          <w:rFonts w:cs="Arial"/>
          <w:bCs/>
          <w:iCs/>
          <w:szCs w:val="21"/>
        </w:rPr>
        <w:t>Eligible participants were required to meet the following inclusion criteria: (</w:t>
      </w:r>
      <w:proofErr w:type="spellStart"/>
      <w:r w:rsidR="004D77CB" w:rsidRPr="001F4858">
        <w:rPr>
          <w:rFonts w:cs="Arial"/>
          <w:bCs/>
          <w:iCs/>
          <w:szCs w:val="21"/>
        </w:rPr>
        <w:t>i</w:t>
      </w:r>
      <w:proofErr w:type="spellEnd"/>
      <w:r w:rsidR="004D77CB" w:rsidRPr="001F4858">
        <w:rPr>
          <w:rFonts w:cs="Arial"/>
          <w:bCs/>
          <w:iCs/>
          <w:szCs w:val="21"/>
        </w:rPr>
        <w:t>) local permanent residents aged 40 to 69 years, (ii) voluntary participation with signed informed consent, and (iii) the capacity to complete structured questionnaires.</w:t>
      </w:r>
      <w:r w:rsidR="00635995" w:rsidRPr="001F4858">
        <w:rPr>
          <w:rFonts w:cs="Arial"/>
          <w:bCs/>
          <w:iCs/>
          <w:szCs w:val="21"/>
        </w:rPr>
        <w:t xml:space="preserve"> </w:t>
      </w:r>
      <w:r w:rsidR="004D77CB" w:rsidRPr="001F4858">
        <w:rPr>
          <w:rFonts w:cs="Arial"/>
          <w:bCs/>
          <w:iCs/>
          <w:szCs w:val="21"/>
        </w:rPr>
        <w:t>Conversely, we excluded individuals based on the following criteria: (</w:t>
      </w:r>
      <w:proofErr w:type="spellStart"/>
      <w:r w:rsidR="004D77CB" w:rsidRPr="001F4858">
        <w:rPr>
          <w:rFonts w:cs="Arial"/>
          <w:bCs/>
          <w:iCs/>
          <w:szCs w:val="21"/>
        </w:rPr>
        <w:t>i</w:t>
      </w:r>
      <w:proofErr w:type="spellEnd"/>
      <w:r w:rsidR="004D77CB" w:rsidRPr="001F4858">
        <w:rPr>
          <w:rFonts w:cs="Arial"/>
          <w:bCs/>
          <w:iCs/>
          <w:szCs w:val="21"/>
        </w:rPr>
        <w:t xml:space="preserve">) a prior history of malignancy, (ii) current intensive treatment for severe medical or surgical conditions, and (iii) major organ dysfunction or psychiatric disorders. Furthermore, we excluded </w:t>
      </w:r>
      <w:r w:rsidR="00635995" w:rsidRPr="001F4858">
        <w:rPr>
          <w:rFonts w:cs="Arial"/>
          <w:bCs/>
          <w:iCs/>
          <w:szCs w:val="21"/>
        </w:rPr>
        <w:t xml:space="preserve">(iv) </w:t>
      </w:r>
      <w:r w:rsidR="004D77CB" w:rsidRPr="001F4858">
        <w:rPr>
          <w:rFonts w:cs="Arial"/>
          <w:bCs/>
          <w:iCs/>
          <w:szCs w:val="21"/>
        </w:rPr>
        <w:t>individuals with clinical contraindications to endoscopic examination.</w:t>
      </w:r>
      <w:r w:rsidR="00635995" w:rsidRPr="001F4858">
        <w:rPr>
          <w:rFonts w:cs="Arial"/>
          <w:bCs/>
          <w:iCs/>
          <w:szCs w:val="21"/>
        </w:rPr>
        <w:t xml:space="preserve"> </w:t>
      </w:r>
    </w:p>
    <w:p w14:paraId="72391CEC" w14:textId="14177316" w:rsidR="009E5438" w:rsidRPr="001F4858" w:rsidRDefault="00635995" w:rsidP="00635995">
      <w:pPr>
        <w:spacing w:line="480" w:lineRule="auto"/>
        <w:ind w:firstLine="420"/>
        <w:rPr>
          <w:rFonts w:cs="Arial"/>
          <w:bCs/>
          <w:iCs/>
          <w:szCs w:val="21"/>
        </w:rPr>
      </w:pPr>
      <w:r w:rsidRPr="001F4858">
        <w:rPr>
          <w:rFonts w:cs="Arial"/>
          <w:bCs/>
          <w:iCs/>
          <w:szCs w:val="21"/>
        </w:rPr>
        <w:t>Upon providing written informed consent, a</w:t>
      </w:r>
      <w:r w:rsidRPr="001F4858">
        <w:rPr>
          <w:rFonts w:cs="Arial"/>
          <w:szCs w:val="21"/>
        </w:rPr>
        <w:t>ll enrolled participants underwent a standardized study protocol, including a baseline questionnaire survey, physical measurements, biospecimen collection, and comprehensive endoscopic examination.</w:t>
      </w:r>
    </w:p>
    <w:p w14:paraId="268B964F" w14:textId="548B3CCB" w:rsidR="0055602F" w:rsidRPr="001F4858" w:rsidRDefault="00A81211" w:rsidP="009E5438">
      <w:pPr>
        <w:spacing w:line="480" w:lineRule="auto"/>
        <w:ind w:firstLine="420"/>
        <w:rPr>
          <w:rFonts w:cs="Arial"/>
          <w:bCs/>
          <w:iCs/>
          <w:szCs w:val="21"/>
        </w:rPr>
      </w:pPr>
      <w:r w:rsidRPr="001F4858">
        <w:rPr>
          <w:rFonts w:cs="Arial"/>
          <w:bCs/>
          <w:iCs/>
          <w:szCs w:val="21"/>
        </w:rPr>
        <w:t>Consequently, the frequency of longitudinal follow-up was strategically assigned based on these diagnostic findings. Specifically, the progression of upper gastrointestinal conditions was categorized into four distinct groups according to histopathological severity. (</w:t>
      </w:r>
      <w:proofErr w:type="spellStart"/>
      <w:r w:rsidRPr="001F4858">
        <w:rPr>
          <w:rFonts w:cs="Arial"/>
          <w:bCs/>
          <w:iCs/>
          <w:szCs w:val="21"/>
        </w:rPr>
        <w:t>i</w:t>
      </w:r>
      <w:proofErr w:type="spellEnd"/>
      <w:r w:rsidRPr="001F4858">
        <w:rPr>
          <w:rFonts w:cs="Arial"/>
          <w:bCs/>
          <w:iCs/>
          <w:szCs w:val="21"/>
        </w:rPr>
        <w:t xml:space="preserve">) Healthy Controls (HC): defined by normal mucosa with no evidence of atrophy, intestinal metaplasia, or dysplasia. (ii) Low-grade Intraepithelial Neoplasia (LGIN): characterized by neoplastic transformations with mild-to-moderate cellular atypia. Both the HC and LGIN groups were assigned to a low-intensity surveillance program, requiring </w:t>
      </w:r>
      <w:r w:rsidRPr="001F4858">
        <w:rPr>
          <w:rFonts w:cs="Arial"/>
          <w:bCs/>
          <w:iCs/>
          <w:szCs w:val="21"/>
        </w:rPr>
        <w:lastRenderedPageBreak/>
        <w:t>endoscopic follow-up at least once every three years. (iii) High-grade Intraepithelial Neoplasia (HGIN): exhibiting marked cellular atypia and complex architectural distortion. Individuals in this high-risk group underwent intensified annual surveillance. (iv) Upper Gastrointestinal Cancer (UGIC): comprising pathologically confirmed cases of squamous cell carcinoma and adenocarcinoma. For these patients, a regular oncological follow-up was implemented in accordance with standardized clinical guidelines.</w:t>
      </w:r>
    </w:p>
    <w:p w14:paraId="17CF8E2C" w14:textId="12C8491C" w:rsidR="00CE6C89" w:rsidRPr="001F4858" w:rsidRDefault="00CE6C89" w:rsidP="00CE6C89">
      <w:pPr>
        <w:spacing w:line="480" w:lineRule="auto"/>
        <w:ind w:firstLine="420"/>
        <w:rPr>
          <w:rFonts w:cs="Arial"/>
          <w:iCs/>
          <w:szCs w:val="21"/>
        </w:rPr>
      </w:pPr>
      <w:r w:rsidRPr="001F4858">
        <w:rPr>
          <w:rFonts w:cs="Arial"/>
          <w:iCs/>
          <w:szCs w:val="21"/>
        </w:rPr>
        <w:t>The study was conducted in accordance with the Declaration of Helsinki. Informed consent was obtained from all participants, who were explicitly informed of their right to withdraw from the study at any stage without providing a justification and without prejudice. Ethical approval for this study was granted by the Institutional Review Boards of Shandong University (LL20240353) and the Cancer Hospital Affiliated to Shandong First Medical University (SDTHEC2024003167). The study protocol was prospectively registered with the Chinese Clinical Trial Registry (ChiCTR2500113249).</w:t>
      </w:r>
    </w:p>
    <w:p w14:paraId="21E8462E" w14:textId="5D505C04" w:rsidR="00E01737" w:rsidRPr="001F4858" w:rsidRDefault="00E01737" w:rsidP="008725C3">
      <w:pPr>
        <w:spacing w:line="480" w:lineRule="auto"/>
        <w:outlineLvl w:val="1"/>
        <w:rPr>
          <w:rFonts w:cs="Arial"/>
          <w:b/>
          <w:iCs/>
          <w:szCs w:val="21"/>
          <w:u w:val="single"/>
        </w:rPr>
      </w:pPr>
      <w:bookmarkStart w:id="5" w:name="_Toc227337622"/>
      <w:bookmarkStart w:id="6" w:name="_Toc228455649"/>
      <w:r w:rsidRPr="001F4858">
        <w:rPr>
          <w:rFonts w:cs="Arial"/>
          <w:b/>
          <w:iCs/>
          <w:szCs w:val="21"/>
          <w:u w:val="single"/>
        </w:rPr>
        <w:t xml:space="preserve">Data </w:t>
      </w:r>
      <w:r w:rsidR="0055602F" w:rsidRPr="001F4858">
        <w:rPr>
          <w:rFonts w:cs="Arial"/>
          <w:b/>
          <w:iCs/>
          <w:szCs w:val="21"/>
          <w:u w:val="single"/>
        </w:rPr>
        <w:t>collection</w:t>
      </w:r>
      <w:bookmarkEnd w:id="5"/>
      <w:bookmarkEnd w:id="6"/>
    </w:p>
    <w:p w14:paraId="2DBD07A1" w14:textId="59832F88" w:rsidR="0055602F" w:rsidRPr="001F4858" w:rsidRDefault="0055602F" w:rsidP="00056C8D">
      <w:pPr>
        <w:spacing w:line="480" w:lineRule="auto"/>
        <w:rPr>
          <w:rFonts w:cs="Arial"/>
          <w:b/>
          <w:i/>
          <w:szCs w:val="21"/>
        </w:rPr>
      </w:pPr>
      <w:r w:rsidRPr="001F4858">
        <w:rPr>
          <w:rFonts w:cs="Arial"/>
          <w:b/>
          <w:i/>
          <w:szCs w:val="21"/>
        </w:rPr>
        <w:t>Questionnaire</w:t>
      </w:r>
      <w:r w:rsidR="00022771" w:rsidRPr="001F4858">
        <w:rPr>
          <w:rFonts w:cs="Arial"/>
          <w:b/>
          <w:i/>
          <w:szCs w:val="21"/>
        </w:rPr>
        <w:t xml:space="preserve"> and</w:t>
      </w:r>
      <w:r w:rsidR="007D103A" w:rsidRPr="001F4858">
        <w:rPr>
          <w:rFonts w:cs="Arial"/>
          <w:b/>
          <w:i/>
          <w:szCs w:val="21"/>
        </w:rPr>
        <w:t xml:space="preserve"> </w:t>
      </w:r>
      <w:r w:rsidR="00022771" w:rsidRPr="001F4858">
        <w:rPr>
          <w:rFonts w:cs="Arial"/>
          <w:b/>
          <w:i/>
          <w:szCs w:val="21"/>
        </w:rPr>
        <w:t>measurements</w:t>
      </w:r>
    </w:p>
    <w:p w14:paraId="5029CD20" w14:textId="4B2397FD" w:rsidR="005A3E06" w:rsidRPr="001F4858" w:rsidRDefault="00D235EA" w:rsidP="00056C8D">
      <w:pPr>
        <w:spacing w:line="480" w:lineRule="auto"/>
        <w:rPr>
          <w:rFonts w:cs="Arial"/>
          <w:iCs/>
          <w:szCs w:val="21"/>
        </w:rPr>
      </w:pPr>
      <w:r w:rsidRPr="001F4858">
        <w:rPr>
          <w:rFonts w:cs="Arial"/>
          <w:iCs/>
          <w:szCs w:val="21"/>
        </w:rPr>
        <w:t>All participants completed a standardized, structured questionnaire covering five primary domains. These included (</w:t>
      </w:r>
      <w:proofErr w:type="spellStart"/>
      <w:r w:rsidRPr="001F4858">
        <w:rPr>
          <w:rFonts w:cs="Arial"/>
          <w:iCs/>
          <w:szCs w:val="21"/>
        </w:rPr>
        <w:t>i</w:t>
      </w:r>
      <w:proofErr w:type="spellEnd"/>
      <w:r w:rsidRPr="001F4858">
        <w:rPr>
          <w:rFonts w:cs="Arial"/>
          <w:iCs/>
          <w:szCs w:val="21"/>
        </w:rPr>
        <w:t xml:space="preserve">) demographics, such as age, sex, body mass index (BMI), and recruitment center; and (ii) lifestyle factors, specifically smoking status and alcohol consumption. Dietary habits (iii) were assessed based on flavor and texture preferences, as well as the intake frequency of tea (black and green), fresh vegetables, fruits, beans, and protein-rich foods (meat, dairy, and eggs). This domain also captured consumption patterns of pickled, fried, hot, or moldy foods. Furthermore, we collected data on (iv) oral health, including brushing frequency, dental problems, and missing teeth. Finally, (v) medical and family history encompassed </w:t>
      </w:r>
      <w:r w:rsidRPr="001F4858">
        <w:rPr>
          <w:rFonts w:cs="Arial"/>
          <w:i/>
          <w:szCs w:val="21"/>
        </w:rPr>
        <w:t xml:space="preserve">H. pylori </w:t>
      </w:r>
      <w:r w:rsidRPr="001F4858">
        <w:rPr>
          <w:rFonts w:cs="Arial"/>
          <w:iCs/>
          <w:szCs w:val="21"/>
        </w:rPr>
        <w:t>infection status, previous gastroscopies, and family history of upper gastrointestinal cancer, alongside chronic comorbidities including hypertension, hyperlipidemia, coronary heart disease, stroke, diabetes, and hepatitis.</w:t>
      </w:r>
    </w:p>
    <w:p w14:paraId="31DB7887" w14:textId="50156B4A" w:rsidR="00823644" w:rsidRPr="001F4858" w:rsidRDefault="00823644" w:rsidP="00056C8D">
      <w:pPr>
        <w:spacing w:line="480" w:lineRule="auto"/>
        <w:rPr>
          <w:rFonts w:cs="Arial"/>
          <w:iCs/>
          <w:szCs w:val="21"/>
        </w:rPr>
      </w:pPr>
      <w:r w:rsidRPr="001F4858">
        <w:rPr>
          <w:rFonts w:cs="Arial"/>
          <w:iCs/>
          <w:szCs w:val="21"/>
        </w:rPr>
        <w:lastRenderedPageBreak/>
        <w:tab/>
      </w:r>
      <w:r w:rsidR="007D103A" w:rsidRPr="001F4858">
        <w:rPr>
          <w:rFonts w:cs="Arial"/>
          <w:iCs/>
          <w:szCs w:val="21"/>
        </w:rPr>
        <w:t xml:space="preserve">Subsequent to the </w:t>
      </w:r>
      <w:r w:rsidR="00770037" w:rsidRPr="001F4858">
        <w:rPr>
          <w:rFonts w:cs="Arial"/>
          <w:iCs/>
          <w:szCs w:val="21"/>
        </w:rPr>
        <w:t>questionnaire</w:t>
      </w:r>
      <w:r w:rsidR="007D103A" w:rsidRPr="001F4858">
        <w:rPr>
          <w:rFonts w:cs="Arial"/>
          <w:iCs/>
          <w:szCs w:val="21"/>
        </w:rPr>
        <w:t>, trained staff performed standardized measurements for all participants, encompassing height, weight, waist and hip circumferences, as well as seated resting blood pressure and heart rate</w:t>
      </w:r>
      <w:r w:rsidRPr="001F4858">
        <w:rPr>
          <w:rFonts w:cs="Arial"/>
          <w:iCs/>
          <w:szCs w:val="21"/>
        </w:rPr>
        <w:t>.</w:t>
      </w:r>
    </w:p>
    <w:p w14:paraId="7BC7A897" w14:textId="77777777" w:rsidR="00770037" w:rsidRPr="001F4858" w:rsidRDefault="00770037" w:rsidP="00770037">
      <w:pPr>
        <w:spacing w:line="480" w:lineRule="auto"/>
        <w:rPr>
          <w:rFonts w:cs="Arial"/>
          <w:b/>
          <w:bCs/>
          <w:i/>
          <w:szCs w:val="21"/>
        </w:rPr>
      </w:pPr>
      <w:bookmarkStart w:id="7" w:name="OLE_LINK9"/>
      <w:r w:rsidRPr="001F4858">
        <w:rPr>
          <w:rFonts w:cs="Arial"/>
          <w:b/>
          <w:bCs/>
          <w:i/>
          <w:szCs w:val="21"/>
        </w:rPr>
        <w:t>Endoscopic and pathological diagnosis</w:t>
      </w:r>
    </w:p>
    <w:bookmarkEnd w:id="7"/>
    <w:p w14:paraId="359BA41D" w14:textId="77777777" w:rsidR="00770037" w:rsidRPr="001F4858" w:rsidRDefault="00770037" w:rsidP="00770037">
      <w:pPr>
        <w:spacing w:line="480" w:lineRule="auto"/>
        <w:rPr>
          <w:rFonts w:cs="Arial"/>
          <w:iCs/>
          <w:szCs w:val="21"/>
        </w:rPr>
      </w:pPr>
      <w:r w:rsidRPr="001F4858">
        <w:rPr>
          <w:rFonts w:cs="Arial"/>
          <w:iCs/>
          <w:szCs w:val="21"/>
        </w:rPr>
        <w:t>After fasting for at least 8 hours overnight, all participants underwent upper gastrointestinal endoscopy performed by experienced endoscopists, including the esophagus, cardia, stomach, and descending duodenum. To enhance visualization of subtle mucosal changes, a standardized chromoendoscopy protocol was implemented: suspicious lesions were delineated using 1.2% Lugol's iodine solution and 0.2% indigo carmine or narrow-band imaging. Biopsy collection followed a combination of targeted and pre-arranged systematic sampling strategies. In addition to biopsies from any endoscopically suspicious lesions, systematic biopsies were pre-arranged from predefined standard sites to ensure accurate confirmation. All biopsy specimens were fixed in 10% neutral buffered formalin, paraffin-embedded, and stained with hematoxylin and eosin (H&amp;E). Pathological diagnoses were independently determined by two senior gastrointestinal pathologists. When the severity of biopsy pathologies differed at different sampling sites, the higher-level diagnosis was used for the final pathological diagnosis.</w:t>
      </w:r>
    </w:p>
    <w:p w14:paraId="1605169A" w14:textId="6FD021FB" w:rsidR="00710123" w:rsidRPr="001F4858" w:rsidRDefault="00710123" w:rsidP="00056C8D">
      <w:pPr>
        <w:spacing w:line="480" w:lineRule="auto"/>
        <w:rPr>
          <w:rFonts w:cs="Arial"/>
          <w:b/>
          <w:bCs/>
          <w:i/>
          <w:szCs w:val="21"/>
        </w:rPr>
      </w:pPr>
      <w:r w:rsidRPr="001F4858">
        <w:rPr>
          <w:rFonts w:cs="Arial"/>
          <w:b/>
          <w:bCs/>
          <w:i/>
          <w:szCs w:val="21"/>
        </w:rPr>
        <w:t xml:space="preserve">Saliva samples collection </w:t>
      </w:r>
    </w:p>
    <w:p w14:paraId="2EE70B75" w14:textId="66FEF06B" w:rsidR="00710123" w:rsidRPr="001F4858" w:rsidRDefault="00CE6C89" w:rsidP="00056C8D">
      <w:pPr>
        <w:spacing w:line="480" w:lineRule="auto"/>
        <w:rPr>
          <w:rFonts w:cs="Arial"/>
          <w:iCs/>
          <w:szCs w:val="21"/>
        </w:rPr>
      </w:pPr>
      <w:r w:rsidRPr="001F4858">
        <w:rPr>
          <w:rFonts w:cs="Arial"/>
          <w:iCs/>
          <w:szCs w:val="21"/>
        </w:rPr>
        <w:t xml:space="preserve">Participants </w:t>
      </w:r>
      <w:r w:rsidR="00710123" w:rsidRPr="001F4858">
        <w:rPr>
          <w:rFonts w:cs="Arial"/>
          <w:iCs/>
          <w:szCs w:val="21"/>
        </w:rPr>
        <w:t xml:space="preserve">were instructed to rinse their oral cavities with pure water 30 minutes prior to sampling. Saliva was harvested by chewing a standardized cotton swab within a </w:t>
      </w:r>
      <w:r w:rsidR="00E2120B" w:rsidRPr="001F4858">
        <w:rPr>
          <w:rFonts w:cs="Arial"/>
          <w:iCs/>
          <w:szCs w:val="21"/>
        </w:rPr>
        <w:t>sterile swab collection tube (SARSTEDT, Germany)</w:t>
      </w:r>
      <w:r w:rsidR="00710123" w:rsidRPr="001F4858">
        <w:rPr>
          <w:rFonts w:cs="Arial"/>
          <w:iCs/>
          <w:szCs w:val="21"/>
        </w:rPr>
        <w:t xml:space="preserve"> for at least 2 minutes. Following collection, the specimens were subjected to centrifugation at 1,000 times g for 3 minutes at room temperature. To ensure the preservation of microbial profiles and sample stability, the entire duration from initial collection to the completion of centrifugation was strictly controlled to within 4 hours. The processed samples were subsequently cryopreserved at -80</w:t>
      </w:r>
      <w:r w:rsidR="00E2120B" w:rsidRPr="001F4858">
        <w:rPr>
          <w:rFonts w:cs="Arial"/>
          <w:iCs/>
          <w:szCs w:val="21"/>
        </w:rPr>
        <w:t xml:space="preserve"> °</w:t>
      </w:r>
      <w:r w:rsidR="00710123" w:rsidRPr="001F4858">
        <w:rPr>
          <w:rFonts w:cs="Arial"/>
          <w:iCs/>
          <w:szCs w:val="21"/>
        </w:rPr>
        <w:t>C for downstream metagenomic sequencing.</w:t>
      </w:r>
    </w:p>
    <w:p w14:paraId="119F1933" w14:textId="18497806" w:rsidR="003746B8" w:rsidRPr="001F4858" w:rsidRDefault="003746B8" w:rsidP="00056C8D">
      <w:pPr>
        <w:spacing w:line="480" w:lineRule="auto"/>
        <w:rPr>
          <w:rFonts w:cs="Arial"/>
          <w:iCs/>
          <w:szCs w:val="21"/>
        </w:rPr>
      </w:pPr>
      <w:r w:rsidRPr="001F4858">
        <w:rPr>
          <w:rFonts w:cs="Arial"/>
          <w:b/>
          <w:bCs/>
          <w:i/>
          <w:szCs w:val="21"/>
        </w:rPr>
        <w:lastRenderedPageBreak/>
        <w:t>Metagenomics process</w:t>
      </w:r>
    </w:p>
    <w:p w14:paraId="502F86BC" w14:textId="7E60A940" w:rsidR="00E2120B" w:rsidRPr="001F4858" w:rsidRDefault="000A7626" w:rsidP="003746B8">
      <w:pPr>
        <w:spacing w:line="480" w:lineRule="auto"/>
        <w:rPr>
          <w:rFonts w:cs="Arial"/>
          <w:iCs/>
          <w:szCs w:val="21"/>
        </w:rPr>
      </w:pPr>
      <w:r w:rsidRPr="001F4858">
        <w:rPr>
          <w:rFonts w:cs="Arial"/>
          <w:iCs/>
          <w:szCs w:val="21"/>
        </w:rPr>
        <w:t xml:space="preserve">Total DNA </w:t>
      </w:r>
      <w:r w:rsidR="00CE6C89" w:rsidRPr="001F4858">
        <w:rPr>
          <w:rFonts w:cs="Arial"/>
          <w:iCs/>
          <w:szCs w:val="21"/>
        </w:rPr>
        <w:t xml:space="preserve">of paired participants </w:t>
      </w:r>
      <w:r w:rsidRPr="001F4858">
        <w:rPr>
          <w:rFonts w:cs="Arial"/>
          <w:iCs/>
          <w:szCs w:val="21"/>
        </w:rPr>
        <w:t xml:space="preserve">was extracted from saliva samples using the </w:t>
      </w:r>
      <w:proofErr w:type="spellStart"/>
      <w:r w:rsidRPr="001F4858">
        <w:rPr>
          <w:rFonts w:cs="Arial"/>
          <w:iCs/>
          <w:szCs w:val="21"/>
        </w:rPr>
        <w:t>QIAamp</w:t>
      </w:r>
      <w:proofErr w:type="spellEnd"/>
      <w:r w:rsidRPr="001F4858">
        <w:rPr>
          <w:rFonts w:cs="Arial"/>
          <w:iCs/>
          <w:szCs w:val="21"/>
        </w:rPr>
        <w:t xml:space="preserve"> Fast DNA Mini Kit (Qiagen, Hilden, Germany) following the manufacturer’s instructions. DNA concentration and integrity were rigorously assessed using a NanoDrop2000 spectrophotometer (</w:t>
      </w:r>
      <w:proofErr w:type="spellStart"/>
      <w:r w:rsidRPr="001F4858">
        <w:rPr>
          <w:rFonts w:cs="Arial"/>
          <w:iCs/>
          <w:szCs w:val="21"/>
        </w:rPr>
        <w:t>Thermo</w:t>
      </w:r>
      <w:proofErr w:type="spellEnd"/>
      <w:r w:rsidRPr="001F4858">
        <w:rPr>
          <w:rFonts w:cs="Arial"/>
          <w:iCs/>
          <w:szCs w:val="21"/>
        </w:rPr>
        <w:t xml:space="preserve"> Fisher Scientific, USA) and agarose gel electrophoresis. For library preparation, DNA was fragmented using S220 Focused-</w:t>
      </w:r>
      <w:proofErr w:type="spellStart"/>
      <w:r w:rsidRPr="001F4858">
        <w:rPr>
          <w:rFonts w:cs="Arial"/>
          <w:iCs/>
          <w:szCs w:val="21"/>
        </w:rPr>
        <w:t>ultrasonicators</w:t>
      </w:r>
      <w:proofErr w:type="spellEnd"/>
      <w:r w:rsidRPr="001F4858">
        <w:rPr>
          <w:rFonts w:cs="Arial"/>
          <w:iCs/>
          <w:szCs w:val="21"/>
        </w:rPr>
        <w:t xml:space="preserve"> (Covaris, USA) and purified with </w:t>
      </w:r>
      <w:proofErr w:type="spellStart"/>
      <w:r w:rsidRPr="001F4858">
        <w:rPr>
          <w:rFonts w:cs="Arial"/>
          <w:iCs/>
          <w:szCs w:val="21"/>
        </w:rPr>
        <w:t>Agencourt</w:t>
      </w:r>
      <w:proofErr w:type="spellEnd"/>
      <w:r w:rsidRPr="001F4858">
        <w:rPr>
          <w:rFonts w:cs="Arial"/>
          <w:iCs/>
          <w:szCs w:val="21"/>
        </w:rPr>
        <w:t xml:space="preserve"> </w:t>
      </w:r>
      <w:proofErr w:type="spellStart"/>
      <w:r w:rsidRPr="001F4858">
        <w:rPr>
          <w:rFonts w:cs="Arial"/>
          <w:iCs/>
          <w:szCs w:val="21"/>
        </w:rPr>
        <w:t>AMPure</w:t>
      </w:r>
      <w:proofErr w:type="spellEnd"/>
      <w:r w:rsidRPr="001F4858">
        <w:rPr>
          <w:rFonts w:cs="Arial"/>
          <w:iCs/>
          <w:szCs w:val="21"/>
        </w:rPr>
        <w:t xml:space="preserve"> XP beads (Beckman Coulter, USA). Metagenomic libraries were subsequently constructed using the </w:t>
      </w:r>
      <w:proofErr w:type="spellStart"/>
      <w:r w:rsidRPr="001F4858">
        <w:rPr>
          <w:rFonts w:cs="Arial"/>
          <w:iCs/>
          <w:szCs w:val="21"/>
        </w:rPr>
        <w:t>TruSeq</w:t>
      </w:r>
      <w:proofErr w:type="spellEnd"/>
      <w:r w:rsidRPr="001F4858">
        <w:rPr>
          <w:rFonts w:cs="Arial"/>
          <w:iCs/>
          <w:szCs w:val="21"/>
        </w:rPr>
        <w:t xml:space="preserve"> Nano DNA LT Sample Preparation Kit (Illumina, San Diego, CA, USA). Sequencing was performed on the DNBSEQ-T7 platform (MGI Tech Co., Ltd., Shenzhen, China) by OE Biotech Co., Ltd. (Shanghai, China), generating raw reads in FASTQ format.</w:t>
      </w:r>
    </w:p>
    <w:p w14:paraId="32C01B7A" w14:textId="10B020A9" w:rsidR="00AD0940" w:rsidRPr="001F4858" w:rsidRDefault="00AD0940" w:rsidP="000A7626">
      <w:pPr>
        <w:spacing w:line="480" w:lineRule="auto"/>
        <w:ind w:firstLine="420"/>
        <w:rPr>
          <w:rFonts w:cs="Arial"/>
          <w:iCs/>
          <w:szCs w:val="21"/>
        </w:rPr>
      </w:pPr>
      <w:r w:rsidRPr="001F4858">
        <w:rPr>
          <w:rFonts w:cs="Arial"/>
          <w:iCs/>
          <w:szCs w:val="21"/>
        </w:rPr>
        <w:t xml:space="preserve">Raw reads were quality-filtered using </w:t>
      </w:r>
      <w:proofErr w:type="spellStart"/>
      <w:r w:rsidRPr="001F4858">
        <w:rPr>
          <w:rFonts w:cs="Arial"/>
          <w:iCs/>
          <w:szCs w:val="21"/>
        </w:rPr>
        <w:t>fastp</w:t>
      </w:r>
      <w:proofErr w:type="spellEnd"/>
      <w:r w:rsidRPr="001F4858">
        <w:rPr>
          <w:rFonts w:cs="Arial"/>
          <w:iCs/>
          <w:szCs w:val="21"/>
        </w:rPr>
        <w:t xml:space="preserve"> (v0.20.1) and </w:t>
      </w:r>
      <w:proofErr w:type="spellStart"/>
      <w:r w:rsidRPr="001F4858">
        <w:rPr>
          <w:rFonts w:cs="Arial"/>
          <w:iCs/>
          <w:szCs w:val="21"/>
        </w:rPr>
        <w:t>dehosted</w:t>
      </w:r>
      <w:proofErr w:type="spellEnd"/>
      <w:r w:rsidRPr="001F4858">
        <w:rPr>
          <w:rFonts w:cs="Arial"/>
          <w:iCs/>
          <w:szCs w:val="21"/>
        </w:rPr>
        <w:t xml:space="preserve"> via </w:t>
      </w:r>
      <w:proofErr w:type="spellStart"/>
      <w:r w:rsidRPr="001F4858">
        <w:rPr>
          <w:rFonts w:cs="Arial"/>
          <w:iCs/>
          <w:szCs w:val="21"/>
        </w:rPr>
        <w:t>bbmap</w:t>
      </w:r>
      <w:proofErr w:type="spellEnd"/>
      <w:r w:rsidRPr="001F4858">
        <w:rPr>
          <w:rFonts w:cs="Arial"/>
          <w:iCs/>
          <w:szCs w:val="21"/>
        </w:rPr>
        <w:t xml:space="preserve"> (v38.93-0) against the host genome. High-quality sequences were assembled into contigs using MEGAHIT (v1.2.9). Open reading frames (ORFs) longer than 500 bp were predicted using Prodigal (v2.6.3) and translated into amino acid sequences. A non-redundant gene catalog was established using MMSeqs2 (v13.45111) (95% identity, 90% coverage), and abundance was quantified using Salmon (v1.8.0). Taxonomic and functional annotations were performed by aligning representative sequences against the Micro-NR and </w:t>
      </w:r>
      <w:r w:rsidR="00CE6C89" w:rsidRPr="001F4858">
        <w:rPr>
          <w:rFonts w:cs="Arial"/>
          <w:iCs/>
          <w:szCs w:val="21"/>
        </w:rPr>
        <w:t>Kyoto Encyclopedia of Genes and Genomes (</w:t>
      </w:r>
      <w:r w:rsidRPr="001F4858">
        <w:rPr>
          <w:rFonts w:cs="Arial"/>
          <w:iCs/>
          <w:szCs w:val="21"/>
        </w:rPr>
        <w:t>KEGG</w:t>
      </w:r>
      <w:r w:rsidR="00CE6C89" w:rsidRPr="001F4858">
        <w:rPr>
          <w:rFonts w:cs="Arial"/>
          <w:iCs/>
          <w:szCs w:val="21"/>
        </w:rPr>
        <w:t>)</w:t>
      </w:r>
      <w:r w:rsidRPr="001F4858">
        <w:rPr>
          <w:rFonts w:cs="Arial"/>
          <w:iCs/>
          <w:szCs w:val="21"/>
        </w:rPr>
        <w:t xml:space="preserve"> databases using DIAMOND (v2.1.9), </w:t>
      </w:r>
      <w:proofErr w:type="spellStart"/>
      <w:r w:rsidRPr="001F4858">
        <w:rPr>
          <w:rFonts w:cs="Arial"/>
          <w:iCs/>
          <w:szCs w:val="21"/>
        </w:rPr>
        <w:t>hmmscan</w:t>
      </w:r>
      <w:proofErr w:type="spellEnd"/>
      <w:r w:rsidRPr="001F4858">
        <w:rPr>
          <w:rFonts w:cs="Arial"/>
          <w:iCs/>
          <w:szCs w:val="21"/>
        </w:rPr>
        <w:t xml:space="preserve"> (v3.1), and blast (v2.6.0) (E-value &lt; 1 times 10^-5). To further elucidate functional potential, identified genes were mapped to KEGG </w:t>
      </w:r>
      <w:proofErr w:type="spellStart"/>
      <w:r w:rsidRPr="001F4858">
        <w:rPr>
          <w:rFonts w:cs="Arial"/>
          <w:iCs/>
          <w:szCs w:val="21"/>
        </w:rPr>
        <w:t>Orthology</w:t>
      </w:r>
      <w:proofErr w:type="spellEnd"/>
      <w:r w:rsidRPr="001F4858">
        <w:rPr>
          <w:rFonts w:cs="Arial"/>
          <w:iCs/>
          <w:szCs w:val="21"/>
        </w:rPr>
        <w:t xml:space="preserve"> (KO) identifiers. The abundance of each functional pathway was derived by aggregating the relative abundances of all constituent genes assigned to KEGG Level 2 categories, ensuring comparability across the HC, LGIN, HGIN, and UGIC groups.</w:t>
      </w:r>
    </w:p>
    <w:p w14:paraId="09CBE397" w14:textId="696E6B3F" w:rsidR="00A1509F" w:rsidRPr="001F4858" w:rsidRDefault="00CD09F5" w:rsidP="00A1509F">
      <w:pPr>
        <w:spacing w:line="480" w:lineRule="auto"/>
        <w:rPr>
          <w:rFonts w:cs="Arial"/>
          <w:b/>
          <w:bCs/>
          <w:iCs/>
          <w:szCs w:val="21"/>
        </w:rPr>
      </w:pPr>
      <w:r w:rsidRPr="001F4858">
        <w:rPr>
          <w:rFonts w:cs="Arial"/>
          <w:b/>
          <w:bCs/>
          <w:iCs/>
          <w:szCs w:val="21"/>
        </w:rPr>
        <w:t>Storage of biomaterial and data management</w:t>
      </w:r>
    </w:p>
    <w:p w14:paraId="225D7FB6" w14:textId="77777777" w:rsidR="00146715" w:rsidRPr="001F4858" w:rsidRDefault="00146715" w:rsidP="00A1509F">
      <w:pPr>
        <w:spacing w:line="480" w:lineRule="auto"/>
        <w:rPr>
          <w:rFonts w:cs="Arial"/>
          <w:iCs/>
          <w:szCs w:val="21"/>
        </w:rPr>
      </w:pPr>
      <w:r w:rsidRPr="001F4858">
        <w:rPr>
          <w:rFonts w:cs="Arial"/>
          <w:iCs/>
          <w:szCs w:val="21"/>
        </w:rPr>
        <w:t xml:space="preserve">Biomaterials were initially archived in ultra-low temperature freezers (-80°C) at each respective </w:t>
      </w:r>
      <w:r w:rsidRPr="001F4858">
        <w:rPr>
          <w:rFonts w:cs="Arial"/>
          <w:iCs/>
          <w:szCs w:val="21"/>
        </w:rPr>
        <w:lastRenderedPageBreak/>
        <w:t>recruitment center. Centralized transport to the Shandong Cancer Hospital was initiated periodically based on accumulated storage volumes. All biomaterials were transferred via a continuous, monitored cold-chain logistics system to ensure sample integrity and are currently housed in the hospital's central biobank for long-term preservation.</w:t>
      </w:r>
    </w:p>
    <w:p w14:paraId="6E00C3E7" w14:textId="5FD83BE4" w:rsidR="00440554" w:rsidRPr="001F4858" w:rsidRDefault="0097761A" w:rsidP="00146715">
      <w:pPr>
        <w:spacing w:line="480" w:lineRule="auto"/>
        <w:ind w:firstLine="420"/>
        <w:rPr>
          <w:rFonts w:cs="Arial"/>
          <w:iCs/>
          <w:szCs w:val="21"/>
        </w:rPr>
      </w:pPr>
      <w:r w:rsidRPr="0097761A">
        <w:rPr>
          <w:rFonts w:cs="Arial"/>
          <w:iCs/>
          <w:szCs w:val="21"/>
        </w:rPr>
        <w:t>All epidemiological data derived from questionnaires, biospecimen-associated metadata, and comprehensive clinical diagnostic records were securely uploaded to the Shandong Province Information System for Cancer Prevention, Early Diagnosis, and Treatment. This system operates on an isolated, firewall-protected internal server. Due to the presence of personally identifiable information, access is strictly governed by a centralized, role-based authentication protocol, actively precluding any unauthorized external access. To maintain absolute participant confidentiality and adhere to ethical guidelines, only fully anonymized and deidentified datasets were exported and utilized for all downstream statistical modeling and reporting</w:t>
      </w:r>
      <w:r w:rsidR="00146715" w:rsidRPr="001F4858">
        <w:rPr>
          <w:rFonts w:cs="Arial"/>
          <w:iCs/>
          <w:szCs w:val="21"/>
        </w:rPr>
        <w:t>.</w:t>
      </w:r>
    </w:p>
    <w:p w14:paraId="38183C5F" w14:textId="77777777" w:rsidR="00EF1BDE" w:rsidRPr="001F4858" w:rsidRDefault="00EF1BDE" w:rsidP="00817E16">
      <w:pPr>
        <w:spacing w:line="480" w:lineRule="auto"/>
        <w:rPr>
          <w:rFonts w:cs="Arial"/>
          <w:iCs/>
          <w:szCs w:val="21"/>
        </w:rPr>
        <w:sectPr w:rsidR="00EF1BDE" w:rsidRPr="001F4858" w:rsidSect="00130177">
          <w:footerReference w:type="default" r:id="rId9"/>
          <w:pgSz w:w="11906" w:h="16838"/>
          <w:pgMar w:top="1151" w:right="1151" w:bottom="1151" w:left="1151" w:header="851" w:footer="992" w:gutter="0"/>
          <w:pgNumType w:start="1"/>
          <w:cols w:space="425"/>
          <w:docGrid w:type="lines" w:linePitch="312"/>
        </w:sectPr>
      </w:pPr>
    </w:p>
    <w:p w14:paraId="29EE278E" w14:textId="6840992E" w:rsidR="00D7333F" w:rsidRPr="00D7333F" w:rsidRDefault="00D7333F" w:rsidP="005A1CB4">
      <w:pPr>
        <w:pStyle w:val="af3"/>
        <w:snapToGrid w:val="0"/>
        <w:spacing w:line="360" w:lineRule="auto"/>
        <w:outlineLvl w:val="0"/>
        <w:rPr>
          <w:rFonts w:ascii="Arial" w:eastAsiaTheme="minorEastAsia" w:hAnsi="Arial" w:cstheme="minorBidi"/>
          <w:b/>
          <w:bCs/>
          <w:sz w:val="28"/>
          <w:szCs w:val="28"/>
        </w:rPr>
      </w:pPr>
      <w:bookmarkStart w:id="8" w:name="_Toc227337623"/>
      <w:bookmarkStart w:id="9" w:name="_Toc228455650"/>
      <w:r w:rsidRPr="00D7333F">
        <w:rPr>
          <w:rFonts w:ascii="Arial" w:eastAsiaTheme="minorEastAsia" w:hAnsi="Arial" w:cstheme="minorBidi" w:hint="eastAsia"/>
          <w:b/>
          <w:bCs/>
          <w:sz w:val="28"/>
          <w:szCs w:val="28"/>
        </w:rPr>
        <w:lastRenderedPageBreak/>
        <w:t xml:space="preserve">Supplementary </w:t>
      </w:r>
      <w:r>
        <w:rPr>
          <w:rFonts w:ascii="Arial" w:eastAsiaTheme="minorEastAsia" w:hAnsi="Arial" w:cstheme="minorBidi" w:hint="eastAsia"/>
          <w:b/>
          <w:bCs/>
          <w:sz w:val="28"/>
          <w:szCs w:val="28"/>
        </w:rPr>
        <w:t>T</w:t>
      </w:r>
      <w:r w:rsidRPr="00D7333F">
        <w:rPr>
          <w:rFonts w:ascii="Arial" w:eastAsiaTheme="minorEastAsia" w:hAnsi="Arial" w:cstheme="minorBidi" w:hint="eastAsia"/>
          <w:b/>
          <w:bCs/>
          <w:sz w:val="28"/>
          <w:szCs w:val="28"/>
        </w:rPr>
        <w:t>ables</w:t>
      </w:r>
      <w:bookmarkStart w:id="10" w:name="_Toc226734145"/>
      <w:bookmarkEnd w:id="8"/>
      <w:bookmarkEnd w:id="9"/>
    </w:p>
    <w:p w14:paraId="28424AED" w14:textId="7AB4935A" w:rsidR="00AA2C73" w:rsidRPr="00EB0932" w:rsidRDefault="00F11BC5" w:rsidP="005A1CB4">
      <w:pPr>
        <w:pStyle w:val="af3"/>
        <w:snapToGrid w:val="0"/>
        <w:spacing w:line="360" w:lineRule="auto"/>
        <w:rPr>
          <w:rFonts w:ascii="Arial" w:hAnsi="Arial" w:cs="Arial"/>
          <w:iCs/>
          <w:sz w:val="21"/>
          <w:szCs w:val="21"/>
        </w:rPr>
      </w:pPr>
      <w:bookmarkStart w:id="11" w:name="_Toc227337648"/>
      <w:bookmarkStart w:id="12" w:name="_Toc228455861"/>
      <w:r w:rsidRPr="00E9457D">
        <w:rPr>
          <w:rFonts w:ascii="Arial" w:hAnsi="Arial" w:cs="Arial"/>
          <w:b/>
          <w:bCs/>
          <w:sz w:val="21"/>
          <w:szCs w:val="21"/>
        </w:rPr>
        <w:t xml:space="preserve">Supplementary Table </w:t>
      </w:r>
      <w:r w:rsidR="001F4858" w:rsidRPr="00E9457D">
        <w:rPr>
          <w:rFonts w:ascii="Arial" w:hAnsi="Arial" w:cs="Arial"/>
          <w:b/>
          <w:bCs/>
          <w:sz w:val="21"/>
          <w:szCs w:val="21"/>
        </w:rPr>
        <w:fldChar w:fldCharType="begin"/>
      </w:r>
      <w:r w:rsidR="001F4858" w:rsidRPr="00E9457D">
        <w:rPr>
          <w:rFonts w:ascii="Arial" w:hAnsi="Arial" w:cs="Arial"/>
          <w:b/>
          <w:bCs/>
          <w:sz w:val="21"/>
          <w:szCs w:val="21"/>
        </w:rPr>
        <w:instrText xml:space="preserve"> SEQ Supplementary_Table \* ARABIC </w:instrText>
      </w:r>
      <w:r w:rsidR="001F4858" w:rsidRPr="00E9457D">
        <w:rPr>
          <w:rFonts w:ascii="Arial" w:hAnsi="Arial" w:cs="Arial"/>
          <w:b/>
          <w:bCs/>
          <w:sz w:val="21"/>
          <w:szCs w:val="21"/>
        </w:rPr>
        <w:fldChar w:fldCharType="separate"/>
      </w:r>
      <w:r w:rsidR="001F4858" w:rsidRPr="00E9457D">
        <w:rPr>
          <w:rFonts w:ascii="Arial" w:hAnsi="Arial" w:cs="Arial"/>
          <w:b/>
          <w:bCs/>
          <w:noProof/>
          <w:sz w:val="21"/>
          <w:szCs w:val="21"/>
        </w:rPr>
        <w:t>1</w:t>
      </w:r>
      <w:r w:rsidR="001F4858" w:rsidRPr="00E9457D">
        <w:rPr>
          <w:rFonts w:ascii="Arial" w:hAnsi="Arial" w:cs="Arial"/>
          <w:b/>
          <w:bCs/>
          <w:sz w:val="21"/>
          <w:szCs w:val="21"/>
        </w:rPr>
        <w:fldChar w:fldCharType="end"/>
      </w:r>
      <w:bookmarkEnd w:id="10"/>
      <w:r w:rsidR="00E9457D">
        <w:rPr>
          <w:rFonts w:ascii="Arial" w:hAnsi="Arial" w:cs="Arial" w:hint="eastAsia"/>
          <w:b/>
          <w:bCs/>
          <w:sz w:val="21"/>
          <w:szCs w:val="21"/>
        </w:rPr>
        <w:t>.</w:t>
      </w:r>
      <w:r w:rsidR="009E6D82" w:rsidRPr="00EB0932">
        <w:rPr>
          <w:rFonts w:ascii="Arial" w:hAnsi="Arial" w:cs="Arial"/>
          <w:sz w:val="21"/>
          <w:szCs w:val="21"/>
        </w:rPr>
        <w:t xml:space="preserve"> Distribution of study participants across the 13 multicenter recruitment sites stratified by clinical stage.</w:t>
      </w:r>
      <w:bookmarkEnd w:id="11"/>
      <w:bookmarkEnd w:id="12"/>
    </w:p>
    <w:tbl>
      <w:tblPr>
        <w:tblStyle w:val="af2"/>
        <w:tblW w:w="794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7"/>
        <w:gridCol w:w="1417"/>
        <w:gridCol w:w="1417"/>
        <w:gridCol w:w="1417"/>
        <w:gridCol w:w="1417"/>
      </w:tblGrid>
      <w:tr w:rsidR="00BF2399" w:rsidRPr="00EB0932" w14:paraId="781E04F2" w14:textId="77777777" w:rsidTr="001650B4">
        <w:trPr>
          <w:trHeight w:val="340"/>
          <w:jc w:val="center"/>
        </w:trPr>
        <w:tc>
          <w:tcPr>
            <w:tcW w:w="2277" w:type="dxa"/>
            <w:tcBorders>
              <w:top w:val="single" w:sz="4" w:space="0" w:color="auto"/>
              <w:bottom w:val="single" w:sz="4" w:space="0" w:color="auto"/>
            </w:tcBorders>
            <w:vAlign w:val="center"/>
          </w:tcPr>
          <w:p w14:paraId="3896C7FA" w14:textId="17CB281A" w:rsidR="00BF2399" w:rsidRPr="00EB0932" w:rsidRDefault="00BF2399" w:rsidP="005A1CB4">
            <w:pPr>
              <w:snapToGrid w:val="0"/>
              <w:spacing w:line="360" w:lineRule="auto"/>
              <w:jc w:val="center"/>
              <w:rPr>
                <w:rFonts w:ascii="Arial" w:eastAsia="微软雅黑" w:hAnsi="Arial" w:cs="Arial"/>
                <w:szCs w:val="21"/>
              </w:rPr>
            </w:pPr>
            <w:r w:rsidRPr="00EB0932">
              <w:rPr>
                <w:rFonts w:ascii="Arial" w:eastAsia="微软雅黑" w:hAnsi="Arial" w:cs="Arial"/>
                <w:szCs w:val="21"/>
              </w:rPr>
              <w:t>Center</w:t>
            </w:r>
            <w:r w:rsidR="005A1CB4">
              <w:rPr>
                <w:rFonts w:ascii="Arial" w:eastAsia="微软雅黑" w:hAnsi="Arial" w:cs="Arial" w:hint="eastAsia"/>
                <w:szCs w:val="21"/>
              </w:rPr>
              <w:t xml:space="preserve">, </w:t>
            </w:r>
            <w:proofErr w:type="gramStart"/>
            <w:r w:rsidR="005A1CB4">
              <w:rPr>
                <w:rFonts w:ascii="Arial" w:eastAsia="微软雅黑" w:hAnsi="Arial" w:cs="Arial" w:hint="eastAsia"/>
                <w:szCs w:val="21"/>
              </w:rPr>
              <w:t>n</w:t>
            </w:r>
            <w:r w:rsidRPr="00EB0932">
              <w:rPr>
                <w:rFonts w:ascii="Arial" w:eastAsia="微软雅黑" w:hAnsi="Arial" w:cs="Arial"/>
                <w:szCs w:val="21"/>
              </w:rPr>
              <w:t>(</w:t>
            </w:r>
            <w:proofErr w:type="gramEnd"/>
            <w:r w:rsidRPr="00EB0932">
              <w:rPr>
                <w:rFonts w:ascii="Arial" w:eastAsia="微软雅黑" w:hAnsi="Arial" w:cs="Arial"/>
                <w:szCs w:val="21"/>
              </w:rPr>
              <w:t>%)</w:t>
            </w:r>
          </w:p>
        </w:tc>
        <w:tc>
          <w:tcPr>
            <w:tcW w:w="1417" w:type="dxa"/>
            <w:tcBorders>
              <w:top w:val="single" w:sz="4" w:space="0" w:color="auto"/>
              <w:bottom w:val="single" w:sz="4" w:space="0" w:color="auto"/>
            </w:tcBorders>
            <w:vAlign w:val="center"/>
          </w:tcPr>
          <w:p w14:paraId="0B8296A5" w14:textId="4FFA7606" w:rsidR="00BF2399" w:rsidRPr="00EB0932" w:rsidRDefault="00BF2399" w:rsidP="005A1CB4">
            <w:pPr>
              <w:snapToGrid w:val="0"/>
              <w:spacing w:line="360" w:lineRule="auto"/>
              <w:jc w:val="center"/>
              <w:rPr>
                <w:rFonts w:ascii="Arial" w:eastAsia="微软雅黑" w:hAnsi="Arial" w:cs="Arial"/>
                <w:szCs w:val="21"/>
              </w:rPr>
            </w:pPr>
            <w:r w:rsidRPr="00EB0932">
              <w:rPr>
                <w:rFonts w:ascii="Arial" w:eastAsia="微软雅黑" w:hAnsi="Arial" w:cs="Arial"/>
                <w:szCs w:val="21"/>
              </w:rPr>
              <w:t>HC</w:t>
            </w:r>
            <w:r w:rsidRPr="00EB0932">
              <w:rPr>
                <w:rFonts w:ascii="Arial" w:eastAsia="微软雅黑" w:hAnsi="Arial" w:cs="Arial"/>
                <w:szCs w:val="21"/>
              </w:rPr>
              <w:br/>
              <w:t>n=10</w:t>
            </w:r>
            <w:r>
              <w:rPr>
                <w:rFonts w:ascii="Arial" w:eastAsia="微软雅黑" w:hAnsi="Arial" w:cs="Arial" w:hint="eastAsia"/>
                <w:szCs w:val="21"/>
              </w:rPr>
              <w:t>4</w:t>
            </w:r>
          </w:p>
        </w:tc>
        <w:tc>
          <w:tcPr>
            <w:tcW w:w="1417" w:type="dxa"/>
            <w:tcBorders>
              <w:top w:val="single" w:sz="4" w:space="0" w:color="auto"/>
              <w:bottom w:val="single" w:sz="4" w:space="0" w:color="auto"/>
            </w:tcBorders>
            <w:vAlign w:val="center"/>
          </w:tcPr>
          <w:p w14:paraId="6BA8CC39" w14:textId="791E3E34" w:rsidR="00BF2399" w:rsidRPr="00EB0932" w:rsidRDefault="00BF2399" w:rsidP="005A1CB4">
            <w:pPr>
              <w:snapToGrid w:val="0"/>
              <w:spacing w:line="360" w:lineRule="auto"/>
              <w:jc w:val="center"/>
              <w:rPr>
                <w:rFonts w:eastAsia="微软雅黑" w:cs="Arial" w:hint="eastAsia"/>
                <w:szCs w:val="21"/>
              </w:rPr>
            </w:pPr>
            <w:r w:rsidRPr="00EB0932">
              <w:rPr>
                <w:rFonts w:ascii="Arial" w:eastAsia="微软雅黑" w:hAnsi="Arial" w:cs="Arial"/>
                <w:szCs w:val="21"/>
              </w:rPr>
              <w:t>LGIN</w:t>
            </w:r>
            <w:r w:rsidRPr="00EB0932">
              <w:rPr>
                <w:rFonts w:ascii="Arial" w:eastAsia="微软雅黑" w:hAnsi="Arial" w:cs="Arial"/>
                <w:szCs w:val="21"/>
              </w:rPr>
              <w:br/>
              <w:t>n=10</w:t>
            </w:r>
            <w:r>
              <w:rPr>
                <w:rFonts w:ascii="Arial" w:eastAsia="微软雅黑" w:hAnsi="Arial" w:cs="Arial" w:hint="eastAsia"/>
                <w:szCs w:val="21"/>
              </w:rPr>
              <w:t>4</w:t>
            </w:r>
          </w:p>
        </w:tc>
        <w:tc>
          <w:tcPr>
            <w:tcW w:w="1417" w:type="dxa"/>
            <w:tcBorders>
              <w:top w:val="single" w:sz="4" w:space="0" w:color="auto"/>
              <w:bottom w:val="single" w:sz="4" w:space="0" w:color="auto"/>
            </w:tcBorders>
            <w:vAlign w:val="center"/>
          </w:tcPr>
          <w:p w14:paraId="2BD9DCBC" w14:textId="26220C0A" w:rsidR="00BF2399" w:rsidRPr="00EB0932" w:rsidRDefault="00BF2399" w:rsidP="005A1CB4">
            <w:pPr>
              <w:snapToGrid w:val="0"/>
              <w:spacing w:line="360" w:lineRule="auto"/>
              <w:jc w:val="center"/>
              <w:rPr>
                <w:rFonts w:ascii="Arial" w:eastAsia="微软雅黑" w:hAnsi="Arial" w:cs="Arial"/>
                <w:szCs w:val="21"/>
              </w:rPr>
            </w:pPr>
            <w:r w:rsidRPr="00EB0932">
              <w:rPr>
                <w:rFonts w:ascii="Arial" w:eastAsia="微软雅黑" w:hAnsi="Arial" w:cs="Arial"/>
                <w:szCs w:val="21"/>
              </w:rPr>
              <w:t>HGIN</w:t>
            </w:r>
            <w:r w:rsidRPr="00EB0932">
              <w:rPr>
                <w:rFonts w:ascii="Arial" w:eastAsia="微软雅黑" w:hAnsi="Arial" w:cs="Arial"/>
                <w:szCs w:val="21"/>
              </w:rPr>
              <w:br/>
              <w:t>n=10</w:t>
            </w:r>
            <w:r>
              <w:rPr>
                <w:rFonts w:ascii="Arial" w:eastAsia="微软雅黑" w:hAnsi="Arial" w:cs="Arial" w:hint="eastAsia"/>
                <w:szCs w:val="21"/>
              </w:rPr>
              <w:t>3</w:t>
            </w:r>
          </w:p>
        </w:tc>
        <w:tc>
          <w:tcPr>
            <w:tcW w:w="1417" w:type="dxa"/>
            <w:tcBorders>
              <w:top w:val="single" w:sz="4" w:space="0" w:color="auto"/>
              <w:bottom w:val="single" w:sz="4" w:space="0" w:color="auto"/>
            </w:tcBorders>
            <w:vAlign w:val="center"/>
          </w:tcPr>
          <w:p w14:paraId="74A85050" w14:textId="290EE3BB" w:rsidR="00BF2399" w:rsidRPr="00EB0932" w:rsidRDefault="00BF2399" w:rsidP="005A1CB4">
            <w:pPr>
              <w:snapToGrid w:val="0"/>
              <w:spacing w:line="360" w:lineRule="auto"/>
              <w:jc w:val="center"/>
              <w:rPr>
                <w:rFonts w:ascii="Arial" w:eastAsia="微软雅黑" w:hAnsi="Arial" w:cs="Arial"/>
                <w:szCs w:val="21"/>
              </w:rPr>
            </w:pPr>
            <w:r w:rsidRPr="00EB0932">
              <w:rPr>
                <w:rFonts w:ascii="Arial" w:eastAsia="微软雅黑" w:hAnsi="Arial" w:cs="Arial"/>
                <w:szCs w:val="21"/>
              </w:rPr>
              <w:t>UGIC</w:t>
            </w:r>
            <w:r w:rsidRPr="00EB0932">
              <w:rPr>
                <w:rFonts w:ascii="Arial" w:eastAsia="微软雅黑" w:hAnsi="Arial" w:cs="Arial"/>
                <w:szCs w:val="21"/>
              </w:rPr>
              <w:br/>
              <w:t>n=105</w:t>
            </w:r>
          </w:p>
        </w:tc>
      </w:tr>
      <w:tr w:rsidR="00BF2399" w:rsidRPr="00EB0932" w14:paraId="0A076C05" w14:textId="77777777" w:rsidTr="001650B4">
        <w:trPr>
          <w:trHeight w:val="340"/>
          <w:jc w:val="center"/>
        </w:trPr>
        <w:tc>
          <w:tcPr>
            <w:tcW w:w="2277" w:type="dxa"/>
            <w:vAlign w:val="center"/>
          </w:tcPr>
          <w:p w14:paraId="3D1993EE" w14:textId="50E582C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DP</w:t>
            </w:r>
          </w:p>
        </w:tc>
        <w:tc>
          <w:tcPr>
            <w:tcW w:w="1417" w:type="dxa"/>
            <w:vAlign w:val="center"/>
          </w:tcPr>
          <w:p w14:paraId="194CD4F0" w14:textId="420277DA"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14 (13.5)</w:t>
            </w:r>
          </w:p>
        </w:tc>
        <w:tc>
          <w:tcPr>
            <w:tcW w:w="1417" w:type="dxa"/>
            <w:vAlign w:val="center"/>
          </w:tcPr>
          <w:p w14:paraId="7B924DC5" w14:textId="1845519F"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48 (46.2)</w:t>
            </w:r>
          </w:p>
        </w:tc>
        <w:tc>
          <w:tcPr>
            <w:tcW w:w="1417" w:type="dxa"/>
            <w:vAlign w:val="center"/>
          </w:tcPr>
          <w:p w14:paraId="3391B149" w14:textId="15EF4DFB"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22 (21.4)</w:t>
            </w:r>
          </w:p>
        </w:tc>
        <w:tc>
          <w:tcPr>
            <w:tcW w:w="1417" w:type="dxa"/>
            <w:vAlign w:val="center"/>
          </w:tcPr>
          <w:p w14:paraId="17A0AC87" w14:textId="7E66BC09"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11 (10.5)</w:t>
            </w:r>
          </w:p>
        </w:tc>
      </w:tr>
      <w:tr w:rsidR="00BF2399" w:rsidRPr="00EB0932" w14:paraId="1DD08253" w14:textId="77777777" w:rsidTr="001650B4">
        <w:trPr>
          <w:trHeight w:val="340"/>
          <w:jc w:val="center"/>
        </w:trPr>
        <w:tc>
          <w:tcPr>
            <w:tcW w:w="2277" w:type="dxa"/>
            <w:vAlign w:val="center"/>
          </w:tcPr>
          <w:p w14:paraId="59C7BF67" w14:textId="0FD807B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FC</w:t>
            </w:r>
          </w:p>
        </w:tc>
        <w:tc>
          <w:tcPr>
            <w:tcW w:w="1417" w:type="dxa"/>
            <w:vAlign w:val="center"/>
          </w:tcPr>
          <w:p w14:paraId="5F06A61C" w14:textId="66AF2831"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21 (20.2)</w:t>
            </w:r>
          </w:p>
        </w:tc>
        <w:tc>
          <w:tcPr>
            <w:tcW w:w="1417" w:type="dxa"/>
            <w:vAlign w:val="center"/>
          </w:tcPr>
          <w:p w14:paraId="4337D2BA" w14:textId="3658F6A3"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15 (14.4)</w:t>
            </w:r>
          </w:p>
        </w:tc>
        <w:tc>
          <w:tcPr>
            <w:tcW w:w="1417" w:type="dxa"/>
            <w:vAlign w:val="center"/>
          </w:tcPr>
          <w:p w14:paraId="1D1F7C41" w14:textId="4C48FE39"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17 (16.5)</w:t>
            </w:r>
          </w:p>
        </w:tc>
        <w:tc>
          <w:tcPr>
            <w:tcW w:w="1417" w:type="dxa"/>
            <w:vAlign w:val="center"/>
          </w:tcPr>
          <w:p w14:paraId="6BD67843" w14:textId="48E12CF7"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29 (27.6)</w:t>
            </w:r>
          </w:p>
        </w:tc>
      </w:tr>
      <w:tr w:rsidR="00BF2399" w:rsidRPr="00EB0932" w14:paraId="5B06584F" w14:textId="77777777" w:rsidTr="001650B4">
        <w:trPr>
          <w:trHeight w:val="340"/>
          <w:jc w:val="center"/>
        </w:trPr>
        <w:tc>
          <w:tcPr>
            <w:tcW w:w="2277" w:type="dxa"/>
            <w:vAlign w:val="center"/>
          </w:tcPr>
          <w:p w14:paraId="632477DA" w14:textId="6DAD642D"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LC</w:t>
            </w:r>
          </w:p>
        </w:tc>
        <w:tc>
          <w:tcPr>
            <w:tcW w:w="1417" w:type="dxa"/>
            <w:vAlign w:val="center"/>
          </w:tcPr>
          <w:p w14:paraId="0916CDE6" w14:textId="1BD12250"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8 (7.7)</w:t>
            </w:r>
          </w:p>
        </w:tc>
        <w:tc>
          <w:tcPr>
            <w:tcW w:w="1417" w:type="dxa"/>
            <w:vAlign w:val="center"/>
          </w:tcPr>
          <w:p w14:paraId="2FABBFC6" w14:textId="0DFA95B2"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2 (1.9)</w:t>
            </w:r>
          </w:p>
        </w:tc>
        <w:tc>
          <w:tcPr>
            <w:tcW w:w="1417" w:type="dxa"/>
            <w:vAlign w:val="center"/>
          </w:tcPr>
          <w:p w14:paraId="4AE5B304" w14:textId="6BD094CB"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6 (5.8)</w:t>
            </w:r>
          </w:p>
        </w:tc>
        <w:tc>
          <w:tcPr>
            <w:tcW w:w="1417" w:type="dxa"/>
            <w:vAlign w:val="center"/>
          </w:tcPr>
          <w:p w14:paraId="5F36F949" w14:textId="07BE11D9"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3 (2.9)</w:t>
            </w:r>
          </w:p>
        </w:tc>
      </w:tr>
      <w:tr w:rsidR="00BF2399" w:rsidRPr="00EB0932" w14:paraId="65FA558E" w14:textId="77777777" w:rsidTr="001650B4">
        <w:trPr>
          <w:trHeight w:val="340"/>
          <w:jc w:val="center"/>
        </w:trPr>
        <w:tc>
          <w:tcPr>
            <w:tcW w:w="2277" w:type="dxa"/>
            <w:vAlign w:val="center"/>
          </w:tcPr>
          <w:p w14:paraId="1D76B308" w14:textId="2FE90AF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LQ</w:t>
            </w:r>
          </w:p>
        </w:tc>
        <w:tc>
          <w:tcPr>
            <w:tcW w:w="1417" w:type="dxa"/>
            <w:vAlign w:val="center"/>
          </w:tcPr>
          <w:p w14:paraId="6DBEF5B2" w14:textId="4AAA7F28"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0 (0.0)</w:t>
            </w:r>
          </w:p>
        </w:tc>
        <w:tc>
          <w:tcPr>
            <w:tcW w:w="1417" w:type="dxa"/>
            <w:vAlign w:val="center"/>
          </w:tcPr>
          <w:p w14:paraId="030E8C90" w14:textId="614D9645"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0 (0.0)</w:t>
            </w:r>
          </w:p>
        </w:tc>
        <w:tc>
          <w:tcPr>
            <w:tcW w:w="1417" w:type="dxa"/>
            <w:vAlign w:val="center"/>
          </w:tcPr>
          <w:p w14:paraId="51E4ABEB" w14:textId="79A548AF"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7 (6.8)</w:t>
            </w:r>
          </w:p>
        </w:tc>
        <w:tc>
          <w:tcPr>
            <w:tcW w:w="1417" w:type="dxa"/>
            <w:vAlign w:val="center"/>
          </w:tcPr>
          <w:p w14:paraId="523C14E4" w14:textId="23565F93"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13 (12.4)</w:t>
            </w:r>
          </w:p>
        </w:tc>
      </w:tr>
      <w:tr w:rsidR="00BF2399" w:rsidRPr="00EB0932" w14:paraId="331A0B75" w14:textId="77777777" w:rsidTr="001650B4">
        <w:trPr>
          <w:trHeight w:val="340"/>
          <w:jc w:val="center"/>
        </w:trPr>
        <w:tc>
          <w:tcPr>
            <w:tcW w:w="2277" w:type="dxa"/>
            <w:vAlign w:val="center"/>
          </w:tcPr>
          <w:p w14:paraId="4FB1038C" w14:textId="1A572A1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NY</w:t>
            </w:r>
          </w:p>
        </w:tc>
        <w:tc>
          <w:tcPr>
            <w:tcW w:w="1417" w:type="dxa"/>
            <w:vAlign w:val="center"/>
          </w:tcPr>
          <w:p w14:paraId="54E1FF54" w14:textId="56831BF2"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25 (24.0)</w:t>
            </w:r>
          </w:p>
        </w:tc>
        <w:tc>
          <w:tcPr>
            <w:tcW w:w="1417" w:type="dxa"/>
            <w:vAlign w:val="center"/>
          </w:tcPr>
          <w:p w14:paraId="25414A70" w14:textId="788AAF47"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4 (3.8)</w:t>
            </w:r>
          </w:p>
        </w:tc>
        <w:tc>
          <w:tcPr>
            <w:tcW w:w="1417" w:type="dxa"/>
            <w:vAlign w:val="center"/>
          </w:tcPr>
          <w:p w14:paraId="7D0D21D0" w14:textId="0827AB26"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14 (13.6)</w:t>
            </w:r>
          </w:p>
        </w:tc>
        <w:tc>
          <w:tcPr>
            <w:tcW w:w="1417" w:type="dxa"/>
            <w:vAlign w:val="center"/>
          </w:tcPr>
          <w:p w14:paraId="075DC34D" w14:textId="1AA48C06"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9 (8.6)</w:t>
            </w:r>
          </w:p>
        </w:tc>
      </w:tr>
      <w:tr w:rsidR="00BF2399" w:rsidRPr="00EB0932" w14:paraId="6C0164F0" w14:textId="77777777" w:rsidTr="001650B4">
        <w:trPr>
          <w:trHeight w:val="340"/>
          <w:jc w:val="center"/>
        </w:trPr>
        <w:tc>
          <w:tcPr>
            <w:tcW w:w="2277" w:type="dxa"/>
            <w:vAlign w:val="center"/>
          </w:tcPr>
          <w:p w14:paraId="093660F9" w14:textId="1CF72F5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PY</w:t>
            </w:r>
          </w:p>
        </w:tc>
        <w:tc>
          <w:tcPr>
            <w:tcW w:w="1417" w:type="dxa"/>
            <w:vAlign w:val="center"/>
          </w:tcPr>
          <w:p w14:paraId="0632DF4B" w14:textId="7ED7A031"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17 (16.3)</w:t>
            </w:r>
          </w:p>
        </w:tc>
        <w:tc>
          <w:tcPr>
            <w:tcW w:w="1417" w:type="dxa"/>
            <w:vAlign w:val="center"/>
          </w:tcPr>
          <w:p w14:paraId="026BFC86" w14:textId="7B732B4E"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19 (18.3)</w:t>
            </w:r>
          </w:p>
        </w:tc>
        <w:tc>
          <w:tcPr>
            <w:tcW w:w="1417" w:type="dxa"/>
            <w:vAlign w:val="center"/>
          </w:tcPr>
          <w:p w14:paraId="68ACE183" w14:textId="72AC9E5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8 (7.8)</w:t>
            </w:r>
          </w:p>
        </w:tc>
        <w:tc>
          <w:tcPr>
            <w:tcW w:w="1417" w:type="dxa"/>
            <w:vAlign w:val="center"/>
          </w:tcPr>
          <w:p w14:paraId="7CBFFAB1" w14:textId="33CB4733"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5 (4.8)</w:t>
            </w:r>
          </w:p>
        </w:tc>
      </w:tr>
      <w:tr w:rsidR="00BF2399" w:rsidRPr="00EB0932" w14:paraId="355E30E9" w14:textId="77777777" w:rsidTr="001650B4">
        <w:trPr>
          <w:trHeight w:val="340"/>
          <w:jc w:val="center"/>
        </w:trPr>
        <w:tc>
          <w:tcPr>
            <w:tcW w:w="2277" w:type="dxa"/>
            <w:vAlign w:val="center"/>
          </w:tcPr>
          <w:p w14:paraId="0C8A4925" w14:textId="51E0EFA8"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QF</w:t>
            </w:r>
          </w:p>
        </w:tc>
        <w:tc>
          <w:tcPr>
            <w:tcW w:w="1417" w:type="dxa"/>
            <w:vAlign w:val="center"/>
          </w:tcPr>
          <w:p w14:paraId="3024D0F5" w14:textId="4DE30150"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 (1.0)</w:t>
            </w:r>
          </w:p>
        </w:tc>
        <w:tc>
          <w:tcPr>
            <w:tcW w:w="1417" w:type="dxa"/>
            <w:vAlign w:val="center"/>
          </w:tcPr>
          <w:p w14:paraId="77FBEEA4" w14:textId="0C513A90"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5 (4.8)</w:t>
            </w:r>
          </w:p>
        </w:tc>
        <w:tc>
          <w:tcPr>
            <w:tcW w:w="1417" w:type="dxa"/>
            <w:vAlign w:val="center"/>
          </w:tcPr>
          <w:p w14:paraId="0F71098B" w14:textId="52723C53"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3 (2.9)</w:t>
            </w:r>
          </w:p>
        </w:tc>
        <w:tc>
          <w:tcPr>
            <w:tcW w:w="1417" w:type="dxa"/>
            <w:vAlign w:val="center"/>
          </w:tcPr>
          <w:p w14:paraId="3C842A79" w14:textId="41D4062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6 (5.7)</w:t>
            </w:r>
          </w:p>
        </w:tc>
      </w:tr>
      <w:tr w:rsidR="00BF2399" w:rsidRPr="00EB0932" w14:paraId="709406CD" w14:textId="77777777" w:rsidTr="001650B4">
        <w:trPr>
          <w:trHeight w:val="340"/>
          <w:jc w:val="center"/>
        </w:trPr>
        <w:tc>
          <w:tcPr>
            <w:tcW w:w="2277" w:type="dxa"/>
            <w:vAlign w:val="center"/>
          </w:tcPr>
          <w:p w14:paraId="79872306" w14:textId="3D56D6F3"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QR</w:t>
            </w:r>
          </w:p>
        </w:tc>
        <w:tc>
          <w:tcPr>
            <w:tcW w:w="1417" w:type="dxa"/>
            <w:vAlign w:val="center"/>
          </w:tcPr>
          <w:p w14:paraId="505788DA" w14:textId="12330ED1"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0 (0.0)</w:t>
            </w:r>
          </w:p>
        </w:tc>
        <w:tc>
          <w:tcPr>
            <w:tcW w:w="1417" w:type="dxa"/>
            <w:vAlign w:val="center"/>
          </w:tcPr>
          <w:p w14:paraId="50F8B576" w14:textId="23405718"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0 (0.0)</w:t>
            </w:r>
          </w:p>
        </w:tc>
        <w:tc>
          <w:tcPr>
            <w:tcW w:w="1417" w:type="dxa"/>
            <w:vAlign w:val="center"/>
          </w:tcPr>
          <w:p w14:paraId="4929EDC9" w14:textId="0C044E21"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 (1.9)</w:t>
            </w:r>
          </w:p>
        </w:tc>
        <w:tc>
          <w:tcPr>
            <w:tcW w:w="1417" w:type="dxa"/>
            <w:vAlign w:val="center"/>
          </w:tcPr>
          <w:p w14:paraId="113670DA" w14:textId="69C3435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7 (6.7)</w:t>
            </w:r>
          </w:p>
        </w:tc>
      </w:tr>
      <w:tr w:rsidR="00BF2399" w:rsidRPr="00EB0932" w14:paraId="33FAA566" w14:textId="77777777" w:rsidTr="001650B4">
        <w:trPr>
          <w:trHeight w:val="340"/>
          <w:jc w:val="center"/>
        </w:trPr>
        <w:tc>
          <w:tcPr>
            <w:tcW w:w="2277" w:type="dxa"/>
            <w:vAlign w:val="center"/>
          </w:tcPr>
          <w:p w14:paraId="79D5DBBB" w14:textId="4780F6BA"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QZ</w:t>
            </w:r>
          </w:p>
        </w:tc>
        <w:tc>
          <w:tcPr>
            <w:tcW w:w="1417" w:type="dxa"/>
            <w:vAlign w:val="center"/>
          </w:tcPr>
          <w:p w14:paraId="1C5B9F7A" w14:textId="43AABAC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9 (8.7)</w:t>
            </w:r>
          </w:p>
        </w:tc>
        <w:tc>
          <w:tcPr>
            <w:tcW w:w="1417" w:type="dxa"/>
            <w:vAlign w:val="center"/>
          </w:tcPr>
          <w:p w14:paraId="3862216B" w14:textId="7659F0B5"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0 (0.0)</w:t>
            </w:r>
          </w:p>
        </w:tc>
        <w:tc>
          <w:tcPr>
            <w:tcW w:w="1417" w:type="dxa"/>
            <w:vAlign w:val="center"/>
          </w:tcPr>
          <w:p w14:paraId="0201DF9E" w14:textId="5C398A34"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 (1.0)</w:t>
            </w:r>
          </w:p>
        </w:tc>
        <w:tc>
          <w:tcPr>
            <w:tcW w:w="1417" w:type="dxa"/>
            <w:vAlign w:val="center"/>
          </w:tcPr>
          <w:p w14:paraId="35BD2329" w14:textId="0513F6C4"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9 (8.6)</w:t>
            </w:r>
          </w:p>
        </w:tc>
      </w:tr>
      <w:tr w:rsidR="00BF2399" w:rsidRPr="00EB0932" w14:paraId="5DF7FD02" w14:textId="77777777" w:rsidTr="001650B4">
        <w:trPr>
          <w:trHeight w:val="340"/>
          <w:jc w:val="center"/>
        </w:trPr>
        <w:tc>
          <w:tcPr>
            <w:tcW w:w="2277" w:type="dxa"/>
            <w:vAlign w:val="center"/>
          </w:tcPr>
          <w:p w14:paraId="31A81B2A" w14:textId="39861E3B"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TA</w:t>
            </w:r>
          </w:p>
        </w:tc>
        <w:tc>
          <w:tcPr>
            <w:tcW w:w="1417" w:type="dxa"/>
            <w:vAlign w:val="center"/>
          </w:tcPr>
          <w:p w14:paraId="1926DD52" w14:textId="70242317"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 (1.0)</w:t>
            </w:r>
          </w:p>
        </w:tc>
        <w:tc>
          <w:tcPr>
            <w:tcW w:w="1417" w:type="dxa"/>
            <w:vAlign w:val="center"/>
          </w:tcPr>
          <w:p w14:paraId="154D52C6" w14:textId="73744A69"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2 (1.9)</w:t>
            </w:r>
          </w:p>
        </w:tc>
        <w:tc>
          <w:tcPr>
            <w:tcW w:w="1417" w:type="dxa"/>
            <w:vAlign w:val="center"/>
          </w:tcPr>
          <w:p w14:paraId="03055C13" w14:textId="60F7ED17"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5 (4.9)</w:t>
            </w:r>
          </w:p>
        </w:tc>
        <w:tc>
          <w:tcPr>
            <w:tcW w:w="1417" w:type="dxa"/>
            <w:vAlign w:val="center"/>
          </w:tcPr>
          <w:p w14:paraId="349F4A73" w14:textId="4646DEE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 (1.9)</w:t>
            </w:r>
          </w:p>
        </w:tc>
      </w:tr>
      <w:tr w:rsidR="00BF2399" w:rsidRPr="00EB0932" w14:paraId="7D26A1CB" w14:textId="77777777" w:rsidTr="001650B4">
        <w:trPr>
          <w:trHeight w:val="340"/>
          <w:jc w:val="center"/>
        </w:trPr>
        <w:tc>
          <w:tcPr>
            <w:tcW w:w="2277" w:type="dxa"/>
            <w:vAlign w:val="center"/>
          </w:tcPr>
          <w:p w14:paraId="0DB230C3" w14:textId="69427D0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WR</w:t>
            </w:r>
          </w:p>
        </w:tc>
        <w:tc>
          <w:tcPr>
            <w:tcW w:w="1417" w:type="dxa"/>
            <w:vAlign w:val="center"/>
          </w:tcPr>
          <w:p w14:paraId="0805660F" w14:textId="7DCEA91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0 (0.0)</w:t>
            </w:r>
          </w:p>
        </w:tc>
        <w:tc>
          <w:tcPr>
            <w:tcW w:w="1417" w:type="dxa"/>
            <w:vAlign w:val="center"/>
          </w:tcPr>
          <w:p w14:paraId="42BD36BA" w14:textId="4F578552"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0 (0.0)</w:t>
            </w:r>
          </w:p>
        </w:tc>
        <w:tc>
          <w:tcPr>
            <w:tcW w:w="1417" w:type="dxa"/>
            <w:vAlign w:val="center"/>
          </w:tcPr>
          <w:p w14:paraId="52291049" w14:textId="5B2C1DDC"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4 (3.9)</w:t>
            </w:r>
          </w:p>
        </w:tc>
        <w:tc>
          <w:tcPr>
            <w:tcW w:w="1417" w:type="dxa"/>
            <w:vAlign w:val="center"/>
          </w:tcPr>
          <w:p w14:paraId="3DEB0B8B" w14:textId="788E9383"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2 (1.9)</w:t>
            </w:r>
          </w:p>
        </w:tc>
      </w:tr>
      <w:tr w:rsidR="00BF2399" w:rsidRPr="00EB0932" w14:paraId="5CA23DDB" w14:textId="77777777" w:rsidTr="001650B4">
        <w:trPr>
          <w:trHeight w:val="340"/>
          <w:jc w:val="center"/>
        </w:trPr>
        <w:tc>
          <w:tcPr>
            <w:tcW w:w="2277" w:type="dxa"/>
            <w:vAlign w:val="center"/>
          </w:tcPr>
          <w:p w14:paraId="4E19E1D4" w14:textId="36C4175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XT</w:t>
            </w:r>
          </w:p>
        </w:tc>
        <w:tc>
          <w:tcPr>
            <w:tcW w:w="1417" w:type="dxa"/>
            <w:vAlign w:val="center"/>
          </w:tcPr>
          <w:p w14:paraId="51F9703C" w14:textId="11ADFCFB"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8 (7.7)</w:t>
            </w:r>
          </w:p>
        </w:tc>
        <w:tc>
          <w:tcPr>
            <w:tcW w:w="1417" w:type="dxa"/>
            <w:vAlign w:val="center"/>
          </w:tcPr>
          <w:p w14:paraId="6574ECB2" w14:textId="6BA27945"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0 (0.0)</w:t>
            </w:r>
          </w:p>
        </w:tc>
        <w:tc>
          <w:tcPr>
            <w:tcW w:w="1417" w:type="dxa"/>
            <w:vAlign w:val="center"/>
          </w:tcPr>
          <w:p w14:paraId="69538F0D" w14:textId="14DA7A3E"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4 (3.9)</w:t>
            </w:r>
          </w:p>
        </w:tc>
        <w:tc>
          <w:tcPr>
            <w:tcW w:w="1417" w:type="dxa"/>
            <w:vAlign w:val="center"/>
          </w:tcPr>
          <w:p w14:paraId="3A655608" w14:textId="1C32F2BF"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4 (3.8)</w:t>
            </w:r>
          </w:p>
        </w:tc>
      </w:tr>
      <w:tr w:rsidR="00BF2399" w:rsidRPr="00EB0932" w14:paraId="6BB16A54" w14:textId="77777777" w:rsidTr="001650B4">
        <w:trPr>
          <w:trHeight w:val="340"/>
          <w:jc w:val="center"/>
        </w:trPr>
        <w:tc>
          <w:tcPr>
            <w:tcW w:w="2277" w:type="dxa"/>
            <w:tcBorders>
              <w:bottom w:val="single" w:sz="4" w:space="0" w:color="auto"/>
            </w:tcBorders>
            <w:vAlign w:val="center"/>
          </w:tcPr>
          <w:p w14:paraId="572BE94D" w14:textId="1BC13B1B"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YZ</w:t>
            </w:r>
          </w:p>
        </w:tc>
        <w:tc>
          <w:tcPr>
            <w:tcW w:w="1417" w:type="dxa"/>
            <w:tcBorders>
              <w:bottom w:val="single" w:sz="4" w:space="0" w:color="auto"/>
            </w:tcBorders>
            <w:vAlign w:val="center"/>
          </w:tcPr>
          <w:p w14:paraId="4AA21AA5" w14:textId="6F373082"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0 (0.0)</w:t>
            </w:r>
          </w:p>
        </w:tc>
        <w:tc>
          <w:tcPr>
            <w:tcW w:w="1417" w:type="dxa"/>
            <w:tcBorders>
              <w:bottom w:val="single" w:sz="4" w:space="0" w:color="auto"/>
            </w:tcBorders>
            <w:vAlign w:val="center"/>
          </w:tcPr>
          <w:p w14:paraId="669F9291" w14:textId="53134E24" w:rsidR="00BF2399" w:rsidRDefault="00BF2399" w:rsidP="005A1CB4">
            <w:pPr>
              <w:snapToGrid w:val="0"/>
              <w:spacing w:line="360" w:lineRule="auto"/>
              <w:jc w:val="center"/>
              <w:rPr>
                <w:rFonts w:eastAsia="Arial" w:cs="Arial"/>
                <w:color w:val="000000"/>
                <w:sz w:val="20"/>
                <w:szCs w:val="20"/>
              </w:rPr>
            </w:pPr>
            <w:r>
              <w:rPr>
                <w:rFonts w:ascii="Arial" w:eastAsia="Arial" w:hAnsi="Arial" w:cs="Arial"/>
                <w:color w:val="000000"/>
                <w:sz w:val="20"/>
                <w:szCs w:val="20"/>
              </w:rPr>
              <w:t>9 (8.7)</w:t>
            </w:r>
          </w:p>
        </w:tc>
        <w:tc>
          <w:tcPr>
            <w:tcW w:w="1417" w:type="dxa"/>
            <w:tcBorders>
              <w:bottom w:val="single" w:sz="4" w:space="0" w:color="auto"/>
            </w:tcBorders>
            <w:vAlign w:val="center"/>
          </w:tcPr>
          <w:p w14:paraId="47E50674" w14:textId="6A595F24"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10 (9.7)</w:t>
            </w:r>
          </w:p>
        </w:tc>
        <w:tc>
          <w:tcPr>
            <w:tcW w:w="1417" w:type="dxa"/>
            <w:tcBorders>
              <w:bottom w:val="single" w:sz="4" w:space="0" w:color="auto"/>
            </w:tcBorders>
            <w:vAlign w:val="center"/>
          </w:tcPr>
          <w:p w14:paraId="769C77EB" w14:textId="537492DD" w:rsidR="00BF2399" w:rsidRPr="00EB0932" w:rsidRDefault="00BF2399" w:rsidP="005A1CB4">
            <w:pPr>
              <w:snapToGrid w:val="0"/>
              <w:spacing w:line="360" w:lineRule="auto"/>
              <w:jc w:val="center"/>
              <w:rPr>
                <w:rFonts w:ascii="Arial" w:eastAsia="微软雅黑" w:hAnsi="Arial" w:cs="Arial"/>
                <w:szCs w:val="21"/>
              </w:rPr>
            </w:pPr>
            <w:r>
              <w:rPr>
                <w:rFonts w:ascii="Arial" w:eastAsia="Arial" w:hAnsi="Arial" w:cs="Arial"/>
                <w:color w:val="000000"/>
                <w:sz w:val="20"/>
                <w:szCs w:val="20"/>
              </w:rPr>
              <w:t>5 (4.8)</w:t>
            </w:r>
          </w:p>
        </w:tc>
      </w:tr>
    </w:tbl>
    <w:p w14:paraId="41C2B2AE" w14:textId="01818174" w:rsidR="00CC12D9" w:rsidRDefault="00CC12D9" w:rsidP="005A1CB4">
      <w:pPr>
        <w:snapToGrid w:val="0"/>
        <w:spacing w:line="360" w:lineRule="auto"/>
        <w:rPr>
          <w:rFonts w:cs="Arial"/>
          <w:iCs/>
          <w:szCs w:val="21"/>
        </w:rPr>
      </w:pPr>
      <w:r w:rsidRPr="00EB0932">
        <w:rPr>
          <w:rFonts w:cs="Arial"/>
          <w:iCs/>
          <w:szCs w:val="21"/>
        </w:rPr>
        <w:t xml:space="preserve">DP, People's Hospital of Dongping; FC, People's Hospital of </w:t>
      </w:r>
      <w:proofErr w:type="spellStart"/>
      <w:r w:rsidRPr="00EB0932">
        <w:rPr>
          <w:rFonts w:cs="Arial"/>
          <w:iCs/>
          <w:szCs w:val="21"/>
        </w:rPr>
        <w:t>Feicheng</w:t>
      </w:r>
      <w:proofErr w:type="spellEnd"/>
      <w:r w:rsidRPr="00EB0932">
        <w:rPr>
          <w:rFonts w:cs="Arial"/>
          <w:iCs/>
          <w:szCs w:val="21"/>
        </w:rPr>
        <w:t xml:space="preserve">; LC, Liao Cheng Tumor Hospital; LQ, People's Hospital of </w:t>
      </w:r>
      <w:proofErr w:type="spellStart"/>
      <w:r w:rsidRPr="00EB0932">
        <w:rPr>
          <w:rFonts w:cs="Arial"/>
          <w:iCs/>
          <w:szCs w:val="21"/>
        </w:rPr>
        <w:t>Linqu</w:t>
      </w:r>
      <w:proofErr w:type="spellEnd"/>
      <w:r w:rsidRPr="00EB0932">
        <w:rPr>
          <w:rFonts w:cs="Arial"/>
          <w:iCs/>
          <w:szCs w:val="21"/>
        </w:rPr>
        <w:t xml:space="preserve">; NY, </w:t>
      </w:r>
      <w:proofErr w:type="spellStart"/>
      <w:r w:rsidRPr="00EB0932">
        <w:rPr>
          <w:rFonts w:cs="Arial"/>
          <w:iCs/>
          <w:szCs w:val="21"/>
        </w:rPr>
        <w:t>Ningyang</w:t>
      </w:r>
      <w:proofErr w:type="spellEnd"/>
      <w:r w:rsidRPr="00EB0932">
        <w:rPr>
          <w:rFonts w:cs="Arial"/>
          <w:iCs/>
          <w:szCs w:val="21"/>
        </w:rPr>
        <w:t xml:space="preserve"> County First People's Hospital; PY, Pingyin Hospital of Traditional Chinese Medicine; QF, </w:t>
      </w:r>
      <w:proofErr w:type="spellStart"/>
      <w:r w:rsidRPr="00EB0932">
        <w:rPr>
          <w:rFonts w:cs="Arial"/>
          <w:iCs/>
          <w:szCs w:val="21"/>
        </w:rPr>
        <w:t>Qufu</w:t>
      </w:r>
      <w:proofErr w:type="spellEnd"/>
      <w:r w:rsidRPr="00EB0932">
        <w:rPr>
          <w:rFonts w:cs="Arial"/>
          <w:iCs/>
          <w:szCs w:val="21"/>
        </w:rPr>
        <w:t xml:space="preserve"> Hospital of Traditional Chinese Medicine; QR, People's Hospital of </w:t>
      </w:r>
      <w:proofErr w:type="spellStart"/>
      <w:r w:rsidRPr="00EB0932">
        <w:rPr>
          <w:rFonts w:cs="Arial"/>
          <w:iCs/>
          <w:szCs w:val="21"/>
        </w:rPr>
        <w:t>Qufu</w:t>
      </w:r>
      <w:proofErr w:type="spellEnd"/>
      <w:r w:rsidRPr="00EB0932">
        <w:rPr>
          <w:rFonts w:cs="Arial"/>
          <w:iCs/>
          <w:szCs w:val="21"/>
        </w:rPr>
        <w:t xml:space="preserve">; QZ, People's Hospital of </w:t>
      </w:r>
      <w:proofErr w:type="spellStart"/>
      <w:r w:rsidRPr="00EB0932">
        <w:rPr>
          <w:rFonts w:cs="Arial"/>
          <w:iCs/>
          <w:szCs w:val="21"/>
        </w:rPr>
        <w:t>Qingzhou</w:t>
      </w:r>
      <w:proofErr w:type="spellEnd"/>
      <w:r w:rsidRPr="00EB0932">
        <w:rPr>
          <w:rFonts w:cs="Arial"/>
          <w:iCs/>
          <w:szCs w:val="21"/>
        </w:rPr>
        <w:t xml:space="preserve">; TA, </w:t>
      </w:r>
      <w:proofErr w:type="spellStart"/>
      <w:r w:rsidRPr="00EB0932">
        <w:rPr>
          <w:rFonts w:cs="Arial"/>
          <w:iCs/>
          <w:szCs w:val="21"/>
        </w:rPr>
        <w:t>Tai'an</w:t>
      </w:r>
      <w:proofErr w:type="spellEnd"/>
      <w:r w:rsidRPr="00EB0932">
        <w:rPr>
          <w:rFonts w:cs="Arial"/>
          <w:iCs/>
          <w:szCs w:val="21"/>
        </w:rPr>
        <w:t xml:space="preserve"> Tumor Hospital; WR, People's Hospital of </w:t>
      </w:r>
      <w:proofErr w:type="spellStart"/>
      <w:r w:rsidRPr="00EB0932">
        <w:rPr>
          <w:rFonts w:cs="Arial"/>
          <w:iCs/>
          <w:szCs w:val="21"/>
        </w:rPr>
        <w:t>Wenshang</w:t>
      </w:r>
      <w:proofErr w:type="spellEnd"/>
      <w:r w:rsidRPr="00EB0932">
        <w:rPr>
          <w:rFonts w:cs="Arial"/>
          <w:iCs/>
          <w:szCs w:val="21"/>
        </w:rPr>
        <w:t xml:space="preserve">; XT, People's Hospital of </w:t>
      </w:r>
      <w:proofErr w:type="spellStart"/>
      <w:r w:rsidRPr="00EB0932">
        <w:rPr>
          <w:rFonts w:cs="Arial"/>
          <w:iCs/>
          <w:szCs w:val="21"/>
        </w:rPr>
        <w:t>Xintai</w:t>
      </w:r>
      <w:proofErr w:type="spellEnd"/>
      <w:r w:rsidRPr="00EB0932">
        <w:rPr>
          <w:rFonts w:cs="Arial"/>
          <w:iCs/>
          <w:szCs w:val="21"/>
        </w:rPr>
        <w:t xml:space="preserve">; YZ, </w:t>
      </w:r>
      <w:proofErr w:type="spellStart"/>
      <w:r w:rsidRPr="00EB0932">
        <w:rPr>
          <w:rFonts w:cs="Arial"/>
          <w:iCs/>
          <w:szCs w:val="21"/>
        </w:rPr>
        <w:t>Yanzhou</w:t>
      </w:r>
      <w:proofErr w:type="spellEnd"/>
      <w:r w:rsidRPr="00EB0932">
        <w:rPr>
          <w:rFonts w:cs="Arial"/>
          <w:iCs/>
          <w:szCs w:val="21"/>
        </w:rPr>
        <w:t xml:space="preserve"> Hospital of Traditional Chinese Medicine.</w:t>
      </w:r>
    </w:p>
    <w:p w14:paraId="74C55875" w14:textId="30996DF3" w:rsidR="005A1CB4" w:rsidRPr="005A1CB4" w:rsidRDefault="005A1CB4" w:rsidP="005A1CB4">
      <w:pPr>
        <w:snapToGrid w:val="0"/>
        <w:spacing w:line="360" w:lineRule="auto"/>
        <w:rPr>
          <w:rFonts w:cs="Arial"/>
          <w:i/>
          <w:iCs/>
          <w:szCs w:val="21"/>
        </w:rPr>
      </w:pPr>
      <w:r w:rsidRPr="005A1CB4">
        <w:rPr>
          <w:rFonts w:cs="Arial"/>
          <w:i/>
          <w:iCs/>
          <w:szCs w:val="21"/>
        </w:rPr>
        <w:t>HC, healthy controls; LGIN, low-grade intraepithelial neoplasia; HGIN, high-grade intraepithelial neoplasia; UGIC, upper gastrointestinal cancer</w:t>
      </w:r>
      <w:r>
        <w:rPr>
          <w:rFonts w:cs="Arial" w:hint="eastAsia"/>
          <w:i/>
          <w:iCs/>
          <w:szCs w:val="21"/>
        </w:rPr>
        <w:t>.</w:t>
      </w:r>
    </w:p>
    <w:p w14:paraId="62C739C0" w14:textId="77777777" w:rsidR="00513F2A" w:rsidRPr="00EB0932" w:rsidRDefault="00513F2A" w:rsidP="005A1CB4">
      <w:pPr>
        <w:snapToGrid w:val="0"/>
        <w:spacing w:line="360" w:lineRule="auto"/>
        <w:rPr>
          <w:rFonts w:cs="Arial"/>
          <w:iCs/>
          <w:szCs w:val="21"/>
        </w:rPr>
      </w:pPr>
    </w:p>
    <w:p w14:paraId="4239A5B4" w14:textId="7C85E71E" w:rsidR="00534C1F" w:rsidRPr="00EB0932" w:rsidRDefault="00F11BC5" w:rsidP="005A1CB4">
      <w:pPr>
        <w:pStyle w:val="af3"/>
        <w:snapToGrid w:val="0"/>
        <w:spacing w:line="360" w:lineRule="auto"/>
        <w:rPr>
          <w:rFonts w:ascii="Arial" w:hAnsi="Arial" w:cs="Arial"/>
          <w:iCs/>
          <w:sz w:val="21"/>
          <w:szCs w:val="21"/>
        </w:rPr>
      </w:pPr>
      <w:bookmarkStart w:id="13" w:name="_Toc226734146"/>
      <w:bookmarkStart w:id="14" w:name="_Toc227337649"/>
      <w:bookmarkStart w:id="15" w:name="_Toc228455862"/>
      <w:r w:rsidRPr="00E9457D">
        <w:rPr>
          <w:rFonts w:ascii="Arial" w:hAnsi="Arial" w:cs="Arial"/>
          <w:b/>
          <w:bCs/>
          <w:sz w:val="21"/>
          <w:szCs w:val="21"/>
        </w:rPr>
        <w:t xml:space="preserve">Supplementary Table </w:t>
      </w:r>
      <w:r w:rsidR="001F4858" w:rsidRPr="00E9457D">
        <w:rPr>
          <w:rFonts w:ascii="Arial" w:hAnsi="Arial" w:cs="Arial"/>
          <w:b/>
          <w:bCs/>
          <w:sz w:val="21"/>
          <w:szCs w:val="21"/>
        </w:rPr>
        <w:fldChar w:fldCharType="begin"/>
      </w:r>
      <w:r w:rsidR="001F4858" w:rsidRPr="00E9457D">
        <w:rPr>
          <w:rFonts w:ascii="Arial" w:hAnsi="Arial" w:cs="Arial"/>
          <w:b/>
          <w:bCs/>
          <w:sz w:val="21"/>
          <w:szCs w:val="21"/>
        </w:rPr>
        <w:instrText xml:space="preserve"> SEQ Supplementary_Table \* ARABIC </w:instrText>
      </w:r>
      <w:r w:rsidR="001F4858" w:rsidRPr="00E9457D">
        <w:rPr>
          <w:rFonts w:ascii="Arial" w:hAnsi="Arial" w:cs="Arial"/>
          <w:b/>
          <w:bCs/>
          <w:sz w:val="21"/>
          <w:szCs w:val="21"/>
        </w:rPr>
        <w:fldChar w:fldCharType="separate"/>
      </w:r>
      <w:r w:rsidR="001F4858" w:rsidRPr="00E9457D">
        <w:rPr>
          <w:rFonts w:ascii="Arial" w:hAnsi="Arial" w:cs="Arial"/>
          <w:b/>
          <w:bCs/>
          <w:noProof/>
          <w:sz w:val="21"/>
          <w:szCs w:val="21"/>
        </w:rPr>
        <w:t>2</w:t>
      </w:r>
      <w:r w:rsidR="001F4858" w:rsidRPr="00E9457D">
        <w:rPr>
          <w:rFonts w:ascii="Arial" w:hAnsi="Arial" w:cs="Arial"/>
          <w:b/>
          <w:bCs/>
          <w:sz w:val="21"/>
          <w:szCs w:val="21"/>
        </w:rPr>
        <w:fldChar w:fldCharType="end"/>
      </w:r>
      <w:r w:rsidR="00E9457D" w:rsidRPr="00E9457D">
        <w:rPr>
          <w:rFonts w:ascii="Arial" w:hAnsi="Arial" w:cs="Arial" w:hint="eastAsia"/>
          <w:b/>
          <w:bCs/>
          <w:sz w:val="21"/>
          <w:szCs w:val="21"/>
        </w:rPr>
        <w:t>.</w:t>
      </w:r>
      <w:r w:rsidRPr="00E9457D">
        <w:rPr>
          <w:rFonts w:ascii="Arial" w:hAnsi="Arial" w:cs="Arial"/>
          <w:b/>
          <w:bCs/>
          <w:sz w:val="21"/>
          <w:szCs w:val="21"/>
        </w:rPr>
        <w:t xml:space="preserve"> </w:t>
      </w:r>
      <w:bookmarkEnd w:id="13"/>
      <w:r w:rsidR="00513F2A" w:rsidRPr="00EB0932">
        <w:rPr>
          <w:rFonts w:ascii="Arial" w:hAnsi="Arial" w:cs="Arial"/>
          <w:iCs/>
          <w:sz w:val="21"/>
          <w:szCs w:val="21"/>
        </w:rPr>
        <w:t>Pairwise Kolmogorov-Smirnov (K-S) test results comparing the distributions of degree across clinical stages.</w:t>
      </w:r>
      <w:bookmarkEnd w:id="14"/>
      <w:bookmarkEnd w:id="15"/>
    </w:p>
    <w:tbl>
      <w:tblPr>
        <w:tblStyle w:val="af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382"/>
        <w:gridCol w:w="1383"/>
        <w:gridCol w:w="1383"/>
        <w:gridCol w:w="1383"/>
      </w:tblGrid>
      <w:tr w:rsidR="005F4A63" w:rsidRPr="00EB0932" w14:paraId="29733C57" w14:textId="77777777" w:rsidTr="00CE22EB">
        <w:trPr>
          <w:jc w:val="center"/>
        </w:trPr>
        <w:tc>
          <w:tcPr>
            <w:tcW w:w="1382" w:type="dxa"/>
            <w:tcBorders>
              <w:top w:val="single" w:sz="4" w:space="0" w:color="auto"/>
              <w:bottom w:val="single" w:sz="4" w:space="0" w:color="auto"/>
            </w:tcBorders>
            <w:vAlign w:val="center"/>
          </w:tcPr>
          <w:p w14:paraId="5501F8F2"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Group1</w:t>
            </w:r>
          </w:p>
        </w:tc>
        <w:tc>
          <w:tcPr>
            <w:tcW w:w="1382" w:type="dxa"/>
            <w:tcBorders>
              <w:top w:val="single" w:sz="4" w:space="0" w:color="auto"/>
              <w:bottom w:val="single" w:sz="4" w:space="0" w:color="auto"/>
            </w:tcBorders>
            <w:vAlign w:val="center"/>
          </w:tcPr>
          <w:p w14:paraId="47B83959"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Group2</w:t>
            </w:r>
          </w:p>
        </w:tc>
        <w:tc>
          <w:tcPr>
            <w:tcW w:w="1383" w:type="dxa"/>
            <w:tcBorders>
              <w:top w:val="single" w:sz="4" w:space="0" w:color="auto"/>
              <w:bottom w:val="single" w:sz="4" w:space="0" w:color="auto"/>
            </w:tcBorders>
            <w:vAlign w:val="center"/>
          </w:tcPr>
          <w:p w14:paraId="017CF895" w14:textId="77777777" w:rsidR="005F4A63" w:rsidRPr="00EB0932" w:rsidRDefault="005F4A63" w:rsidP="005A1CB4">
            <w:pPr>
              <w:snapToGrid w:val="0"/>
              <w:spacing w:line="360" w:lineRule="auto"/>
              <w:jc w:val="center"/>
              <w:rPr>
                <w:rFonts w:ascii="Arial" w:hAnsi="Arial" w:cs="Arial"/>
                <w:szCs w:val="21"/>
              </w:rPr>
            </w:pPr>
            <w:proofErr w:type="spellStart"/>
            <w:r w:rsidRPr="00EB0932">
              <w:rPr>
                <w:rFonts w:ascii="Arial" w:hAnsi="Arial" w:cs="Arial"/>
                <w:szCs w:val="21"/>
              </w:rPr>
              <w:t>D_stat</w:t>
            </w:r>
            <w:proofErr w:type="spellEnd"/>
          </w:p>
        </w:tc>
        <w:tc>
          <w:tcPr>
            <w:tcW w:w="1383" w:type="dxa"/>
            <w:tcBorders>
              <w:top w:val="single" w:sz="4" w:space="0" w:color="auto"/>
              <w:bottom w:val="single" w:sz="4" w:space="0" w:color="auto"/>
            </w:tcBorders>
            <w:vAlign w:val="center"/>
          </w:tcPr>
          <w:p w14:paraId="32591929" w14:textId="77777777" w:rsidR="005F4A63" w:rsidRPr="00EB0932" w:rsidRDefault="005F4A63" w:rsidP="005A1CB4">
            <w:pPr>
              <w:snapToGrid w:val="0"/>
              <w:spacing w:line="360" w:lineRule="auto"/>
              <w:jc w:val="center"/>
              <w:rPr>
                <w:rFonts w:ascii="Arial" w:hAnsi="Arial" w:cs="Arial"/>
                <w:szCs w:val="21"/>
              </w:rPr>
            </w:pPr>
            <w:proofErr w:type="spellStart"/>
            <w:r w:rsidRPr="00EB0932">
              <w:rPr>
                <w:rFonts w:ascii="Arial" w:hAnsi="Arial" w:cs="Arial"/>
                <w:szCs w:val="21"/>
              </w:rPr>
              <w:t>P_value</w:t>
            </w:r>
            <w:proofErr w:type="spellEnd"/>
          </w:p>
        </w:tc>
        <w:tc>
          <w:tcPr>
            <w:tcW w:w="1383" w:type="dxa"/>
            <w:tcBorders>
              <w:top w:val="single" w:sz="4" w:space="0" w:color="auto"/>
              <w:bottom w:val="single" w:sz="4" w:space="0" w:color="auto"/>
            </w:tcBorders>
            <w:vAlign w:val="center"/>
          </w:tcPr>
          <w:p w14:paraId="1F271A1B"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P_FDR</w:t>
            </w:r>
          </w:p>
        </w:tc>
      </w:tr>
      <w:tr w:rsidR="005F4A63" w:rsidRPr="00EB0932" w14:paraId="6022E5C5" w14:textId="77777777" w:rsidTr="00CE22EB">
        <w:trPr>
          <w:jc w:val="center"/>
        </w:trPr>
        <w:tc>
          <w:tcPr>
            <w:tcW w:w="1382" w:type="dxa"/>
            <w:tcBorders>
              <w:top w:val="single" w:sz="4" w:space="0" w:color="auto"/>
            </w:tcBorders>
            <w:vAlign w:val="center"/>
          </w:tcPr>
          <w:p w14:paraId="44DE9DB0"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HC</w:t>
            </w:r>
          </w:p>
        </w:tc>
        <w:tc>
          <w:tcPr>
            <w:tcW w:w="1382" w:type="dxa"/>
            <w:tcBorders>
              <w:top w:val="single" w:sz="4" w:space="0" w:color="auto"/>
            </w:tcBorders>
            <w:vAlign w:val="center"/>
          </w:tcPr>
          <w:p w14:paraId="2B5438BD"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LGIN</w:t>
            </w:r>
          </w:p>
        </w:tc>
        <w:tc>
          <w:tcPr>
            <w:tcW w:w="1383" w:type="dxa"/>
            <w:tcBorders>
              <w:top w:val="single" w:sz="4" w:space="0" w:color="auto"/>
            </w:tcBorders>
            <w:vAlign w:val="center"/>
          </w:tcPr>
          <w:p w14:paraId="59116F4B"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0.181</w:t>
            </w:r>
          </w:p>
        </w:tc>
        <w:tc>
          <w:tcPr>
            <w:tcW w:w="1383" w:type="dxa"/>
            <w:tcBorders>
              <w:top w:val="single" w:sz="4" w:space="0" w:color="auto"/>
            </w:tcBorders>
            <w:vAlign w:val="center"/>
          </w:tcPr>
          <w:p w14:paraId="0CE778C6"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0.001</w:t>
            </w:r>
            <w:r w:rsidRPr="00EB0932">
              <w:rPr>
                <w:rFonts w:ascii="Arial" w:hAnsi="Arial" w:cs="Arial"/>
                <w:szCs w:val="21"/>
                <w:u w:val="single"/>
              </w:rPr>
              <w:t>18</w:t>
            </w:r>
          </w:p>
        </w:tc>
        <w:tc>
          <w:tcPr>
            <w:tcW w:w="1383" w:type="dxa"/>
            <w:tcBorders>
              <w:top w:val="single" w:sz="4" w:space="0" w:color="auto"/>
            </w:tcBorders>
            <w:vAlign w:val="center"/>
          </w:tcPr>
          <w:p w14:paraId="27110651"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0.002</w:t>
            </w:r>
            <w:r w:rsidRPr="00EB0932">
              <w:rPr>
                <w:rFonts w:ascii="Arial" w:hAnsi="Arial" w:cs="Arial"/>
                <w:szCs w:val="21"/>
                <w:u w:val="single"/>
              </w:rPr>
              <w:t>35</w:t>
            </w:r>
          </w:p>
        </w:tc>
      </w:tr>
      <w:tr w:rsidR="005F4A63" w:rsidRPr="00EB0932" w14:paraId="0BA0D538" w14:textId="77777777" w:rsidTr="00CE22EB">
        <w:trPr>
          <w:jc w:val="center"/>
        </w:trPr>
        <w:tc>
          <w:tcPr>
            <w:tcW w:w="1382" w:type="dxa"/>
            <w:vAlign w:val="center"/>
          </w:tcPr>
          <w:p w14:paraId="35D5A8FC"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HC</w:t>
            </w:r>
          </w:p>
        </w:tc>
        <w:tc>
          <w:tcPr>
            <w:tcW w:w="1382" w:type="dxa"/>
            <w:vAlign w:val="center"/>
          </w:tcPr>
          <w:p w14:paraId="60C08D08"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HGIN</w:t>
            </w:r>
          </w:p>
        </w:tc>
        <w:tc>
          <w:tcPr>
            <w:tcW w:w="1383" w:type="dxa"/>
            <w:vAlign w:val="center"/>
          </w:tcPr>
          <w:p w14:paraId="55EF62AB"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0.199</w:t>
            </w:r>
          </w:p>
        </w:tc>
        <w:tc>
          <w:tcPr>
            <w:tcW w:w="1383" w:type="dxa"/>
            <w:vAlign w:val="center"/>
          </w:tcPr>
          <w:p w14:paraId="5BA91023"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0.000</w:t>
            </w:r>
            <w:r w:rsidRPr="00EB0932">
              <w:rPr>
                <w:rFonts w:ascii="Arial" w:hAnsi="Arial" w:cs="Arial"/>
                <w:szCs w:val="21"/>
                <w:u w:val="single"/>
              </w:rPr>
              <w:t>257</w:t>
            </w:r>
          </w:p>
        </w:tc>
        <w:tc>
          <w:tcPr>
            <w:tcW w:w="1383" w:type="dxa"/>
            <w:vAlign w:val="center"/>
          </w:tcPr>
          <w:p w14:paraId="7FDCFCA2"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0.000</w:t>
            </w:r>
            <w:r w:rsidRPr="00EB0932">
              <w:rPr>
                <w:rFonts w:ascii="Arial" w:hAnsi="Arial" w:cs="Arial"/>
                <w:szCs w:val="21"/>
                <w:u w:val="single"/>
              </w:rPr>
              <w:t>771</w:t>
            </w:r>
          </w:p>
        </w:tc>
      </w:tr>
      <w:tr w:rsidR="005F4A63" w:rsidRPr="00EB0932" w14:paraId="6DE39B44" w14:textId="77777777" w:rsidTr="00CE22EB">
        <w:trPr>
          <w:jc w:val="center"/>
        </w:trPr>
        <w:tc>
          <w:tcPr>
            <w:tcW w:w="1382" w:type="dxa"/>
            <w:vAlign w:val="center"/>
          </w:tcPr>
          <w:p w14:paraId="34206C75"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HC</w:t>
            </w:r>
          </w:p>
        </w:tc>
        <w:tc>
          <w:tcPr>
            <w:tcW w:w="1382" w:type="dxa"/>
            <w:vAlign w:val="center"/>
          </w:tcPr>
          <w:p w14:paraId="5AED974C"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UGIC</w:t>
            </w:r>
          </w:p>
        </w:tc>
        <w:tc>
          <w:tcPr>
            <w:tcW w:w="1383" w:type="dxa"/>
            <w:vAlign w:val="center"/>
          </w:tcPr>
          <w:p w14:paraId="67D233CC"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0.226</w:t>
            </w:r>
          </w:p>
        </w:tc>
        <w:tc>
          <w:tcPr>
            <w:tcW w:w="1383" w:type="dxa"/>
            <w:vAlign w:val="center"/>
          </w:tcPr>
          <w:p w14:paraId="0619F640"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0.000</w:t>
            </w:r>
            <w:r w:rsidRPr="00EB0932">
              <w:rPr>
                <w:rFonts w:ascii="Arial" w:hAnsi="Arial" w:cs="Arial"/>
                <w:szCs w:val="21"/>
                <w:u w:val="single"/>
              </w:rPr>
              <w:t>020</w:t>
            </w:r>
            <w:r w:rsidRPr="00EB0932">
              <w:rPr>
                <w:rFonts w:ascii="Arial" w:hAnsi="Arial" w:cs="Arial"/>
                <w:szCs w:val="21"/>
              </w:rPr>
              <w:t>1</w:t>
            </w:r>
          </w:p>
        </w:tc>
        <w:tc>
          <w:tcPr>
            <w:tcW w:w="1383" w:type="dxa"/>
            <w:vAlign w:val="center"/>
          </w:tcPr>
          <w:p w14:paraId="2D08A043"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0.000</w:t>
            </w:r>
            <w:r w:rsidRPr="00EB0932">
              <w:rPr>
                <w:rFonts w:ascii="Arial" w:hAnsi="Arial" w:cs="Arial"/>
                <w:szCs w:val="21"/>
                <w:u w:val="single"/>
              </w:rPr>
              <w:t>120</w:t>
            </w:r>
          </w:p>
        </w:tc>
      </w:tr>
      <w:tr w:rsidR="005F4A63" w:rsidRPr="00EB0932" w14:paraId="796628AE" w14:textId="77777777" w:rsidTr="00CE22EB">
        <w:trPr>
          <w:jc w:val="center"/>
        </w:trPr>
        <w:tc>
          <w:tcPr>
            <w:tcW w:w="1382" w:type="dxa"/>
            <w:vAlign w:val="center"/>
          </w:tcPr>
          <w:p w14:paraId="4FC87052"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LGIN</w:t>
            </w:r>
          </w:p>
        </w:tc>
        <w:tc>
          <w:tcPr>
            <w:tcW w:w="1382" w:type="dxa"/>
            <w:vAlign w:val="center"/>
          </w:tcPr>
          <w:p w14:paraId="5789D3ED"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HGIN</w:t>
            </w:r>
          </w:p>
        </w:tc>
        <w:tc>
          <w:tcPr>
            <w:tcW w:w="1383" w:type="dxa"/>
            <w:vAlign w:val="center"/>
          </w:tcPr>
          <w:p w14:paraId="5D9418A4"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0.079</w:t>
            </w:r>
            <w:r w:rsidRPr="00EB0932">
              <w:rPr>
                <w:rFonts w:ascii="Arial" w:hAnsi="Arial" w:cs="Arial"/>
                <w:szCs w:val="21"/>
                <w:u w:val="single"/>
              </w:rPr>
              <w:t>6</w:t>
            </w:r>
          </w:p>
        </w:tc>
        <w:tc>
          <w:tcPr>
            <w:tcW w:w="1383" w:type="dxa"/>
            <w:vAlign w:val="center"/>
          </w:tcPr>
          <w:p w14:paraId="15823AD9"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0.470</w:t>
            </w:r>
          </w:p>
        </w:tc>
        <w:tc>
          <w:tcPr>
            <w:tcW w:w="1383" w:type="dxa"/>
            <w:vAlign w:val="center"/>
          </w:tcPr>
          <w:p w14:paraId="4018668E"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0.470</w:t>
            </w:r>
          </w:p>
        </w:tc>
      </w:tr>
      <w:tr w:rsidR="005F4A63" w:rsidRPr="00EB0932" w14:paraId="0B10E0C3" w14:textId="77777777" w:rsidTr="00CE22EB">
        <w:trPr>
          <w:jc w:val="center"/>
        </w:trPr>
        <w:tc>
          <w:tcPr>
            <w:tcW w:w="1382" w:type="dxa"/>
            <w:vAlign w:val="center"/>
          </w:tcPr>
          <w:p w14:paraId="5F338396"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LGIN</w:t>
            </w:r>
          </w:p>
        </w:tc>
        <w:tc>
          <w:tcPr>
            <w:tcW w:w="1382" w:type="dxa"/>
            <w:vAlign w:val="center"/>
          </w:tcPr>
          <w:p w14:paraId="564C034F"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UGIC</w:t>
            </w:r>
          </w:p>
        </w:tc>
        <w:tc>
          <w:tcPr>
            <w:tcW w:w="1383" w:type="dxa"/>
            <w:vAlign w:val="center"/>
          </w:tcPr>
          <w:p w14:paraId="3D27C42B"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0.173</w:t>
            </w:r>
          </w:p>
        </w:tc>
        <w:tc>
          <w:tcPr>
            <w:tcW w:w="1383" w:type="dxa"/>
            <w:vAlign w:val="center"/>
          </w:tcPr>
          <w:p w14:paraId="399D70A0"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0.002</w:t>
            </w:r>
            <w:r w:rsidRPr="00EB0932">
              <w:rPr>
                <w:rFonts w:ascii="Arial" w:hAnsi="Arial" w:cs="Arial"/>
                <w:szCs w:val="21"/>
                <w:u w:val="single"/>
              </w:rPr>
              <w:t>39</w:t>
            </w:r>
          </w:p>
        </w:tc>
        <w:tc>
          <w:tcPr>
            <w:tcW w:w="1383" w:type="dxa"/>
            <w:vAlign w:val="center"/>
          </w:tcPr>
          <w:p w14:paraId="67F67D25"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0.003</w:t>
            </w:r>
            <w:r w:rsidRPr="00EB0932">
              <w:rPr>
                <w:rFonts w:ascii="Arial" w:hAnsi="Arial" w:cs="Arial"/>
                <w:szCs w:val="21"/>
                <w:u w:val="single"/>
              </w:rPr>
              <w:t>58</w:t>
            </w:r>
          </w:p>
        </w:tc>
      </w:tr>
      <w:tr w:rsidR="005F4A63" w:rsidRPr="00EB0932" w14:paraId="2E088D88" w14:textId="77777777" w:rsidTr="00CE22EB">
        <w:trPr>
          <w:jc w:val="center"/>
        </w:trPr>
        <w:tc>
          <w:tcPr>
            <w:tcW w:w="1382" w:type="dxa"/>
            <w:vAlign w:val="center"/>
          </w:tcPr>
          <w:p w14:paraId="218B4520"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HGIN</w:t>
            </w:r>
          </w:p>
        </w:tc>
        <w:tc>
          <w:tcPr>
            <w:tcW w:w="1382" w:type="dxa"/>
            <w:vAlign w:val="center"/>
          </w:tcPr>
          <w:p w14:paraId="76E79D83"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UGIC</w:t>
            </w:r>
          </w:p>
        </w:tc>
        <w:tc>
          <w:tcPr>
            <w:tcW w:w="1383" w:type="dxa"/>
            <w:vAlign w:val="center"/>
          </w:tcPr>
          <w:p w14:paraId="2E928FF8"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0.150</w:t>
            </w:r>
          </w:p>
        </w:tc>
        <w:tc>
          <w:tcPr>
            <w:tcW w:w="1383" w:type="dxa"/>
            <w:vAlign w:val="center"/>
          </w:tcPr>
          <w:p w14:paraId="47A9EDCB"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0.012</w:t>
            </w:r>
            <w:r w:rsidRPr="00EB0932">
              <w:rPr>
                <w:rFonts w:ascii="Arial" w:hAnsi="Arial" w:cs="Arial"/>
                <w:szCs w:val="21"/>
                <w:u w:val="single"/>
              </w:rPr>
              <w:t>0</w:t>
            </w:r>
          </w:p>
        </w:tc>
        <w:tc>
          <w:tcPr>
            <w:tcW w:w="1383" w:type="dxa"/>
            <w:vAlign w:val="center"/>
          </w:tcPr>
          <w:p w14:paraId="5D145046" w14:textId="77777777" w:rsidR="005F4A63" w:rsidRPr="00EB0932" w:rsidRDefault="005F4A63" w:rsidP="005A1CB4">
            <w:pPr>
              <w:snapToGrid w:val="0"/>
              <w:spacing w:line="360" w:lineRule="auto"/>
              <w:jc w:val="center"/>
              <w:rPr>
                <w:rFonts w:ascii="Arial" w:hAnsi="Arial" w:cs="Arial"/>
                <w:szCs w:val="21"/>
              </w:rPr>
            </w:pPr>
            <w:r w:rsidRPr="00EB0932">
              <w:rPr>
                <w:rFonts w:ascii="Arial" w:hAnsi="Arial" w:cs="Arial"/>
                <w:szCs w:val="21"/>
              </w:rPr>
              <w:t>0.014</w:t>
            </w:r>
            <w:r w:rsidRPr="00EB0932">
              <w:rPr>
                <w:rFonts w:ascii="Arial" w:hAnsi="Arial" w:cs="Arial"/>
                <w:szCs w:val="21"/>
                <w:u w:val="single"/>
              </w:rPr>
              <w:t>4</w:t>
            </w:r>
          </w:p>
        </w:tc>
      </w:tr>
    </w:tbl>
    <w:p w14:paraId="71C30258" w14:textId="613DEFCA" w:rsidR="005A1CB4" w:rsidRDefault="00513F2A" w:rsidP="005A1CB4">
      <w:pPr>
        <w:snapToGrid w:val="0"/>
        <w:spacing w:line="360" w:lineRule="auto"/>
        <w:rPr>
          <w:rFonts w:cs="Arial"/>
          <w:szCs w:val="21"/>
        </w:rPr>
      </w:pPr>
      <w:proofErr w:type="spellStart"/>
      <w:r w:rsidRPr="00EB0932">
        <w:rPr>
          <w:rFonts w:cs="Arial"/>
          <w:szCs w:val="21"/>
        </w:rPr>
        <w:t>D_stat</w:t>
      </w:r>
      <w:proofErr w:type="spellEnd"/>
      <w:r w:rsidRPr="00EB0932">
        <w:rPr>
          <w:rFonts w:cs="Arial"/>
          <w:szCs w:val="21"/>
        </w:rPr>
        <w:t>, Kolmogorov-Smirnov test statistic representing the maximum distance between the empirical cumulative distribution functions of the two groups; P_FDR, false discovery rate-adjusted P value.</w:t>
      </w:r>
    </w:p>
    <w:p w14:paraId="23B704E9" w14:textId="43B42A2E" w:rsidR="00513F2A" w:rsidRPr="005A1CB4" w:rsidRDefault="00513F2A" w:rsidP="005A1CB4">
      <w:pPr>
        <w:snapToGrid w:val="0"/>
        <w:spacing w:line="360" w:lineRule="auto"/>
        <w:rPr>
          <w:rFonts w:cs="Arial"/>
          <w:i/>
          <w:iCs/>
          <w:szCs w:val="21"/>
        </w:rPr>
      </w:pPr>
      <w:r w:rsidRPr="005A1CB4">
        <w:rPr>
          <w:rFonts w:cs="Arial"/>
          <w:i/>
          <w:iCs/>
          <w:szCs w:val="21"/>
        </w:rPr>
        <w:t>HC, healthy controls; LGIN, low-grade intraepithelial neoplasia; HGIN, high-grade intraepithelial neoplasia; UGIC, upper gastrointestinal cancer.</w:t>
      </w:r>
    </w:p>
    <w:p w14:paraId="03C21A29" w14:textId="77777777" w:rsidR="00513F2A" w:rsidRPr="00EB0932" w:rsidRDefault="00513F2A" w:rsidP="005A1CB4">
      <w:pPr>
        <w:snapToGrid w:val="0"/>
        <w:spacing w:line="360" w:lineRule="auto"/>
        <w:rPr>
          <w:rFonts w:cs="Arial"/>
          <w:szCs w:val="21"/>
        </w:rPr>
      </w:pPr>
    </w:p>
    <w:p w14:paraId="39E6C844" w14:textId="2D280641" w:rsidR="001F4858" w:rsidRPr="00EB0932" w:rsidRDefault="001F4858" w:rsidP="005A1CB4">
      <w:pPr>
        <w:pStyle w:val="af3"/>
        <w:keepNext/>
        <w:snapToGrid w:val="0"/>
        <w:spacing w:line="360" w:lineRule="auto"/>
        <w:rPr>
          <w:rFonts w:ascii="Arial" w:hAnsi="Arial" w:cs="Arial"/>
          <w:sz w:val="21"/>
          <w:szCs w:val="21"/>
        </w:rPr>
      </w:pPr>
      <w:bookmarkStart w:id="16" w:name="_Toc226734147"/>
      <w:bookmarkStart w:id="17" w:name="_Toc227337650"/>
      <w:bookmarkStart w:id="18" w:name="_Toc228455863"/>
      <w:r w:rsidRPr="00E9457D">
        <w:rPr>
          <w:rFonts w:ascii="Arial" w:hAnsi="Arial" w:cs="Arial"/>
          <w:b/>
          <w:bCs/>
          <w:sz w:val="21"/>
          <w:szCs w:val="21"/>
        </w:rPr>
        <w:t xml:space="preserve">Supplementary Table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Supplementary_Table \* ARABIC </w:instrText>
      </w:r>
      <w:r w:rsidRPr="00E9457D">
        <w:rPr>
          <w:rFonts w:ascii="Arial" w:hAnsi="Arial" w:cs="Arial"/>
          <w:b/>
          <w:bCs/>
          <w:sz w:val="21"/>
          <w:szCs w:val="21"/>
        </w:rPr>
        <w:fldChar w:fldCharType="separate"/>
      </w:r>
      <w:r w:rsidRPr="00E9457D">
        <w:rPr>
          <w:rFonts w:ascii="Arial" w:hAnsi="Arial" w:cs="Arial"/>
          <w:b/>
          <w:bCs/>
          <w:noProof/>
          <w:sz w:val="21"/>
          <w:szCs w:val="21"/>
        </w:rPr>
        <w:t>3</w:t>
      </w:r>
      <w:r w:rsidRPr="00E9457D">
        <w:rPr>
          <w:rFonts w:ascii="Arial" w:hAnsi="Arial" w:cs="Arial"/>
          <w:b/>
          <w:bCs/>
          <w:sz w:val="21"/>
          <w:szCs w:val="21"/>
        </w:rPr>
        <w:fldChar w:fldCharType="end"/>
      </w:r>
      <w:r w:rsidR="00E9457D" w:rsidRPr="00E9457D">
        <w:rPr>
          <w:rFonts w:ascii="Arial" w:hAnsi="Arial" w:cs="Arial" w:hint="eastAsia"/>
          <w:b/>
          <w:bCs/>
          <w:sz w:val="21"/>
          <w:szCs w:val="21"/>
        </w:rPr>
        <w:t>.</w:t>
      </w:r>
      <w:r w:rsidRPr="00E9457D">
        <w:rPr>
          <w:rFonts w:ascii="Arial" w:hAnsi="Arial" w:cs="Arial"/>
          <w:b/>
          <w:bCs/>
          <w:sz w:val="21"/>
          <w:szCs w:val="21"/>
        </w:rPr>
        <w:t xml:space="preserve"> </w:t>
      </w:r>
      <w:r w:rsidRPr="00EB0932">
        <w:rPr>
          <w:rFonts w:ascii="Arial" w:hAnsi="Arial" w:cs="Arial"/>
          <w:sz w:val="21"/>
          <w:szCs w:val="21"/>
        </w:rPr>
        <w:t xml:space="preserve">Reconnection edge counts of core high-reconnect </w:t>
      </w:r>
      <w:bookmarkEnd w:id="16"/>
      <w:bookmarkEnd w:id="17"/>
      <w:bookmarkEnd w:id="18"/>
      <w:r w:rsidR="00ED2B03">
        <w:rPr>
          <w:rFonts w:ascii="Arial" w:hAnsi="Arial" w:cs="Arial" w:hint="eastAsia"/>
          <w:sz w:val="21"/>
          <w:szCs w:val="21"/>
        </w:rPr>
        <w:t>species</w:t>
      </w:r>
    </w:p>
    <w:tbl>
      <w:tblPr>
        <w:tblStyle w:val="21"/>
        <w:tblW w:w="9555" w:type="dxa"/>
        <w:jc w:val="center"/>
        <w:tblBorders>
          <w:top w:val="single" w:sz="4" w:space="0" w:color="auto"/>
          <w:bottom w:val="single" w:sz="4" w:space="0" w:color="auto"/>
        </w:tblBorders>
        <w:tblLayout w:type="fixed"/>
        <w:tblLook w:val="04A0" w:firstRow="1" w:lastRow="0" w:firstColumn="1" w:lastColumn="0" w:noHBand="0" w:noVBand="1"/>
      </w:tblPr>
      <w:tblGrid>
        <w:gridCol w:w="3261"/>
        <w:gridCol w:w="2098"/>
        <w:gridCol w:w="2098"/>
        <w:gridCol w:w="2098"/>
      </w:tblGrid>
      <w:tr w:rsidR="00513F2A" w:rsidRPr="00EB0932" w14:paraId="212FA6B5" w14:textId="77777777" w:rsidTr="00E9457D">
        <w:trPr>
          <w:cnfStyle w:val="100000000000" w:firstRow="1" w:lastRow="0" w:firstColumn="0" w:lastColumn="0" w:oddVBand="0" w:evenVBand="0" w:oddHBand="0" w:evenHBand="0" w:firstRowFirstColumn="0" w:firstRowLastColumn="0" w:lastRowFirstColumn="0" w:lastRowLastColumn="0"/>
          <w:trHeight w:val="758"/>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bottom w:val="single" w:sz="4" w:space="0" w:color="auto"/>
            </w:tcBorders>
            <w:vAlign w:val="center"/>
          </w:tcPr>
          <w:p w14:paraId="4C83F46C" w14:textId="77777777" w:rsidR="001F4858" w:rsidRPr="00EB0932" w:rsidRDefault="001F4858" w:rsidP="005A1CB4">
            <w:pPr>
              <w:snapToGrid w:val="0"/>
              <w:spacing w:line="360" w:lineRule="auto"/>
              <w:jc w:val="center"/>
              <w:rPr>
                <w:rFonts w:cs="Arial"/>
                <w:b w:val="0"/>
                <w:bCs w:val="0"/>
                <w:szCs w:val="21"/>
              </w:rPr>
            </w:pPr>
            <w:r w:rsidRPr="00EB0932">
              <w:rPr>
                <w:rFonts w:cs="Arial"/>
                <w:b w:val="0"/>
                <w:bCs w:val="0"/>
                <w:szCs w:val="21"/>
              </w:rPr>
              <w:t>taxa</w:t>
            </w:r>
          </w:p>
        </w:tc>
        <w:tc>
          <w:tcPr>
            <w:tcW w:w="2098" w:type="dxa"/>
            <w:tcBorders>
              <w:top w:val="single" w:sz="4" w:space="0" w:color="auto"/>
              <w:bottom w:val="single" w:sz="4" w:space="0" w:color="auto"/>
            </w:tcBorders>
            <w:vAlign w:val="center"/>
          </w:tcPr>
          <w:p w14:paraId="7D44B995" w14:textId="48A8403B" w:rsidR="001F4858" w:rsidRPr="00EB0932" w:rsidRDefault="001F4858" w:rsidP="005A1CB4">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B0932">
              <w:rPr>
                <w:rFonts w:cs="Arial"/>
                <w:b w:val="0"/>
                <w:bCs w:val="0"/>
                <w:szCs w:val="21"/>
              </w:rPr>
              <w:t>LGIN</w:t>
            </w:r>
            <w:r w:rsidR="00012CDF" w:rsidRPr="00EB0932">
              <w:rPr>
                <w:rFonts w:cs="Arial"/>
                <w:b w:val="0"/>
                <w:bCs w:val="0"/>
                <w:szCs w:val="21"/>
              </w:rPr>
              <w:br/>
            </w:r>
            <w:r w:rsidRPr="00EB0932">
              <w:rPr>
                <w:rFonts w:cs="Arial"/>
                <w:b w:val="0"/>
                <w:bCs w:val="0"/>
                <w:szCs w:val="21"/>
              </w:rPr>
              <w:t>diff</w:t>
            </w:r>
            <w:r w:rsidR="00012CDF" w:rsidRPr="00EB0932">
              <w:rPr>
                <w:rFonts w:cs="Arial"/>
                <w:b w:val="0"/>
                <w:bCs w:val="0"/>
                <w:szCs w:val="21"/>
              </w:rPr>
              <w:t xml:space="preserve">erent </w:t>
            </w:r>
            <w:r w:rsidRPr="00EB0932">
              <w:rPr>
                <w:rFonts w:cs="Arial"/>
                <w:b w:val="0"/>
                <w:bCs w:val="0"/>
                <w:szCs w:val="21"/>
              </w:rPr>
              <w:t>edges</w:t>
            </w:r>
          </w:p>
        </w:tc>
        <w:tc>
          <w:tcPr>
            <w:tcW w:w="2098" w:type="dxa"/>
            <w:tcBorders>
              <w:top w:val="single" w:sz="4" w:space="0" w:color="auto"/>
              <w:bottom w:val="single" w:sz="4" w:space="0" w:color="auto"/>
            </w:tcBorders>
            <w:vAlign w:val="center"/>
          </w:tcPr>
          <w:p w14:paraId="50908DFA" w14:textId="51D70437" w:rsidR="001F4858" w:rsidRPr="00EB0932" w:rsidRDefault="001F4858" w:rsidP="005A1CB4">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B0932">
              <w:rPr>
                <w:rFonts w:cs="Arial"/>
                <w:b w:val="0"/>
                <w:bCs w:val="0"/>
                <w:szCs w:val="21"/>
              </w:rPr>
              <w:t>HGIN</w:t>
            </w:r>
            <w:r w:rsidR="00012CDF" w:rsidRPr="00EB0932">
              <w:rPr>
                <w:rFonts w:cs="Arial"/>
                <w:b w:val="0"/>
                <w:bCs w:val="0"/>
                <w:szCs w:val="21"/>
              </w:rPr>
              <w:br/>
              <w:t>different edges</w:t>
            </w:r>
          </w:p>
        </w:tc>
        <w:tc>
          <w:tcPr>
            <w:tcW w:w="2098" w:type="dxa"/>
            <w:tcBorders>
              <w:top w:val="single" w:sz="4" w:space="0" w:color="auto"/>
              <w:bottom w:val="single" w:sz="4" w:space="0" w:color="auto"/>
            </w:tcBorders>
            <w:vAlign w:val="center"/>
          </w:tcPr>
          <w:p w14:paraId="54A38B9B" w14:textId="36C1D573" w:rsidR="001F4858" w:rsidRPr="00EB0932" w:rsidRDefault="001F4858" w:rsidP="005A1CB4">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B0932">
              <w:rPr>
                <w:rFonts w:cs="Arial"/>
                <w:b w:val="0"/>
                <w:bCs w:val="0"/>
                <w:szCs w:val="21"/>
              </w:rPr>
              <w:t>UGIC</w:t>
            </w:r>
            <w:r w:rsidR="00012CDF" w:rsidRPr="00EB0932">
              <w:rPr>
                <w:rFonts w:cs="Arial"/>
                <w:b w:val="0"/>
                <w:bCs w:val="0"/>
                <w:szCs w:val="21"/>
              </w:rPr>
              <w:br/>
              <w:t>different edges</w:t>
            </w:r>
          </w:p>
        </w:tc>
      </w:tr>
      <w:tr w:rsidR="00513F2A" w:rsidRPr="00EB0932" w14:paraId="00902DA4" w14:textId="77777777" w:rsidTr="00E945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bottom w:val="nil"/>
            </w:tcBorders>
          </w:tcPr>
          <w:p w14:paraId="3C1B28B9" w14:textId="77777777" w:rsidR="001F4858" w:rsidRPr="00EB0932" w:rsidRDefault="001F4858" w:rsidP="005A1CB4">
            <w:pPr>
              <w:snapToGrid w:val="0"/>
              <w:spacing w:line="360" w:lineRule="auto"/>
              <w:rPr>
                <w:rFonts w:cs="Arial"/>
                <w:b w:val="0"/>
                <w:bCs w:val="0"/>
                <w:szCs w:val="21"/>
              </w:rPr>
            </w:pPr>
            <w:proofErr w:type="spellStart"/>
            <w:r w:rsidRPr="00EB0932">
              <w:rPr>
                <w:rFonts w:cs="Arial"/>
                <w:b w:val="0"/>
                <w:bCs w:val="0"/>
                <w:szCs w:val="21"/>
              </w:rPr>
              <w:t>Prevotella_baroniae</w:t>
            </w:r>
            <w:proofErr w:type="spellEnd"/>
          </w:p>
        </w:tc>
        <w:tc>
          <w:tcPr>
            <w:tcW w:w="2098" w:type="dxa"/>
            <w:tcBorders>
              <w:top w:val="single" w:sz="4" w:space="0" w:color="auto"/>
              <w:bottom w:val="nil"/>
            </w:tcBorders>
            <w:vAlign w:val="center"/>
          </w:tcPr>
          <w:p w14:paraId="78F6192B"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42</w:t>
            </w:r>
          </w:p>
        </w:tc>
        <w:tc>
          <w:tcPr>
            <w:tcW w:w="2098" w:type="dxa"/>
            <w:tcBorders>
              <w:top w:val="single" w:sz="4" w:space="0" w:color="auto"/>
              <w:bottom w:val="nil"/>
            </w:tcBorders>
            <w:vAlign w:val="center"/>
          </w:tcPr>
          <w:p w14:paraId="14309044"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40</w:t>
            </w:r>
          </w:p>
        </w:tc>
        <w:tc>
          <w:tcPr>
            <w:tcW w:w="2098" w:type="dxa"/>
            <w:tcBorders>
              <w:top w:val="single" w:sz="4" w:space="0" w:color="auto"/>
              <w:bottom w:val="nil"/>
            </w:tcBorders>
            <w:vAlign w:val="center"/>
          </w:tcPr>
          <w:p w14:paraId="261B4E1B"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31</w:t>
            </w:r>
          </w:p>
        </w:tc>
      </w:tr>
      <w:tr w:rsidR="00513F2A" w:rsidRPr="00EB0932" w14:paraId="04ED3F32" w14:textId="77777777" w:rsidTr="00E9457D">
        <w:trPr>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36339929" w14:textId="77777777" w:rsidR="001F4858" w:rsidRPr="00EB0932" w:rsidRDefault="001F4858" w:rsidP="005A1CB4">
            <w:pPr>
              <w:snapToGrid w:val="0"/>
              <w:spacing w:line="360" w:lineRule="auto"/>
              <w:rPr>
                <w:rFonts w:cs="Arial"/>
                <w:b w:val="0"/>
                <w:bCs w:val="0"/>
                <w:szCs w:val="21"/>
              </w:rPr>
            </w:pPr>
            <w:proofErr w:type="spellStart"/>
            <w:r w:rsidRPr="00EB0932">
              <w:rPr>
                <w:rFonts w:cs="Arial"/>
                <w:b w:val="0"/>
                <w:bCs w:val="0"/>
                <w:szCs w:val="21"/>
              </w:rPr>
              <w:t>Prevotellaceae_bacterium</w:t>
            </w:r>
            <w:proofErr w:type="spellEnd"/>
          </w:p>
        </w:tc>
        <w:tc>
          <w:tcPr>
            <w:tcW w:w="2098" w:type="dxa"/>
            <w:tcBorders>
              <w:top w:val="nil"/>
              <w:bottom w:val="nil"/>
            </w:tcBorders>
            <w:vAlign w:val="center"/>
          </w:tcPr>
          <w:p w14:paraId="748796A7"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37</w:t>
            </w:r>
          </w:p>
        </w:tc>
        <w:tc>
          <w:tcPr>
            <w:tcW w:w="2098" w:type="dxa"/>
            <w:tcBorders>
              <w:top w:val="nil"/>
              <w:bottom w:val="nil"/>
            </w:tcBorders>
            <w:vAlign w:val="center"/>
          </w:tcPr>
          <w:p w14:paraId="10AB8B64"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41</w:t>
            </w:r>
          </w:p>
        </w:tc>
        <w:tc>
          <w:tcPr>
            <w:tcW w:w="2098" w:type="dxa"/>
            <w:tcBorders>
              <w:top w:val="nil"/>
              <w:bottom w:val="nil"/>
            </w:tcBorders>
            <w:vAlign w:val="center"/>
          </w:tcPr>
          <w:p w14:paraId="200F4596"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30</w:t>
            </w:r>
          </w:p>
        </w:tc>
      </w:tr>
      <w:tr w:rsidR="00513F2A" w:rsidRPr="00EB0932" w14:paraId="45030930" w14:textId="77777777" w:rsidTr="00E945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1C9E2161" w14:textId="77777777" w:rsidR="001F4858" w:rsidRPr="00EB0932" w:rsidRDefault="001F4858" w:rsidP="005A1CB4">
            <w:pPr>
              <w:snapToGrid w:val="0"/>
              <w:spacing w:line="360" w:lineRule="auto"/>
              <w:rPr>
                <w:rFonts w:cs="Arial"/>
                <w:b w:val="0"/>
                <w:bCs w:val="0"/>
                <w:szCs w:val="21"/>
              </w:rPr>
            </w:pPr>
            <w:proofErr w:type="spellStart"/>
            <w:r w:rsidRPr="00EB0932">
              <w:rPr>
                <w:rFonts w:cs="Arial"/>
                <w:b w:val="0"/>
                <w:bCs w:val="0"/>
                <w:szCs w:val="21"/>
              </w:rPr>
              <w:t>Solobacterium_moorei</w:t>
            </w:r>
            <w:proofErr w:type="spellEnd"/>
          </w:p>
        </w:tc>
        <w:tc>
          <w:tcPr>
            <w:tcW w:w="2098" w:type="dxa"/>
            <w:tcBorders>
              <w:top w:val="nil"/>
              <w:bottom w:val="nil"/>
            </w:tcBorders>
            <w:vAlign w:val="center"/>
          </w:tcPr>
          <w:p w14:paraId="79735343"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40</w:t>
            </w:r>
          </w:p>
        </w:tc>
        <w:tc>
          <w:tcPr>
            <w:tcW w:w="2098" w:type="dxa"/>
            <w:tcBorders>
              <w:top w:val="nil"/>
              <w:bottom w:val="nil"/>
            </w:tcBorders>
            <w:vAlign w:val="center"/>
          </w:tcPr>
          <w:p w14:paraId="584E270D"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49</w:t>
            </w:r>
          </w:p>
        </w:tc>
        <w:tc>
          <w:tcPr>
            <w:tcW w:w="2098" w:type="dxa"/>
            <w:tcBorders>
              <w:top w:val="nil"/>
              <w:bottom w:val="nil"/>
            </w:tcBorders>
            <w:vAlign w:val="center"/>
          </w:tcPr>
          <w:p w14:paraId="493D0559"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29</w:t>
            </w:r>
          </w:p>
        </w:tc>
      </w:tr>
      <w:tr w:rsidR="00513F2A" w:rsidRPr="00EB0932" w14:paraId="30A651E1" w14:textId="77777777" w:rsidTr="00E9457D">
        <w:trPr>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208458D2" w14:textId="77777777" w:rsidR="001F4858" w:rsidRPr="00EB0932" w:rsidRDefault="001F4858" w:rsidP="005A1CB4">
            <w:pPr>
              <w:snapToGrid w:val="0"/>
              <w:spacing w:line="360" w:lineRule="auto"/>
              <w:rPr>
                <w:rFonts w:cs="Arial"/>
                <w:b w:val="0"/>
                <w:bCs w:val="0"/>
                <w:szCs w:val="21"/>
              </w:rPr>
            </w:pPr>
            <w:proofErr w:type="spellStart"/>
            <w:r w:rsidRPr="00EB0932">
              <w:rPr>
                <w:rFonts w:cs="Arial"/>
                <w:b w:val="0"/>
                <w:bCs w:val="0"/>
                <w:szCs w:val="21"/>
              </w:rPr>
              <w:t>uncultured_bacterium</w:t>
            </w:r>
            <w:proofErr w:type="spellEnd"/>
          </w:p>
        </w:tc>
        <w:tc>
          <w:tcPr>
            <w:tcW w:w="2098" w:type="dxa"/>
            <w:tcBorders>
              <w:top w:val="nil"/>
              <w:bottom w:val="nil"/>
            </w:tcBorders>
            <w:vAlign w:val="center"/>
          </w:tcPr>
          <w:p w14:paraId="105036BA"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31</w:t>
            </w:r>
          </w:p>
        </w:tc>
        <w:tc>
          <w:tcPr>
            <w:tcW w:w="2098" w:type="dxa"/>
            <w:tcBorders>
              <w:top w:val="nil"/>
              <w:bottom w:val="nil"/>
            </w:tcBorders>
            <w:vAlign w:val="center"/>
          </w:tcPr>
          <w:p w14:paraId="70502727"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20</w:t>
            </w:r>
          </w:p>
        </w:tc>
        <w:tc>
          <w:tcPr>
            <w:tcW w:w="2098" w:type="dxa"/>
            <w:tcBorders>
              <w:top w:val="nil"/>
              <w:bottom w:val="nil"/>
            </w:tcBorders>
            <w:vAlign w:val="center"/>
          </w:tcPr>
          <w:p w14:paraId="4DFAFC1A"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45</w:t>
            </w:r>
          </w:p>
        </w:tc>
      </w:tr>
      <w:tr w:rsidR="00513F2A" w:rsidRPr="00EB0932" w14:paraId="0CA4AD3F" w14:textId="77777777" w:rsidTr="00E945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779FF5CF" w14:textId="77777777" w:rsidR="001F4858" w:rsidRPr="00EB0932" w:rsidRDefault="001F4858" w:rsidP="005A1CB4">
            <w:pPr>
              <w:snapToGrid w:val="0"/>
              <w:spacing w:line="360" w:lineRule="auto"/>
              <w:rPr>
                <w:rFonts w:cs="Arial"/>
                <w:b w:val="0"/>
                <w:bCs w:val="0"/>
                <w:szCs w:val="21"/>
              </w:rPr>
            </w:pPr>
            <w:proofErr w:type="spellStart"/>
            <w:r w:rsidRPr="00EB0932">
              <w:rPr>
                <w:rFonts w:cs="Arial"/>
                <w:b w:val="0"/>
                <w:bCs w:val="0"/>
                <w:szCs w:val="21"/>
              </w:rPr>
              <w:t>uncultured_Porphyromonas_sp</w:t>
            </w:r>
            <w:proofErr w:type="spellEnd"/>
            <w:r w:rsidRPr="00EB0932">
              <w:rPr>
                <w:rFonts w:cs="Arial"/>
                <w:b w:val="0"/>
                <w:bCs w:val="0"/>
                <w:szCs w:val="21"/>
              </w:rPr>
              <w:t>.</w:t>
            </w:r>
          </w:p>
        </w:tc>
        <w:tc>
          <w:tcPr>
            <w:tcW w:w="2098" w:type="dxa"/>
            <w:tcBorders>
              <w:top w:val="nil"/>
              <w:bottom w:val="nil"/>
            </w:tcBorders>
            <w:vAlign w:val="center"/>
          </w:tcPr>
          <w:p w14:paraId="4EA5F491"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50</w:t>
            </w:r>
          </w:p>
        </w:tc>
        <w:tc>
          <w:tcPr>
            <w:tcW w:w="2098" w:type="dxa"/>
            <w:tcBorders>
              <w:top w:val="nil"/>
              <w:bottom w:val="nil"/>
            </w:tcBorders>
            <w:vAlign w:val="center"/>
          </w:tcPr>
          <w:p w14:paraId="4FA44DF2"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15</w:t>
            </w:r>
          </w:p>
        </w:tc>
        <w:tc>
          <w:tcPr>
            <w:tcW w:w="2098" w:type="dxa"/>
            <w:tcBorders>
              <w:top w:val="nil"/>
              <w:bottom w:val="nil"/>
            </w:tcBorders>
            <w:vAlign w:val="center"/>
          </w:tcPr>
          <w:p w14:paraId="6D4F0CA3" w14:textId="77777777" w:rsidR="001F4858" w:rsidRPr="00EB0932" w:rsidRDefault="001F4858" w:rsidP="005A1CB4">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cs="Arial"/>
                <w:szCs w:val="21"/>
              </w:rPr>
            </w:pPr>
            <w:r w:rsidRPr="00EB0932">
              <w:rPr>
                <w:rFonts w:cs="Arial"/>
                <w:szCs w:val="21"/>
              </w:rPr>
              <w:t>50</w:t>
            </w:r>
          </w:p>
        </w:tc>
      </w:tr>
      <w:tr w:rsidR="00513F2A" w:rsidRPr="00EB0932" w14:paraId="57FD939C" w14:textId="77777777" w:rsidTr="00E9457D">
        <w:trPr>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tcBorders>
          </w:tcPr>
          <w:p w14:paraId="2497103F" w14:textId="77777777" w:rsidR="001F4858" w:rsidRPr="00EB0932" w:rsidRDefault="001F4858" w:rsidP="005A1CB4">
            <w:pPr>
              <w:snapToGrid w:val="0"/>
              <w:spacing w:line="360" w:lineRule="auto"/>
              <w:rPr>
                <w:rFonts w:cs="Arial"/>
                <w:b w:val="0"/>
                <w:bCs w:val="0"/>
                <w:szCs w:val="21"/>
              </w:rPr>
            </w:pPr>
            <w:proofErr w:type="spellStart"/>
            <w:r w:rsidRPr="00EB0932">
              <w:rPr>
                <w:rFonts w:cs="Arial"/>
                <w:b w:val="0"/>
                <w:bCs w:val="0"/>
                <w:szCs w:val="21"/>
              </w:rPr>
              <w:t>uncultured_Prevotella_sp</w:t>
            </w:r>
            <w:proofErr w:type="spellEnd"/>
            <w:r w:rsidRPr="00EB0932">
              <w:rPr>
                <w:rFonts w:cs="Arial"/>
                <w:b w:val="0"/>
                <w:bCs w:val="0"/>
                <w:szCs w:val="21"/>
              </w:rPr>
              <w:t>.</w:t>
            </w:r>
          </w:p>
        </w:tc>
        <w:tc>
          <w:tcPr>
            <w:tcW w:w="2098" w:type="dxa"/>
            <w:tcBorders>
              <w:top w:val="nil"/>
            </w:tcBorders>
            <w:vAlign w:val="center"/>
          </w:tcPr>
          <w:p w14:paraId="525709DE"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45</w:t>
            </w:r>
          </w:p>
        </w:tc>
        <w:tc>
          <w:tcPr>
            <w:tcW w:w="2098" w:type="dxa"/>
            <w:tcBorders>
              <w:top w:val="nil"/>
            </w:tcBorders>
            <w:vAlign w:val="center"/>
          </w:tcPr>
          <w:p w14:paraId="70226056"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51</w:t>
            </w:r>
          </w:p>
        </w:tc>
        <w:tc>
          <w:tcPr>
            <w:tcW w:w="2098" w:type="dxa"/>
            <w:tcBorders>
              <w:top w:val="nil"/>
            </w:tcBorders>
            <w:vAlign w:val="center"/>
          </w:tcPr>
          <w:p w14:paraId="71D6C983" w14:textId="77777777" w:rsidR="001F4858" w:rsidRPr="00EB0932" w:rsidRDefault="001F4858" w:rsidP="005A1CB4">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cs="Arial"/>
                <w:szCs w:val="21"/>
              </w:rPr>
            </w:pPr>
            <w:r w:rsidRPr="00EB0932">
              <w:rPr>
                <w:rFonts w:cs="Arial"/>
                <w:szCs w:val="21"/>
              </w:rPr>
              <w:t>10</w:t>
            </w:r>
          </w:p>
        </w:tc>
      </w:tr>
    </w:tbl>
    <w:p w14:paraId="4C7E949A" w14:textId="070CFE04" w:rsidR="009D07D8" w:rsidRPr="00EB0932" w:rsidRDefault="00012CDF" w:rsidP="005A1CB4">
      <w:pPr>
        <w:snapToGrid w:val="0"/>
        <w:spacing w:line="360" w:lineRule="auto"/>
        <w:rPr>
          <w:rFonts w:cs="Arial"/>
          <w:szCs w:val="21"/>
        </w:rPr>
      </w:pPr>
      <w:r w:rsidRPr="00EB0932">
        <w:rPr>
          <w:rFonts w:cs="Arial"/>
          <w:szCs w:val="21"/>
        </w:rPr>
        <w:t xml:space="preserve">Data represent the absolute difference in node degree (edge counts) for each taxon in the respective disease stage network compared to the HC network. </w:t>
      </w:r>
    </w:p>
    <w:p w14:paraId="7764612E" w14:textId="4AD79BBE" w:rsidR="001F4858" w:rsidRPr="00EB0932" w:rsidRDefault="00012CDF" w:rsidP="005A1CB4">
      <w:pPr>
        <w:snapToGrid w:val="0"/>
        <w:spacing w:line="360" w:lineRule="auto"/>
        <w:rPr>
          <w:rFonts w:cs="Arial"/>
          <w:i/>
          <w:iCs/>
          <w:szCs w:val="21"/>
        </w:rPr>
      </w:pPr>
      <w:r w:rsidRPr="00EB0932">
        <w:rPr>
          <w:rFonts w:cs="Arial"/>
          <w:i/>
          <w:iCs/>
          <w:szCs w:val="21"/>
        </w:rPr>
        <w:t>HC, healthy controls; LGIN, low-grade intraepithelial neoplasia; HGIN, high-grade intraepithelial neoplasia; UGIC, upper gastrointestinal cancer.</w:t>
      </w:r>
    </w:p>
    <w:p w14:paraId="192A6DF4" w14:textId="081060F6" w:rsidR="00F11BC5" w:rsidRPr="00EB0932" w:rsidRDefault="00F11BC5" w:rsidP="005A1CB4">
      <w:pPr>
        <w:snapToGrid w:val="0"/>
        <w:spacing w:line="360" w:lineRule="auto"/>
        <w:rPr>
          <w:rFonts w:cs="Arial"/>
          <w:i/>
          <w:iCs/>
          <w:szCs w:val="21"/>
        </w:rPr>
      </w:pPr>
      <w:r w:rsidRPr="00EB0932">
        <w:rPr>
          <w:rFonts w:cs="Arial"/>
          <w:i/>
          <w:iCs/>
          <w:szCs w:val="21"/>
        </w:rPr>
        <w:br w:type="page"/>
      </w:r>
    </w:p>
    <w:p w14:paraId="31BD3EF1" w14:textId="17989B90" w:rsidR="005F4A63" w:rsidRPr="00D7333F" w:rsidRDefault="00D7333F" w:rsidP="005A1CB4">
      <w:pPr>
        <w:snapToGrid w:val="0"/>
        <w:spacing w:line="360" w:lineRule="auto"/>
        <w:outlineLvl w:val="0"/>
        <w:rPr>
          <w:b/>
          <w:bCs/>
          <w:sz w:val="28"/>
          <w:szCs w:val="28"/>
        </w:rPr>
      </w:pPr>
      <w:bookmarkStart w:id="19" w:name="_Toc227337409"/>
      <w:bookmarkStart w:id="20" w:name="_Toc227337624"/>
      <w:bookmarkStart w:id="21" w:name="_Toc228455651"/>
      <w:r w:rsidRPr="00D7333F">
        <w:rPr>
          <w:rFonts w:hint="eastAsia"/>
          <w:b/>
          <w:bCs/>
          <w:sz w:val="28"/>
          <w:szCs w:val="28"/>
        </w:rPr>
        <w:lastRenderedPageBreak/>
        <w:t xml:space="preserve">Supplementary </w:t>
      </w:r>
      <w:r>
        <w:rPr>
          <w:rFonts w:hint="eastAsia"/>
          <w:b/>
          <w:bCs/>
          <w:sz w:val="28"/>
          <w:szCs w:val="28"/>
        </w:rPr>
        <w:t>F</w:t>
      </w:r>
      <w:r w:rsidRPr="00D7333F">
        <w:rPr>
          <w:rFonts w:hint="eastAsia"/>
          <w:b/>
          <w:bCs/>
          <w:sz w:val="28"/>
          <w:szCs w:val="28"/>
        </w:rPr>
        <w:t>igures</w:t>
      </w:r>
      <w:bookmarkEnd w:id="19"/>
      <w:bookmarkEnd w:id="20"/>
      <w:bookmarkEnd w:id="21"/>
    </w:p>
    <w:p w14:paraId="5AEF1304" w14:textId="613ED6BC" w:rsidR="00DC5032" w:rsidRPr="009D07D8" w:rsidRDefault="000E69C7" w:rsidP="00DC5032">
      <w:pPr>
        <w:keepNext/>
        <w:spacing w:line="480" w:lineRule="auto"/>
        <w:jc w:val="center"/>
        <w:rPr>
          <w:rFonts w:cs="Arial"/>
          <w:sz w:val="24"/>
          <w:szCs w:val="24"/>
        </w:rPr>
      </w:pPr>
      <w:r>
        <w:rPr>
          <w:noProof/>
        </w:rPr>
        <w:drawing>
          <wp:inline distT="0" distB="0" distL="0" distR="0" wp14:anchorId="42C0D119" wp14:editId="130EFDF1">
            <wp:extent cx="5274310" cy="5019675"/>
            <wp:effectExtent l="0" t="0" r="2540" b="9525"/>
            <wp:docPr id="14228089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08909" name=""/>
                    <pic:cNvPicPr/>
                  </pic:nvPicPr>
                  <pic:blipFill>
                    <a:blip r:embed="rId10"/>
                    <a:stretch>
                      <a:fillRect/>
                    </a:stretch>
                  </pic:blipFill>
                  <pic:spPr>
                    <a:xfrm>
                      <a:off x="0" y="0"/>
                      <a:ext cx="5274310" cy="5019675"/>
                    </a:xfrm>
                    <a:prstGeom prst="rect">
                      <a:avLst/>
                    </a:prstGeom>
                  </pic:spPr>
                </pic:pic>
              </a:graphicData>
            </a:graphic>
          </wp:inline>
        </w:drawing>
      </w:r>
    </w:p>
    <w:p w14:paraId="59C44F2C" w14:textId="7E72B7A0" w:rsidR="009D07D8" w:rsidRPr="00EB0932" w:rsidRDefault="00DC5032" w:rsidP="009D07D8">
      <w:pPr>
        <w:pStyle w:val="af3"/>
        <w:rPr>
          <w:rFonts w:ascii="Arial" w:hAnsi="Arial" w:cs="Arial"/>
          <w:sz w:val="21"/>
          <w:szCs w:val="21"/>
        </w:rPr>
      </w:pPr>
      <w:bookmarkStart w:id="22" w:name="_Toc227337584"/>
      <w:bookmarkStart w:id="23" w:name="_Toc227337870"/>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1</w:t>
      </w:r>
      <w:r w:rsidRPr="00E9457D">
        <w:rPr>
          <w:rFonts w:ascii="Arial" w:hAnsi="Arial" w:cs="Arial"/>
          <w:b/>
          <w:bCs/>
          <w:sz w:val="21"/>
          <w:szCs w:val="21"/>
        </w:rPr>
        <w:fldChar w:fldCharType="end"/>
      </w:r>
      <w:r w:rsidR="00E9457D" w:rsidRPr="00E9457D">
        <w:rPr>
          <w:rFonts w:ascii="Arial" w:hAnsi="Arial" w:cs="Arial" w:hint="eastAsia"/>
          <w:b/>
          <w:bCs/>
          <w:sz w:val="21"/>
          <w:szCs w:val="21"/>
        </w:rPr>
        <w:t>.</w:t>
      </w:r>
      <w:r w:rsidR="009D07D8" w:rsidRPr="00E9457D">
        <w:rPr>
          <w:rFonts w:ascii="Arial" w:hAnsi="Arial" w:cs="Arial"/>
          <w:b/>
          <w:bCs/>
          <w:sz w:val="21"/>
          <w:szCs w:val="21"/>
        </w:rPr>
        <w:t xml:space="preserve"> </w:t>
      </w:r>
      <w:r w:rsidR="009D07D8" w:rsidRPr="00EB0932">
        <w:rPr>
          <w:rFonts w:ascii="Arial" w:hAnsi="Arial" w:cs="Arial"/>
          <w:sz w:val="21"/>
          <w:szCs w:val="21"/>
        </w:rPr>
        <w:t>Flow diagram of study participant selection and cohort design.</w:t>
      </w:r>
      <w:bookmarkEnd w:id="22"/>
      <w:bookmarkEnd w:id="23"/>
      <w:r w:rsidR="009D07D8" w:rsidRPr="00EB0932">
        <w:rPr>
          <w:rFonts w:ascii="Arial" w:hAnsi="Arial" w:cs="Arial"/>
          <w:sz w:val="21"/>
          <w:szCs w:val="21"/>
        </w:rPr>
        <w:t xml:space="preserve"> </w:t>
      </w:r>
    </w:p>
    <w:p w14:paraId="2127F67F" w14:textId="65C3DCB4" w:rsidR="009D07D8" w:rsidRPr="00EB0932" w:rsidRDefault="009D07D8" w:rsidP="009D07D8">
      <w:pPr>
        <w:pStyle w:val="af3"/>
        <w:rPr>
          <w:rFonts w:ascii="Arial" w:hAnsi="Arial" w:cs="Arial"/>
          <w:sz w:val="21"/>
          <w:szCs w:val="21"/>
        </w:rPr>
      </w:pPr>
      <w:r w:rsidRPr="00EB0932">
        <w:rPr>
          <w:rFonts w:ascii="Arial" w:hAnsi="Arial" w:cs="Arial"/>
          <w:sz w:val="21"/>
          <w:szCs w:val="21"/>
        </w:rPr>
        <w:t>The diagram delineates the step-by-step inclusion and exclusion criteria applied to the initial enrollment pool. Following the sequential exclusion of individuals lacking valid endoscopic records, non-targeted diagnoses, or complete baseline data, the remaining eligible participants were stratified into four clinical stages. To mitigate the confounding effects of host demographic factors, a 1:1:1:1 PSM was performed, adjusting for age, sex, and BMI, yielding a final balanced analytical cohort (n = 4</w:t>
      </w:r>
      <w:r w:rsidR="004F7CF5">
        <w:rPr>
          <w:rFonts w:ascii="Arial" w:hAnsi="Arial" w:cs="Arial" w:hint="eastAsia"/>
          <w:sz w:val="21"/>
          <w:szCs w:val="21"/>
        </w:rPr>
        <w:t xml:space="preserve">16, </w:t>
      </w:r>
      <w:r w:rsidR="004F7CF5" w:rsidRPr="004F7CF5">
        <w:rPr>
          <w:rFonts w:ascii="Arial" w:hAnsi="Arial" w:cs="Arial"/>
          <w:sz w:val="21"/>
          <w:szCs w:val="21"/>
        </w:rPr>
        <w:t>104 HC, 104 LGIN, 103 HGIN, and 105 UGIC</w:t>
      </w:r>
      <w:r w:rsidRPr="00EB0932">
        <w:rPr>
          <w:rFonts w:ascii="Arial" w:hAnsi="Arial" w:cs="Arial"/>
          <w:sz w:val="21"/>
          <w:szCs w:val="21"/>
        </w:rPr>
        <w:t>).</w:t>
      </w:r>
    </w:p>
    <w:p w14:paraId="49436873" w14:textId="15282574" w:rsidR="009D07D8" w:rsidRPr="00EB0932" w:rsidRDefault="009D07D8" w:rsidP="009D07D8">
      <w:pPr>
        <w:rPr>
          <w:rFonts w:cs="Arial"/>
          <w:i/>
          <w:iCs/>
          <w:szCs w:val="21"/>
        </w:rPr>
      </w:pPr>
      <w:r w:rsidRPr="00EB0932">
        <w:rPr>
          <w:rFonts w:cs="Arial"/>
          <w:i/>
          <w:iCs/>
          <w:szCs w:val="21"/>
        </w:rPr>
        <w:t>BMI, body mass index; PSM, propensity score matching; HC, healthy controls; LGIN, low-grade intraepithelial neoplasia; HGIN, high-grade intraepithelial neoplasia; UGIC, upper gastrointestinal cancer.</w:t>
      </w:r>
    </w:p>
    <w:p w14:paraId="342C968F" w14:textId="77777777" w:rsidR="00F11BC5" w:rsidRPr="00EB0932" w:rsidRDefault="00F11BC5" w:rsidP="00F11BC5">
      <w:pPr>
        <w:spacing w:line="480" w:lineRule="auto"/>
        <w:jc w:val="center"/>
        <w:rPr>
          <w:rFonts w:cs="Arial"/>
          <w:iCs/>
          <w:szCs w:val="21"/>
        </w:rPr>
      </w:pPr>
      <w:r w:rsidRPr="00EB0932">
        <w:rPr>
          <w:rFonts w:cs="Arial"/>
          <w:noProof/>
          <w:szCs w:val="21"/>
        </w:rPr>
        <w:lastRenderedPageBreak/>
        <w:drawing>
          <wp:inline distT="0" distB="0" distL="0" distR="0" wp14:anchorId="1A05F8C5" wp14:editId="19FCFD21">
            <wp:extent cx="4332783" cy="2880000"/>
            <wp:effectExtent l="0" t="0" r="0" b="0"/>
            <wp:docPr id="15749636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63610" name=""/>
                    <pic:cNvPicPr/>
                  </pic:nvPicPr>
                  <pic:blipFill>
                    <a:blip r:embed="rId11"/>
                    <a:stretch>
                      <a:fillRect/>
                    </a:stretch>
                  </pic:blipFill>
                  <pic:spPr>
                    <a:xfrm>
                      <a:off x="0" y="0"/>
                      <a:ext cx="4332783" cy="2880000"/>
                    </a:xfrm>
                    <a:prstGeom prst="rect">
                      <a:avLst/>
                    </a:prstGeom>
                  </pic:spPr>
                </pic:pic>
              </a:graphicData>
            </a:graphic>
          </wp:inline>
        </w:drawing>
      </w:r>
    </w:p>
    <w:p w14:paraId="54EF9D8F" w14:textId="2D291019" w:rsidR="00D40827" w:rsidRPr="00EB0932" w:rsidRDefault="00F11BC5" w:rsidP="001A4294">
      <w:pPr>
        <w:pStyle w:val="af3"/>
        <w:rPr>
          <w:rFonts w:ascii="Arial" w:hAnsi="Arial" w:cs="Arial"/>
          <w:sz w:val="21"/>
          <w:szCs w:val="21"/>
        </w:rPr>
      </w:pPr>
      <w:bookmarkStart w:id="24" w:name="_Toc226734162"/>
      <w:bookmarkStart w:id="25" w:name="_Toc227337871"/>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2</w:t>
      </w:r>
      <w:bookmarkEnd w:id="24"/>
      <w:r w:rsidRPr="00E9457D">
        <w:rPr>
          <w:rFonts w:ascii="Arial" w:hAnsi="Arial" w:cs="Arial"/>
          <w:b/>
          <w:bCs/>
          <w:sz w:val="21"/>
          <w:szCs w:val="21"/>
        </w:rPr>
        <w:fldChar w:fldCharType="end"/>
      </w:r>
      <w:r w:rsidR="001A4294" w:rsidRPr="00E9457D">
        <w:rPr>
          <w:rFonts w:ascii="Arial" w:hAnsi="Arial" w:cs="Arial" w:hint="eastAsia"/>
          <w:b/>
          <w:bCs/>
          <w:sz w:val="21"/>
          <w:szCs w:val="21"/>
        </w:rPr>
        <w:t xml:space="preserve">. </w:t>
      </w:r>
      <w:r w:rsidR="001A4294" w:rsidRPr="00EB0932">
        <w:rPr>
          <w:rFonts w:ascii="Arial" w:hAnsi="Arial" w:cs="Arial"/>
          <w:sz w:val="21"/>
          <w:szCs w:val="21"/>
        </w:rPr>
        <w:t>Marginal variance partitioning of the salivary microbiome driven by host and environmental metadata.</w:t>
      </w:r>
      <w:bookmarkStart w:id="26" w:name="_Toc227337585"/>
      <w:bookmarkEnd w:id="25"/>
      <w:r w:rsidR="001A4294" w:rsidRPr="00EB0932">
        <w:rPr>
          <w:rFonts w:ascii="Arial" w:hAnsi="Arial" w:cs="Arial"/>
          <w:sz w:val="21"/>
          <w:szCs w:val="21"/>
        </w:rPr>
        <w:t xml:space="preserve"> </w:t>
      </w:r>
    </w:p>
    <w:p w14:paraId="4AFD0D42" w14:textId="6967FA06" w:rsidR="00F11BC5" w:rsidRPr="00EB0932" w:rsidRDefault="001A4294" w:rsidP="001A4294">
      <w:pPr>
        <w:pStyle w:val="af3"/>
        <w:rPr>
          <w:rFonts w:ascii="Arial" w:hAnsi="Arial" w:cs="Arial"/>
          <w:i/>
          <w:iCs/>
          <w:sz w:val="21"/>
          <w:szCs w:val="21"/>
        </w:rPr>
      </w:pPr>
      <w:r w:rsidRPr="00EB0932">
        <w:rPr>
          <w:rFonts w:ascii="Arial" w:hAnsi="Arial" w:cs="Arial"/>
          <w:sz w:val="21"/>
          <w:szCs w:val="21"/>
        </w:rPr>
        <w:t>Effect sizes (R</w:t>
      </w:r>
      <w:r w:rsidRPr="00EB0932">
        <w:rPr>
          <w:rFonts w:ascii="Arial" w:hAnsi="Arial" w:cs="Arial" w:hint="eastAsia"/>
          <w:sz w:val="21"/>
          <w:szCs w:val="21"/>
          <w:vertAlign w:val="superscript"/>
        </w:rPr>
        <w:t>2</w:t>
      </w:r>
      <w:r w:rsidRPr="00EB0932">
        <w:rPr>
          <w:rFonts w:ascii="Arial" w:hAnsi="Arial" w:cs="Arial"/>
          <w:sz w:val="21"/>
          <w:szCs w:val="21"/>
        </w:rPr>
        <w:t xml:space="preserve">) of individual covariates on the overall microbial community structure, calculated via univariate </w:t>
      </w:r>
      <w:r w:rsidRPr="00EB0932">
        <w:rPr>
          <w:rFonts w:ascii="Arial" w:hAnsi="Arial" w:cs="Arial" w:hint="eastAsia"/>
          <w:sz w:val="21"/>
          <w:szCs w:val="21"/>
        </w:rPr>
        <w:t>permutational multivariate analysis of variance</w:t>
      </w:r>
      <w:r w:rsidRPr="00EB0932">
        <w:rPr>
          <w:rFonts w:ascii="Arial" w:hAnsi="Arial" w:cs="Arial"/>
          <w:sz w:val="21"/>
          <w:szCs w:val="21"/>
        </w:rPr>
        <w:t xml:space="preserve"> </w:t>
      </w:r>
      <w:r w:rsidRPr="00EB0932">
        <w:rPr>
          <w:rFonts w:ascii="Arial" w:hAnsi="Arial" w:cs="Arial" w:hint="eastAsia"/>
          <w:sz w:val="21"/>
          <w:szCs w:val="21"/>
        </w:rPr>
        <w:t>(</w:t>
      </w:r>
      <w:r w:rsidRPr="00EB0932">
        <w:rPr>
          <w:rFonts w:ascii="Arial" w:hAnsi="Arial" w:cs="Arial"/>
          <w:sz w:val="21"/>
          <w:szCs w:val="21"/>
        </w:rPr>
        <w:t>PERMANOVA</w:t>
      </w:r>
      <w:r w:rsidRPr="00EB0932">
        <w:rPr>
          <w:rFonts w:ascii="Arial" w:hAnsi="Arial" w:cs="Arial" w:hint="eastAsia"/>
          <w:sz w:val="21"/>
          <w:szCs w:val="21"/>
        </w:rPr>
        <w:t>)</w:t>
      </w:r>
      <w:r w:rsidRPr="00EB0932">
        <w:rPr>
          <w:rFonts w:ascii="Arial" w:hAnsi="Arial" w:cs="Arial"/>
          <w:sz w:val="21"/>
          <w:szCs w:val="21"/>
        </w:rPr>
        <w:t>. Variables are sorted by the proportion of variance explained and color-coded according to their respective broad categories (Demographics, Lifestyle, Diet, Oral Health, and Medical History). The 'Center' variable represents the 13 recruitment sites, and 'Group' denotes the clinical stages.</w:t>
      </w:r>
      <w:r w:rsidRPr="00EB0932">
        <w:rPr>
          <w:rFonts w:ascii="Arial" w:hAnsi="Arial" w:cs="Arial" w:hint="eastAsia"/>
          <w:sz w:val="21"/>
          <w:szCs w:val="21"/>
        </w:rPr>
        <w:t xml:space="preserve"> </w:t>
      </w:r>
      <w:r w:rsidRPr="00EB0932">
        <w:rPr>
          <w:rFonts w:ascii="Arial" w:hAnsi="Arial" w:cs="Arial"/>
          <w:i/>
          <w:iCs/>
          <w:sz w:val="21"/>
          <w:szCs w:val="21"/>
        </w:rPr>
        <w:t>*P &lt; 0.05, **P &lt; 0.01.</w:t>
      </w:r>
      <w:bookmarkEnd w:id="26"/>
    </w:p>
    <w:p w14:paraId="1D264A3B" w14:textId="77777777" w:rsidR="00DE2F93" w:rsidRPr="00EB0932" w:rsidRDefault="00F11BC5" w:rsidP="005D107E">
      <w:pPr>
        <w:keepNext/>
        <w:spacing w:line="480" w:lineRule="auto"/>
        <w:jc w:val="center"/>
        <w:rPr>
          <w:rFonts w:cs="Arial"/>
          <w:szCs w:val="21"/>
        </w:rPr>
      </w:pPr>
      <w:r w:rsidRPr="00EB0932">
        <w:rPr>
          <w:rFonts w:cs="Arial"/>
          <w:noProof/>
          <w:szCs w:val="21"/>
        </w:rPr>
        <w:drawing>
          <wp:inline distT="0" distB="0" distL="0" distR="0" wp14:anchorId="1E4C5188" wp14:editId="72504B79">
            <wp:extent cx="4341432" cy="2880000"/>
            <wp:effectExtent l="0" t="0" r="2540" b="0"/>
            <wp:docPr id="8881212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21243" name=""/>
                    <pic:cNvPicPr/>
                  </pic:nvPicPr>
                  <pic:blipFill rotWithShape="1">
                    <a:blip r:embed="rId12"/>
                    <a:srcRect b="1184"/>
                    <a:stretch>
                      <a:fillRect/>
                    </a:stretch>
                  </pic:blipFill>
                  <pic:spPr bwMode="auto">
                    <a:xfrm>
                      <a:off x="0" y="0"/>
                      <a:ext cx="4341432" cy="2880000"/>
                    </a:xfrm>
                    <a:prstGeom prst="rect">
                      <a:avLst/>
                    </a:prstGeom>
                    <a:ln>
                      <a:noFill/>
                    </a:ln>
                    <a:extLst>
                      <a:ext uri="{53640926-AAD7-44D8-BBD7-CCE9431645EC}">
                        <a14:shadowObscured xmlns:a14="http://schemas.microsoft.com/office/drawing/2010/main"/>
                      </a:ext>
                    </a:extLst>
                  </pic:spPr>
                </pic:pic>
              </a:graphicData>
            </a:graphic>
          </wp:inline>
        </w:drawing>
      </w:r>
    </w:p>
    <w:p w14:paraId="02024E81" w14:textId="322DBF9A" w:rsidR="001A4294" w:rsidRPr="00EB0932" w:rsidRDefault="00DE2F93" w:rsidP="001A4294">
      <w:pPr>
        <w:pStyle w:val="af3"/>
        <w:rPr>
          <w:rFonts w:ascii="Arial" w:hAnsi="Arial" w:cs="Arial"/>
          <w:sz w:val="21"/>
          <w:szCs w:val="21"/>
        </w:rPr>
      </w:pPr>
      <w:bookmarkStart w:id="27" w:name="_Toc226734163"/>
      <w:bookmarkStart w:id="28" w:name="_Toc227337586"/>
      <w:bookmarkStart w:id="29" w:name="_Toc227337872"/>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3</w:t>
      </w:r>
      <w:bookmarkEnd w:id="27"/>
      <w:r w:rsidRPr="00E9457D">
        <w:rPr>
          <w:rFonts w:ascii="Arial" w:hAnsi="Arial" w:cs="Arial"/>
          <w:b/>
          <w:bCs/>
          <w:sz w:val="21"/>
          <w:szCs w:val="21"/>
        </w:rPr>
        <w:fldChar w:fldCharType="end"/>
      </w:r>
      <w:r w:rsidR="001A4294" w:rsidRPr="00E9457D">
        <w:rPr>
          <w:rFonts w:ascii="Arial" w:hAnsi="Arial" w:cs="Arial" w:hint="eastAsia"/>
          <w:b/>
          <w:bCs/>
          <w:sz w:val="21"/>
          <w:szCs w:val="21"/>
        </w:rPr>
        <w:t>.</w:t>
      </w:r>
      <w:r w:rsidR="001A4294" w:rsidRPr="00EB0932">
        <w:rPr>
          <w:rFonts w:ascii="Arial" w:hAnsi="Arial" w:cs="Arial" w:hint="eastAsia"/>
          <w:sz w:val="21"/>
          <w:szCs w:val="21"/>
        </w:rPr>
        <w:t xml:space="preserve"> </w:t>
      </w:r>
      <w:r w:rsidR="001A4294" w:rsidRPr="00EB0932">
        <w:rPr>
          <w:rFonts w:ascii="Arial" w:hAnsi="Arial" w:cs="Arial"/>
          <w:sz w:val="21"/>
          <w:szCs w:val="21"/>
        </w:rPr>
        <w:t xml:space="preserve">Constrained variance partitioning of the salivary microbiome via </w:t>
      </w:r>
      <w:r w:rsidR="001A4294" w:rsidRPr="00EB0932">
        <w:rPr>
          <w:rFonts w:ascii="Arial" w:hAnsi="Arial" w:cs="Arial" w:hint="eastAsia"/>
          <w:sz w:val="21"/>
          <w:szCs w:val="21"/>
        </w:rPr>
        <w:t>c</w:t>
      </w:r>
      <w:r w:rsidR="001A4294" w:rsidRPr="00EB0932">
        <w:rPr>
          <w:rFonts w:ascii="Arial" w:hAnsi="Arial" w:cs="Arial"/>
          <w:sz w:val="21"/>
          <w:szCs w:val="21"/>
        </w:rPr>
        <w:t xml:space="preserve">anonical </w:t>
      </w:r>
      <w:r w:rsidR="001A4294" w:rsidRPr="00EB0932">
        <w:rPr>
          <w:rFonts w:ascii="Arial" w:hAnsi="Arial" w:cs="Arial" w:hint="eastAsia"/>
          <w:sz w:val="21"/>
          <w:szCs w:val="21"/>
        </w:rPr>
        <w:t>a</w:t>
      </w:r>
      <w:r w:rsidR="001A4294" w:rsidRPr="00EB0932">
        <w:rPr>
          <w:rFonts w:ascii="Arial" w:hAnsi="Arial" w:cs="Arial"/>
          <w:sz w:val="21"/>
          <w:szCs w:val="21"/>
        </w:rPr>
        <w:t xml:space="preserve">nalysis of </w:t>
      </w:r>
      <w:r w:rsidR="001A4294" w:rsidRPr="00EB0932">
        <w:rPr>
          <w:rFonts w:ascii="Arial" w:hAnsi="Arial" w:cs="Arial" w:hint="eastAsia"/>
          <w:sz w:val="21"/>
          <w:szCs w:val="21"/>
        </w:rPr>
        <w:t>p</w:t>
      </w:r>
      <w:r w:rsidR="001A4294" w:rsidRPr="00EB0932">
        <w:rPr>
          <w:rFonts w:ascii="Arial" w:hAnsi="Arial" w:cs="Arial"/>
          <w:sz w:val="21"/>
          <w:szCs w:val="21"/>
        </w:rPr>
        <w:t>rincipal coordinates (CAP).</w:t>
      </w:r>
      <w:bookmarkEnd w:id="28"/>
      <w:bookmarkEnd w:id="29"/>
      <w:r w:rsidR="001A4294" w:rsidRPr="00EB0932">
        <w:rPr>
          <w:rFonts w:ascii="Arial" w:hAnsi="Arial" w:cs="Arial"/>
          <w:sz w:val="21"/>
          <w:szCs w:val="21"/>
        </w:rPr>
        <w:t xml:space="preserve"> </w:t>
      </w:r>
    </w:p>
    <w:p w14:paraId="4558FF73" w14:textId="5B01DD1D" w:rsidR="001A4294" w:rsidRPr="00EB0932" w:rsidRDefault="001A4294" w:rsidP="001A4294">
      <w:pPr>
        <w:pStyle w:val="af3"/>
        <w:rPr>
          <w:rFonts w:ascii="Arial" w:hAnsi="Arial" w:cs="Arial"/>
          <w:sz w:val="21"/>
          <w:szCs w:val="21"/>
        </w:rPr>
      </w:pPr>
      <w:r w:rsidRPr="00EB0932">
        <w:rPr>
          <w:rFonts w:ascii="Arial" w:hAnsi="Arial" w:cs="Arial"/>
          <w:sz w:val="21"/>
          <w:szCs w:val="21"/>
        </w:rPr>
        <w:t>Explained variance (R</w:t>
      </w:r>
      <w:r w:rsidRPr="00EB0932">
        <w:rPr>
          <w:rFonts w:ascii="Arial" w:hAnsi="Arial" w:cs="Arial" w:hint="eastAsia"/>
          <w:sz w:val="21"/>
          <w:szCs w:val="21"/>
          <w:vertAlign w:val="superscript"/>
        </w:rPr>
        <w:t>2</w:t>
      </w:r>
      <w:r w:rsidRPr="00EB0932">
        <w:rPr>
          <w:rFonts w:ascii="Arial" w:hAnsi="Arial" w:cs="Arial"/>
          <w:sz w:val="21"/>
          <w:szCs w:val="21"/>
        </w:rPr>
        <w:t>) of host and environmental covariates on the microbial community structure under the CAP model. Variables are color-coded by metadata categories (Demographics, Lifestyle, Diet, Oral Health, and Medical History). The 'Group' variable explicitly refers to the clinical stages across the UGIC continuum.</w:t>
      </w:r>
    </w:p>
    <w:p w14:paraId="2BBD5517" w14:textId="093217A3" w:rsidR="00DE2F93" w:rsidRPr="00EB0932" w:rsidRDefault="000F24EA" w:rsidP="00DE2F93">
      <w:pPr>
        <w:keepNext/>
        <w:jc w:val="center"/>
        <w:rPr>
          <w:rFonts w:cs="Arial"/>
          <w:szCs w:val="21"/>
        </w:rPr>
      </w:pPr>
      <w:r w:rsidRPr="00EB0932">
        <w:rPr>
          <w:rFonts w:cs="Arial"/>
          <w:noProof/>
          <w:szCs w:val="21"/>
        </w:rPr>
        <w:lastRenderedPageBreak/>
        <w:drawing>
          <wp:inline distT="0" distB="0" distL="0" distR="0" wp14:anchorId="61C16AD4" wp14:editId="6E558CA2">
            <wp:extent cx="3531859" cy="2880000"/>
            <wp:effectExtent l="0" t="0" r="0" b="0"/>
            <wp:docPr id="20804453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45333" name=""/>
                    <pic:cNvPicPr/>
                  </pic:nvPicPr>
                  <pic:blipFill>
                    <a:blip r:embed="rId13"/>
                    <a:stretch>
                      <a:fillRect/>
                    </a:stretch>
                  </pic:blipFill>
                  <pic:spPr>
                    <a:xfrm>
                      <a:off x="0" y="0"/>
                      <a:ext cx="3531859" cy="2880000"/>
                    </a:xfrm>
                    <a:prstGeom prst="rect">
                      <a:avLst/>
                    </a:prstGeom>
                  </pic:spPr>
                </pic:pic>
              </a:graphicData>
            </a:graphic>
          </wp:inline>
        </w:drawing>
      </w:r>
    </w:p>
    <w:p w14:paraId="64B618AB" w14:textId="715ABDA5" w:rsidR="00CA2774" w:rsidRPr="00EB0932" w:rsidRDefault="00DE2F93" w:rsidP="00DE2F93">
      <w:pPr>
        <w:pStyle w:val="af3"/>
        <w:rPr>
          <w:rFonts w:ascii="Arial" w:hAnsi="Arial" w:cs="Arial"/>
          <w:sz w:val="21"/>
          <w:szCs w:val="21"/>
        </w:rPr>
      </w:pPr>
      <w:bookmarkStart w:id="30" w:name="_Toc226734164"/>
      <w:bookmarkStart w:id="31" w:name="_Toc227337587"/>
      <w:bookmarkStart w:id="32" w:name="_Toc227337873"/>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4</w:t>
      </w:r>
      <w:bookmarkEnd w:id="30"/>
      <w:r w:rsidRPr="00E9457D">
        <w:rPr>
          <w:rFonts w:ascii="Arial" w:hAnsi="Arial" w:cs="Arial"/>
          <w:b/>
          <w:bCs/>
          <w:sz w:val="21"/>
          <w:szCs w:val="21"/>
        </w:rPr>
        <w:fldChar w:fldCharType="end"/>
      </w:r>
      <w:r w:rsidR="001A4294" w:rsidRPr="00E9457D">
        <w:rPr>
          <w:rFonts w:ascii="Arial" w:hAnsi="Arial" w:cs="Arial" w:hint="eastAsia"/>
          <w:b/>
          <w:bCs/>
          <w:sz w:val="21"/>
          <w:szCs w:val="21"/>
        </w:rPr>
        <w:t>.</w:t>
      </w:r>
      <w:r w:rsidR="00CA2774" w:rsidRPr="00E9457D">
        <w:rPr>
          <w:b/>
          <w:bCs/>
          <w:sz w:val="21"/>
          <w:szCs w:val="21"/>
        </w:rPr>
        <w:t xml:space="preserve"> </w:t>
      </w:r>
      <w:r w:rsidR="00CA2774" w:rsidRPr="00EB0932">
        <w:rPr>
          <w:rFonts w:ascii="Arial" w:hAnsi="Arial" w:cs="Arial"/>
          <w:sz w:val="21"/>
          <w:szCs w:val="21"/>
        </w:rPr>
        <w:t>Calibration curve of the combined predictive model.</w:t>
      </w:r>
      <w:bookmarkEnd w:id="31"/>
      <w:bookmarkEnd w:id="32"/>
      <w:r w:rsidR="00CA2774" w:rsidRPr="00EB0932">
        <w:rPr>
          <w:rFonts w:ascii="Arial" w:hAnsi="Arial" w:cs="Arial"/>
          <w:sz w:val="21"/>
          <w:szCs w:val="21"/>
        </w:rPr>
        <w:t xml:space="preserve"> </w:t>
      </w:r>
    </w:p>
    <w:p w14:paraId="2739410F" w14:textId="05A55EF3" w:rsidR="00DE2F93" w:rsidRPr="00EB0932" w:rsidRDefault="00CA2774" w:rsidP="00DE2F93">
      <w:pPr>
        <w:pStyle w:val="af3"/>
        <w:rPr>
          <w:rFonts w:ascii="Arial" w:hAnsi="Arial" w:cs="Arial"/>
          <w:sz w:val="21"/>
          <w:szCs w:val="21"/>
        </w:rPr>
      </w:pPr>
      <w:r w:rsidRPr="00EB0932">
        <w:rPr>
          <w:rFonts w:ascii="Arial" w:hAnsi="Arial" w:cs="Arial"/>
          <w:sz w:val="21"/>
          <w:szCs w:val="21"/>
        </w:rPr>
        <w:t>The calibration plot evaluates the agreement between the predicted probabilities generated by the combined model and the actual observed frequencies. The diagonal dashed line represents ideal perfect calibration. The solid and dotted lines indicate the bootstrap bias-corrected and apparent calibration curves, respectively, while the gray flanking lines denote the confidence limits.</w:t>
      </w:r>
      <w:r w:rsidRPr="00EB0932">
        <w:rPr>
          <w:rFonts w:ascii="Arial" w:eastAsiaTheme="minorEastAsia" w:hAnsi="Arial" w:cstheme="minorBidi"/>
          <w:sz w:val="21"/>
          <w:szCs w:val="21"/>
        </w:rPr>
        <w:t xml:space="preserve"> </w:t>
      </w:r>
      <w:r w:rsidRPr="00EB0932">
        <w:rPr>
          <w:rFonts w:ascii="Arial" w:hAnsi="Arial" w:cs="Arial"/>
          <w:sz w:val="21"/>
          <w:szCs w:val="21"/>
        </w:rPr>
        <w:t>Key quantitative calibration metrics are annotated within the plot area, including the Brier score (0.1713), calibration slope (0.791), intercept (0.182), and Hosmer-</w:t>
      </w:r>
      <w:proofErr w:type="spellStart"/>
      <w:r w:rsidRPr="00EB0932">
        <w:rPr>
          <w:rFonts w:ascii="Arial" w:hAnsi="Arial" w:cs="Arial"/>
          <w:sz w:val="21"/>
          <w:szCs w:val="21"/>
        </w:rPr>
        <w:t>Lemeshow</w:t>
      </w:r>
      <w:proofErr w:type="spellEnd"/>
      <w:r w:rsidRPr="00EB0932">
        <w:rPr>
          <w:rFonts w:ascii="Arial" w:hAnsi="Arial" w:cs="Arial"/>
          <w:sz w:val="21"/>
          <w:szCs w:val="21"/>
        </w:rPr>
        <w:t xml:space="preserve"> (HL) test P-value (0.889).</w:t>
      </w:r>
    </w:p>
    <w:p w14:paraId="1AC48EA8" w14:textId="4002ED9F" w:rsidR="000F24EA" w:rsidRPr="00EB0932" w:rsidRDefault="00B50010" w:rsidP="005D107E">
      <w:pPr>
        <w:keepNext/>
        <w:jc w:val="center"/>
        <w:rPr>
          <w:rFonts w:cs="Arial"/>
          <w:szCs w:val="21"/>
        </w:rPr>
      </w:pPr>
      <w:r w:rsidRPr="00EB0932">
        <w:rPr>
          <w:noProof/>
          <w:szCs w:val="21"/>
        </w:rPr>
        <w:drawing>
          <wp:inline distT="0" distB="0" distL="0" distR="0" wp14:anchorId="4B62C51A" wp14:editId="45FEA3D0">
            <wp:extent cx="4809217" cy="2880000"/>
            <wp:effectExtent l="0" t="0" r="0" b="0"/>
            <wp:docPr id="1050263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6303" name=""/>
                    <pic:cNvPicPr/>
                  </pic:nvPicPr>
                  <pic:blipFill rotWithShape="1">
                    <a:blip r:embed="rId14"/>
                    <a:srcRect t="5726" b="6176"/>
                    <a:stretch>
                      <a:fillRect/>
                    </a:stretch>
                  </pic:blipFill>
                  <pic:spPr bwMode="auto">
                    <a:xfrm>
                      <a:off x="0" y="0"/>
                      <a:ext cx="4809217" cy="2880000"/>
                    </a:xfrm>
                    <a:prstGeom prst="rect">
                      <a:avLst/>
                    </a:prstGeom>
                    <a:ln>
                      <a:noFill/>
                    </a:ln>
                    <a:extLst>
                      <a:ext uri="{53640926-AAD7-44D8-BBD7-CCE9431645EC}">
                        <a14:shadowObscured xmlns:a14="http://schemas.microsoft.com/office/drawing/2010/main"/>
                      </a:ext>
                    </a:extLst>
                  </pic:spPr>
                </pic:pic>
              </a:graphicData>
            </a:graphic>
          </wp:inline>
        </w:drawing>
      </w:r>
    </w:p>
    <w:p w14:paraId="708AB7DA" w14:textId="4D7B361B" w:rsidR="00B50010" w:rsidRPr="00EB0932" w:rsidRDefault="000F24EA" w:rsidP="00B50010">
      <w:pPr>
        <w:pStyle w:val="af3"/>
        <w:rPr>
          <w:rFonts w:ascii="Arial" w:hAnsi="Arial" w:cs="Arial"/>
          <w:sz w:val="21"/>
          <w:szCs w:val="21"/>
        </w:rPr>
      </w:pPr>
      <w:bookmarkStart w:id="33" w:name="_Toc226734165"/>
      <w:bookmarkStart w:id="34" w:name="_Toc227337588"/>
      <w:bookmarkStart w:id="35" w:name="_Toc227337874"/>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5</w:t>
      </w:r>
      <w:bookmarkEnd w:id="33"/>
      <w:r w:rsidRPr="00E9457D">
        <w:rPr>
          <w:rFonts w:ascii="Arial" w:hAnsi="Arial" w:cs="Arial"/>
          <w:b/>
          <w:bCs/>
          <w:sz w:val="21"/>
          <w:szCs w:val="21"/>
        </w:rPr>
        <w:fldChar w:fldCharType="end"/>
      </w:r>
      <w:r w:rsidR="00B50010" w:rsidRPr="00E9457D">
        <w:rPr>
          <w:rFonts w:ascii="Arial" w:hAnsi="Arial" w:cs="Arial" w:hint="eastAsia"/>
          <w:b/>
          <w:bCs/>
          <w:sz w:val="21"/>
          <w:szCs w:val="21"/>
        </w:rPr>
        <w:t>.</w:t>
      </w:r>
      <w:r w:rsidR="00B50010" w:rsidRPr="00EB0932">
        <w:rPr>
          <w:rFonts w:ascii="Arial" w:hAnsi="Arial" w:cs="Arial" w:hint="eastAsia"/>
          <w:sz w:val="21"/>
          <w:szCs w:val="21"/>
        </w:rPr>
        <w:t xml:space="preserve"> </w:t>
      </w:r>
      <w:r w:rsidR="00B50010" w:rsidRPr="00EB0932">
        <w:rPr>
          <w:rFonts w:ascii="Arial" w:hAnsi="Arial" w:cs="Arial"/>
          <w:sz w:val="21"/>
          <w:szCs w:val="21"/>
        </w:rPr>
        <w:t>Nomogram of the combined predictive model for estimating the risk of UGIC progression.</w:t>
      </w:r>
      <w:bookmarkEnd w:id="34"/>
      <w:bookmarkEnd w:id="35"/>
      <w:r w:rsidR="00B50010" w:rsidRPr="00EB0932">
        <w:rPr>
          <w:rFonts w:ascii="Arial" w:hAnsi="Arial" w:cs="Arial"/>
          <w:sz w:val="21"/>
          <w:szCs w:val="21"/>
        </w:rPr>
        <w:t xml:space="preserve"> </w:t>
      </w:r>
    </w:p>
    <w:p w14:paraId="46DEF905" w14:textId="3A9B6788" w:rsidR="00B50010" w:rsidRPr="00EB0932" w:rsidRDefault="00B50010" w:rsidP="00B50010">
      <w:pPr>
        <w:pStyle w:val="af3"/>
        <w:rPr>
          <w:rFonts w:ascii="Arial" w:hAnsi="Arial" w:cs="Arial"/>
          <w:sz w:val="21"/>
          <w:szCs w:val="21"/>
        </w:rPr>
      </w:pPr>
      <w:r w:rsidRPr="00EB0932">
        <w:rPr>
          <w:rFonts w:ascii="Arial" w:hAnsi="Arial" w:cs="Arial"/>
          <w:sz w:val="21"/>
          <w:szCs w:val="21"/>
        </w:rPr>
        <w:t>The nomogram visually integrates the network-derived OMRS</w:t>
      </w:r>
      <w:r w:rsidRPr="00EB0932">
        <w:rPr>
          <w:rFonts w:ascii="Arial" w:hAnsi="Arial" w:cs="Arial" w:hint="eastAsia"/>
          <w:sz w:val="21"/>
          <w:szCs w:val="21"/>
        </w:rPr>
        <w:t xml:space="preserve"> </w:t>
      </w:r>
      <w:r w:rsidRPr="00EB0932">
        <w:rPr>
          <w:rFonts w:ascii="Arial" w:hAnsi="Arial" w:cs="Arial"/>
          <w:sz w:val="21"/>
          <w:szCs w:val="21"/>
        </w:rPr>
        <w:t>with selected clinical, dietary, and lifestyle covariates. To estimate an individual's probability of disease progression, each specific variable state is mapped vertically to the uppermost 'Points' scale to assign a discrete score. The sum of these individual scores is then located on the 'Total Points' axis and mapped downwards to the bottom axis to determine the ultimate 'Risk of Progression'.</w:t>
      </w:r>
    </w:p>
    <w:p w14:paraId="6E38F620" w14:textId="73040A62" w:rsidR="00DE2F93" w:rsidRPr="00EB0932" w:rsidRDefault="00B50010" w:rsidP="00B50010">
      <w:pPr>
        <w:pStyle w:val="af3"/>
        <w:rPr>
          <w:rFonts w:ascii="Arial" w:hAnsi="Arial" w:cs="Arial"/>
          <w:i/>
          <w:iCs/>
          <w:sz w:val="21"/>
          <w:szCs w:val="21"/>
        </w:rPr>
      </w:pPr>
      <w:r w:rsidRPr="00EB0932">
        <w:rPr>
          <w:rFonts w:ascii="Arial" w:hAnsi="Arial" w:cs="Arial"/>
          <w:i/>
          <w:iCs/>
          <w:sz w:val="21"/>
          <w:szCs w:val="21"/>
        </w:rPr>
        <w:t>UGIC, upper gastrointestinal cancer; OMRS, Oral Microbiome Risk Score.</w:t>
      </w:r>
    </w:p>
    <w:p w14:paraId="580AED4E" w14:textId="722FEE02" w:rsidR="005D107E" w:rsidRPr="00EB0932" w:rsidRDefault="001B799F" w:rsidP="005D107E">
      <w:pPr>
        <w:keepNext/>
        <w:jc w:val="center"/>
        <w:rPr>
          <w:rFonts w:cs="Arial"/>
          <w:szCs w:val="21"/>
        </w:rPr>
      </w:pPr>
      <w:r>
        <w:rPr>
          <w:noProof/>
        </w:rPr>
        <w:lastRenderedPageBreak/>
        <w:drawing>
          <wp:inline distT="0" distB="0" distL="0" distR="0" wp14:anchorId="33CAC328" wp14:editId="69E39745">
            <wp:extent cx="3134778" cy="2700000"/>
            <wp:effectExtent l="0" t="0" r="8890" b="5715"/>
            <wp:docPr id="14997012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1205" name=""/>
                    <pic:cNvPicPr/>
                  </pic:nvPicPr>
                  <pic:blipFill>
                    <a:blip r:embed="rId15"/>
                    <a:stretch>
                      <a:fillRect/>
                    </a:stretch>
                  </pic:blipFill>
                  <pic:spPr>
                    <a:xfrm>
                      <a:off x="0" y="0"/>
                      <a:ext cx="3134778" cy="2700000"/>
                    </a:xfrm>
                    <a:prstGeom prst="rect">
                      <a:avLst/>
                    </a:prstGeom>
                  </pic:spPr>
                </pic:pic>
              </a:graphicData>
            </a:graphic>
          </wp:inline>
        </w:drawing>
      </w:r>
    </w:p>
    <w:p w14:paraId="54CFEF0E" w14:textId="672768CA" w:rsidR="00E66754" w:rsidRPr="00EB0932" w:rsidRDefault="005D107E" w:rsidP="00E9457D">
      <w:pPr>
        <w:pStyle w:val="af3"/>
        <w:rPr>
          <w:rFonts w:ascii="Arial" w:hAnsi="Arial" w:cs="Arial"/>
          <w:sz w:val="21"/>
          <w:szCs w:val="21"/>
        </w:rPr>
      </w:pPr>
      <w:bookmarkStart w:id="36" w:name="_Toc226734167"/>
      <w:bookmarkStart w:id="37" w:name="_Toc227337590"/>
      <w:bookmarkStart w:id="38" w:name="_Toc227337876"/>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6</w:t>
      </w:r>
      <w:bookmarkEnd w:id="36"/>
      <w:r w:rsidRPr="00E9457D">
        <w:rPr>
          <w:rFonts w:ascii="Arial" w:hAnsi="Arial" w:cs="Arial"/>
          <w:b/>
          <w:bCs/>
          <w:sz w:val="21"/>
          <w:szCs w:val="21"/>
        </w:rPr>
        <w:fldChar w:fldCharType="end"/>
      </w:r>
      <w:r w:rsidR="00B50010" w:rsidRPr="00E9457D">
        <w:rPr>
          <w:rFonts w:ascii="Arial" w:hAnsi="Arial" w:cs="Arial" w:hint="eastAsia"/>
          <w:b/>
          <w:bCs/>
          <w:sz w:val="21"/>
          <w:szCs w:val="21"/>
        </w:rPr>
        <w:t>.</w:t>
      </w:r>
      <w:r w:rsidR="00E66754" w:rsidRPr="00EB0932">
        <w:rPr>
          <w:rFonts w:cs="Arial"/>
          <w:sz w:val="21"/>
          <w:szCs w:val="21"/>
        </w:rPr>
        <w:t xml:space="preserve"> </w:t>
      </w:r>
      <w:r w:rsidR="00E66754" w:rsidRPr="00EB0932">
        <w:rPr>
          <w:rFonts w:ascii="Arial" w:hAnsi="Arial" w:cs="Arial"/>
          <w:sz w:val="21"/>
          <w:szCs w:val="21"/>
        </w:rPr>
        <w:t xml:space="preserve">Diagnostic performance of the predictive models for distinguishing </w:t>
      </w:r>
      <w:r w:rsidR="00E66754" w:rsidRPr="00EB0932">
        <w:rPr>
          <w:rFonts w:ascii="Arial" w:hAnsi="Arial" w:cs="Arial" w:hint="eastAsia"/>
          <w:sz w:val="21"/>
          <w:szCs w:val="21"/>
        </w:rPr>
        <w:t>H</w:t>
      </w:r>
      <w:r w:rsidR="00E66754" w:rsidRPr="00EB0932">
        <w:rPr>
          <w:rFonts w:ascii="Arial" w:hAnsi="Arial" w:cs="Arial"/>
          <w:sz w:val="21"/>
          <w:szCs w:val="21"/>
        </w:rPr>
        <w:t>GIN from HC.</w:t>
      </w:r>
      <w:bookmarkEnd w:id="37"/>
      <w:bookmarkEnd w:id="38"/>
      <w:r w:rsidR="00E66754" w:rsidRPr="00EB0932">
        <w:rPr>
          <w:rFonts w:ascii="Arial" w:hAnsi="Arial" w:cs="Arial"/>
          <w:sz w:val="21"/>
          <w:szCs w:val="21"/>
        </w:rPr>
        <w:t xml:space="preserve"> </w:t>
      </w:r>
    </w:p>
    <w:p w14:paraId="4812C1F4" w14:textId="2942C968" w:rsidR="00E66754" w:rsidRPr="00EB0932" w:rsidRDefault="00E66754" w:rsidP="00E66754">
      <w:pPr>
        <w:pStyle w:val="af3"/>
        <w:rPr>
          <w:rFonts w:ascii="Arial" w:hAnsi="Arial" w:cs="Arial"/>
          <w:sz w:val="21"/>
          <w:szCs w:val="21"/>
        </w:rPr>
      </w:pPr>
      <w:r w:rsidRPr="00EB0932">
        <w:rPr>
          <w:rFonts w:ascii="Arial" w:hAnsi="Arial" w:cs="Arial"/>
          <w:sz w:val="21"/>
          <w:szCs w:val="21"/>
        </w:rPr>
        <w:t>Receiver Operating Characteristic (ROC) curves evaluating the discriminatory capacity of the microbiome signature, clinical covariates, and their combined predictive framework. The area under the curve (AUC) and its corresponding 95% confidence intervals (CI) for each model are annotated within the plot area. The statistical significance of the difference in AUC between the standalone clinical model and the combined model was assessed using the DeLong test.</w:t>
      </w:r>
    </w:p>
    <w:p w14:paraId="12A78DA0" w14:textId="4DF28A6D" w:rsidR="00E66754" w:rsidRPr="00EB0932" w:rsidRDefault="00E66754" w:rsidP="00E66754">
      <w:pPr>
        <w:pStyle w:val="af3"/>
        <w:rPr>
          <w:rFonts w:ascii="Arial" w:hAnsi="Arial" w:cs="Arial"/>
          <w:i/>
          <w:iCs/>
          <w:sz w:val="21"/>
          <w:szCs w:val="21"/>
        </w:rPr>
      </w:pPr>
      <w:r w:rsidRPr="00EB0932">
        <w:rPr>
          <w:rFonts w:ascii="Arial" w:hAnsi="Arial" w:cs="Arial"/>
          <w:i/>
          <w:iCs/>
          <w:sz w:val="21"/>
          <w:szCs w:val="21"/>
        </w:rPr>
        <w:t xml:space="preserve">HC, healthy controls; </w:t>
      </w:r>
      <w:r w:rsidRPr="00EB0932">
        <w:rPr>
          <w:rFonts w:ascii="Arial" w:hAnsi="Arial" w:cs="Arial" w:hint="eastAsia"/>
          <w:i/>
          <w:iCs/>
          <w:sz w:val="21"/>
          <w:szCs w:val="21"/>
        </w:rPr>
        <w:t>H</w:t>
      </w:r>
      <w:r w:rsidRPr="00EB0932">
        <w:rPr>
          <w:rFonts w:ascii="Arial" w:hAnsi="Arial" w:cs="Arial"/>
          <w:i/>
          <w:iCs/>
          <w:sz w:val="21"/>
          <w:szCs w:val="21"/>
        </w:rPr>
        <w:t xml:space="preserve">GIN, </w:t>
      </w:r>
      <w:r w:rsidRPr="00EB0932">
        <w:rPr>
          <w:rFonts w:ascii="Arial" w:hAnsi="Arial" w:cs="Arial" w:hint="eastAsia"/>
          <w:i/>
          <w:iCs/>
          <w:sz w:val="21"/>
          <w:szCs w:val="21"/>
        </w:rPr>
        <w:t>high</w:t>
      </w:r>
      <w:r w:rsidRPr="00EB0932">
        <w:rPr>
          <w:rFonts w:ascii="Arial" w:hAnsi="Arial" w:cs="Arial"/>
          <w:i/>
          <w:iCs/>
          <w:sz w:val="21"/>
          <w:szCs w:val="21"/>
        </w:rPr>
        <w:t xml:space="preserve">-grade intraepithelial neoplasia; </w:t>
      </w:r>
    </w:p>
    <w:p w14:paraId="6A3A3DB8" w14:textId="40F100C0" w:rsidR="005D107E" w:rsidRPr="00EB0932" w:rsidRDefault="005D107E" w:rsidP="005D107E">
      <w:pPr>
        <w:pStyle w:val="af3"/>
        <w:rPr>
          <w:rFonts w:ascii="Arial" w:hAnsi="Arial" w:cs="Arial"/>
          <w:sz w:val="21"/>
          <w:szCs w:val="21"/>
        </w:rPr>
      </w:pPr>
    </w:p>
    <w:p w14:paraId="7BEFC4FB" w14:textId="2C6C564C" w:rsidR="005D107E" w:rsidRPr="00E9457D" w:rsidRDefault="003B63F8" w:rsidP="005D107E">
      <w:pPr>
        <w:keepNext/>
        <w:jc w:val="center"/>
        <w:rPr>
          <w:rFonts w:cs="Arial"/>
          <w:szCs w:val="21"/>
        </w:rPr>
      </w:pPr>
      <w:r w:rsidRPr="00E9457D">
        <w:rPr>
          <w:noProof/>
          <w:szCs w:val="21"/>
        </w:rPr>
        <w:drawing>
          <wp:inline distT="0" distB="0" distL="0" distR="0" wp14:anchorId="5337650B" wp14:editId="5F2DA2B5">
            <wp:extent cx="3131714" cy="2700000"/>
            <wp:effectExtent l="0" t="0" r="0" b="5715"/>
            <wp:docPr id="18182210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21081" name=""/>
                    <pic:cNvPicPr/>
                  </pic:nvPicPr>
                  <pic:blipFill>
                    <a:blip r:embed="rId16"/>
                    <a:stretch>
                      <a:fillRect/>
                    </a:stretch>
                  </pic:blipFill>
                  <pic:spPr>
                    <a:xfrm>
                      <a:off x="0" y="0"/>
                      <a:ext cx="3131714" cy="2700000"/>
                    </a:xfrm>
                    <a:prstGeom prst="rect">
                      <a:avLst/>
                    </a:prstGeom>
                  </pic:spPr>
                </pic:pic>
              </a:graphicData>
            </a:graphic>
          </wp:inline>
        </w:drawing>
      </w:r>
    </w:p>
    <w:p w14:paraId="73050547" w14:textId="7D8CADDE" w:rsidR="00E66754" w:rsidRPr="00E9457D" w:rsidRDefault="00E9457D" w:rsidP="00E9457D">
      <w:pPr>
        <w:pStyle w:val="af3"/>
        <w:rPr>
          <w:rFonts w:ascii="Arial" w:hAnsi="Arial" w:cs="Arial"/>
          <w:sz w:val="21"/>
          <w:szCs w:val="21"/>
        </w:rPr>
      </w:pPr>
      <w:bookmarkStart w:id="39" w:name="_Toc226734168"/>
      <w:bookmarkStart w:id="40" w:name="_Toc227337591"/>
      <w:bookmarkStart w:id="41" w:name="_Toc227337877"/>
      <w:r w:rsidRPr="00E9457D">
        <w:rPr>
          <w:rFonts w:ascii="Arial" w:hAnsi="Arial" w:cs="Arial"/>
          <w:b/>
          <w:bCs/>
          <w:sz w:val="21"/>
          <w:szCs w:val="21"/>
        </w:rPr>
        <w:t xml:space="preserve">Supplementary Figure </w:t>
      </w:r>
      <w:r w:rsidRPr="00E9457D">
        <w:rPr>
          <w:rFonts w:ascii="Arial" w:hAnsi="Arial" w:cs="Arial"/>
          <w:b/>
          <w:bCs/>
          <w:sz w:val="21"/>
          <w:szCs w:val="21"/>
        </w:rPr>
        <w:fldChar w:fldCharType="begin"/>
      </w:r>
      <w:r w:rsidRPr="00E9457D">
        <w:rPr>
          <w:rFonts w:ascii="Arial" w:hAnsi="Arial" w:cs="Arial"/>
          <w:b/>
          <w:bCs/>
          <w:sz w:val="21"/>
          <w:szCs w:val="21"/>
        </w:rPr>
        <w:instrText xml:space="preserve"> SEQ Supplementary_Figure \* ARABIC </w:instrText>
      </w:r>
      <w:r w:rsidRPr="00E9457D">
        <w:rPr>
          <w:rFonts w:ascii="Arial" w:hAnsi="Arial" w:cs="Arial"/>
          <w:b/>
          <w:bCs/>
          <w:sz w:val="21"/>
          <w:szCs w:val="21"/>
        </w:rPr>
        <w:fldChar w:fldCharType="separate"/>
      </w:r>
      <w:r w:rsidR="00645D4E">
        <w:rPr>
          <w:rFonts w:ascii="Arial" w:hAnsi="Arial" w:cs="Arial"/>
          <w:b/>
          <w:bCs/>
          <w:noProof/>
          <w:sz w:val="21"/>
          <w:szCs w:val="21"/>
        </w:rPr>
        <w:t>7</w:t>
      </w:r>
      <w:r w:rsidRPr="00E9457D">
        <w:rPr>
          <w:rFonts w:ascii="Arial" w:hAnsi="Arial" w:cs="Arial"/>
          <w:b/>
          <w:bCs/>
          <w:sz w:val="21"/>
          <w:szCs w:val="21"/>
        </w:rPr>
        <w:fldChar w:fldCharType="end"/>
      </w:r>
      <w:bookmarkEnd w:id="39"/>
      <w:r w:rsidR="00B50010" w:rsidRPr="00E9457D">
        <w:rPr>
          <w:rFonts w:ascii="Arial" w:hAnsi="Arial" w:cs="Arial"/>
          <w:b/>
          <w:bCs/>
          <w:sz w:val="21"/>
          <w:szCs w:val="21"/>
        </w:rPr>
        <w:t>.</w:t>
      </w:r>
      <w:r w:rsidR="00E66754" w:rsidRPr="00E9457D">
        <w:rPr>
          <w:rFonts w:ascii="Arial" w:hAnsi="Arial" w:cs="Arial"/>
          <w:sz w:val="21"/>
          <w:szCs w:val="21"/>
        </w:rPr>
        <w:t xml:space="preserve"> Diagnostic performance of the predictive models for distinguishing </w:t>
      </w:r>
      <w:r w:rsidR="00E66754" w:rsidRPr="00E9457D">
        <w:rPr>
          <w:rFonts w:ascii="Arial" w:hAnsi="Arial" w:cs="Arial" w:hint="eastAsia"/>
          <w:sz w:val="21"/>
          <w:szCs w:val="21"/>
        </w:rPr>
        <w:t>UGIC</w:t>
      </w:r>
      <w:r w:rsidR="00E66754" w:rsidRPr="00E9457D">
        <w:rPr>
          <w:rFonts w:ascii="Arial" w:hAnsi="Arial" w:cs="Arial"/>
          <w:sz w:val="21"/>
          <w:szCs w:val="21"/>
        </w:rPr>
        <w:t xml:space="preserve"> from HC.</w:t>
      </w:r>
      <w:bookmarkEnd w:id="40"/>
      <w:bookmarkEnd w:id="41"/>
      <w:r w:rsidR="00E66754" w:rsidRPr="00E9457D">
        <w:rPr>
          <w:rFonts w:ascii="Arial" w:hAnsi="Arial" w:cs="Arial"/>
          <w:sz w:val="21"/>
          <w:szCs w:val="21"/>
        </w:rPr>
        <w:t xml:space="preserve"> </w:t>
      </w:r>
    </w:p>
    <w:p w14:paraId="22A85920" w14:textId="75A40AD9" w:rsidR="00E66754" w:rsidRPr="00EB0932" w:rsidRDefault="00E66754" w:rsidP="00E66754">
      <w:pPr>
        <w:pStyle w:val="af3"/>
        <w:rPr>
          <w:rFonts w:ascii="Arial" w:hAnsi="Arial" w:cs="Arial"/>
          <w:sz w:val="21"/>
          <w:szCs w:val="21"/>
        </w:rPr>
      </w:pPr>
      <w:r w:rsidRPr="00EB0932">
        <w:rPr>
          <w:rFonts w:ascii="Arial" w:hAnsi="Arial" w:cs="Arial"/>
          <w:sz w:val="21"/>
          <w:szCs w:val="21"/>
        </w:rPr>
        <w:t>Receiver Operating Characteristic (ROC) curves evaluating the discriminatory capacity of the microbiome signature, macroscopic clinical covariates, and their combined predictive framework. The area under the curve (AUC) and its corresponding 95% confidence intervals (CI) for each model are annotated within the plot area. The statistical significance of the difference in AUC between the standalone clinical model and the combined model was assessed using the DeLong test.</w:t>
      </w:r>
    </w:p>
    <w:p w14:paraId="2F6FDC7E" w14:textId="31411D5F" w:rsidR="00E66754" w:rsidRDefault="00E66754" w:rsidP="00E66754">
      <w:pPr>
        <w:pStyle w:val="af3"/>
        <w:rPr>
          <w:rFonts w:ascii="Arial" w:hAnsi="Arial" w:cs="Arial"/>
          <w:i/>
          <w:iCs/>
          <w:sz w:val="21"/>
          <w:szCs w:val="21"/>
        </w:rPr>
      </w:pPr>
      <w:r w:rsidRPr="00EB0932">
        <w:rPr>
          <w:rFonts w:ascii="Arial" w:hAnsi="Arial" w:cs="Arial"/>
          <w:i/>
          <w:iCs/>
          <w:sz w:val="21"/>
          <w:szCs w:val="21"/>
        </w:rPr>
        <w:t xml:space="preserve">HC, healthy controls; UGIC, upper gastrointestinal cancer; </w:t>
      </w:r>
    </w:p>
    <w:p w14:paraId="3B82D555" w14:textId="77777777" w:rsidR="004F7CF5" w:rsidRPr="004F7CF5" w:rsidRDefault="004F7CF5" w:rsidP="004F7CF5"/>
    <w:p w14:paraId="6A12E672" w14:textId="0735FA5C" w:rsidR="00645D4E" w:rsidRDefault="001C7CC1" w:rsidP="001650B4">
      <w:pPr>
        <w:pStyle w:val="af3"/>
        <w:keepNext/>
        <w:jc w:val="center"/>
        <w:rPr>
          <w:rFonts w:hint="eastAsia"/>
        </w:rPr>
      </w:pPr>
      <w:r>
        <w:rPr>
          <w:noProof/>
        </w:rPr>
        <w:drawing>
          <wp:inline distT="0" distB="0" distL="0" distR="0" wp14:anchorId="3CD2592A" wp14:editId="4360452B">
            <wp:extent cx="5274310" cy="3517265"/>
            <wp:effectExtent l="0" t="0" r="2540" b="6985"/>
            <wp:docPr id="5492283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28336" name=""/>
                    <pic:cNvPicPr/>
                  </pic:nvPicPr>
                  <pic:blipFill>
                    <a:blip r:embed="rId17"/>
                    <a:stretch>
                      <a:fillRect/>
                    </a:stretch>
                  </pic:blipFill>
                  <pic:spPr>
                    <a:xfrm>
                      <a:off x="0" y="0"/>
                      <a:ext cx="5274310" cy="3517265"/>
                    </a:xfrm>
                    <a:prstGeom prst="rect">
                      <a:avLst/>
                    </a:prstGeom>
                  </pic:spPr>
                </pic:pic>
              </a:graphicData>
            </a:graphic>
          </wp:inline>
        </w:drawing>
      </w:r>
    </w:p>
    <w:p w14:paraId="278EC2F7" w14:textId="5947B7DE" w:rsidR="005D107E" w:rsidRPr="001C7CC1" w:rsidRDefault="00645D4E" w:rsidP="00645D4E">
      <w:pPr>
        <w:pStyle w:val="af3"/>
        <w:rPr>
          <w:rFonts w:ascii="Arial" w:hAnsi="Arial" w:cs="Arial"/>
          <w:sz w:val="21"/>
          <w:szCs w:val="21"/>
        </w:rPr>
      </w:pPr>
      <w:r w:rsidRPr="001C7CC1">
        <w:rPr>
          <w:rFonts w:ascii="Arial" w:hAnsi="Arial" w:cs="Arial"/>
          <w:b/>
          <w:bCs/>
          <w:sz w:val="21"/>
          <w:szCs w:val="21"/>
        </w:rPr>
        <w:t xml:space="preserve">Supplementary Figure </w:t>
      </w:r>
      <w:r w:rsidRPr="001C7CC1">
        <w:rPr>
          <w:rFonts w:ascii="Arial" w:hAnsi="Arial" w:cs="Arial"/>
          <w:b/>
          <w:bCs/>
          <w:sz w:val="21"/>
          <w:szCs w:val="21"/>
        </w:rPr>
        <w:fldChar w:fldCharType="begin"/>
      </w:r>
      <w:r w:rsidRPr="001C7CC1">
        <w:rPr>
          <w:rFonts w:ascii="Arial" w:hAnsi="Arial" w:cs="Arial"/>
          <w:b/>
          <w:bCs/>
          <w:sz w:val="21"/>
          <w:szCs w:val="21"/>
        </w:rPr>
        <w:instrText xml:space="preserve"> SEQ Supplementary_Figure \* ARABIC </w:instrText>
      </w:r>
      <w:r w:rsidRPr="001C7CC1">
        <w:rPr>
          <w:rFonts w:ascii="Arial" w:hAnsi="Arial" w:cs="Arial"/>
          <w:b/>
          <w:bCs/>
          <w:sz w:val="21"/>
          <w:szCs w:val="21"/>
        </w:rPr>
        <w:fldChar w:fldCharType="separate"/>
      </w:r>
      <w:r w:rsidRPr="001C7CC1">
        <w:rPr>
          <w:rFonts w:ascii="Arial" w:hAnsi="Arial" w:cs="Arial"/>
          <w:b/>
          <w:bCs/>
          <w:noProof/>
          <w:sz w:val="21"/>
          <w:szCs w:val="21"/>
        </w:rPr>
        <w:t>8</w:t>
      </w:r>
      <w:r w:rsidRPr="001C7CC1">
        <w:rPr>
          <w:rFonts w:ascii="Arial" w:hAnsi="Arial" w:cs="Arial"/>
          <w:b/>
          <w:bCs/>
          <w:sz w:val="21"/>
          <w:szCs w:val="21"/>
        </w:rPr>
        <w:fldChar w:fldCharType="end"/>
      </w:r>
      <w:r w:rsidRPr="001C7CC1">
        <w:rPr>
          <w:rFonts w:ascii="Arial" w:hAnsi="Arial" w:cs="Arial"/>
          <w:b/>
          <w:bCs/>
          <w:sz w:val="21"/>
          <w:szCs w:val="21"/>
        </w:rPr>
        <w:t xml:space="preserve">. </w:t>
      </w:r>
      <w:r w:rsidRPr="001C7CC1">
        <w:rPr>
          <w:rFonts w:ascii="Arial" w:hAnsi="Arial" w:cs="Arial"/>
          <w:sz w:val="21"/>
          <w:szCs w:val="21"/>
        </w:rPr>
        <w:t>Bootstrap distributions of structural metrics for Module 6 across disease stages</w:t>
      </w:r>
    </w:p>
    <w:p w14:paraId="3DF5E9E9" w14:textId="49B6AF55" w:rsidR="00645D4E" w:rsidRPr="00645D4E" w:rsidRDefault="00645D4E" w:rsidP="00645D4E">
      <w:r w:rsidRPr="00645D4E">
        <w:t>The displayed metrics include species number, edge number, network density, clustering coefficient, centralization, mean participation coefficient, and mean edge weight. Together, these metrics characterize the size, compactness, local cohesiveness, hub dependence, cross-module connectivity, and average interaction strength of Module 6.</w:t>
      </w:r>
      <w:r w:rsidR="001C7CC1">
        <w:rPr>
          <w:rFonts w:hint="eastAsia"/>
        </w:rPr>
        <w:t xml:space="preserve"> </w:t>
      </w:r>
      <w:r w:rsidR="001C7CC1" w:rsidRPr="001C7CC1">
        <w:t>Overall, Module 6 showed stage-dependent structural variation, with more pronounced divergence at the precancerous stages, whereas UGIC appeared relatively closer to HC in several edge- and interaction-related properties.</w:t>
      </w:r>
    </w:p>
    <w:sectPr w:rsidR="00645D4E" w:rsidRPr="00645D4E" w:rsidSect="00130177">
      <w:pgSz w:w="11906" w:h="16838"/>
      <w:pgMar w:top="1151" w:right="1151" w:bottom="1151" w:left="115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86E09" w14:textId="77777777" w:rsidR="00FE690C" w:rsidRDefault="00FE690C" w:rsidP="00056C8D">
      <w:r>
        <w:separator/>
      </w:r>
    </w:p>
  </w:endnote>
  <w:endnote w:type="continuationSeparator" w:id="0">
    <w:p w14:paraId="59AFBD55" w14:textId="77777777" w:rsidR="00FE690C" w:rsidRDefault="00FE690C" w:rsidP="00056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06664" w14:textId="0C00C176" w:rsidR="002D4FF5" w:rsidRDefault="002D4FF5">
    <w:pPr>
      <w:pStyle w:val="af0"/>
      <w:jc w:val="center"/>
    </w:pPr>
  </w:p>
  <w:p w14:paraId="144231D2" w14:textId="77777777" w:rsidR="00050611" w:rsidRDefault="0005061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25169"/>
      <w:docPartObj>
        <w:docPartGallery w:val="Page Numbers (Bottom of Page)"/>
        <w:docPartUnique/>
      </w:docPartObj>
    </w:sdtPr>
    <w:sdtContent>
      <w:p w14:paraId="758CEBD6" w14:textId="77777777" w:rsidR="002D4FF5" w:rsidRDefault="002D4FF5">
        <w:pPr>
          <w:pStyle w:val="af0"/>
          <w:jc w:val="center"/>
        </w:pPr>
        <w:r>
          <w:fldChar w:fldCharType="begin"/>
        </w:r>
        <w:r>
          <w:instrText>PAGE   \* MERGEFORMAT</w:instrText>
        </w:r>
        <w:r>
          <w:fldChar w:fldCharType="separate"/>
        </w:r>
        <w:r>
          <w:rPr>
            <w:lang w:val="zh-CN"/>
          </w:rPr>
          <w:t>2</w:t>
        </w:r>
        <w:r>
          <w:fldChar w:fldCharType="end"/>
        </w:r>
      </w:p>
    </w:sdtContent>
  </w:sdt>
  <w:p w14:paraId="3A406315" w14:textId="77777777" w:rsidR="002D4FF5" w:rsidRDefault="002D4FF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0FBE9" w14:textId="77777777" w:rsidR="00FE690C" w:rsidRDefault="00FE690C" w:rsidP="00056C8D">
      <w:r>
        <w:separator/>
      </w:r>
    </w:p>
  </w:footnote>
  <w:footnote w:type="continuationSeparator" w:id="0">
    <w:p w14:paraId="11340D13" w14:textId="77777777" w:rsidR="00FE690C" w:rsidRDefault="00FE690C" w:rsidP="00056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15B2F"/>
    <w:multiLevelType w:val="hybridMultilevel"/>
    <w:tmpl w:val="BEEC0F48"/>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 w15:restartNumberingAfterBreak="0">
    <w:nsid w:val="715B7496"/>
    <w:multiLevelType w:val="hybridMultilevel"/>
    <w:tmpl w:val="3078E926"/>
    <w:lvl w:ilvl="0" w:tplc="CCEC37E4">
      <w:numFmt w:val="bullet"/>
      <w:lvlText w:val="•"/>
      <w:lvlJc w:val="left"/>
      <w:pPr>
        <w:ind w:left="860" w:hanging="440"/>
      </w:pPr>
      <w:rPr>
        <w:rFonts w:hint="default"/>
        <w:lang w:val="en-US" w:eastAsia="en-US" w:bidi="ar-SA"/>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num w:numId="1" w16cid:durableId="999501041">
    <w:abstractNumId w:val="0"/>
  </w:num>
  <w:num w:numId="2" w16cid:durableId="4719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594"/>
    <w:rsid w:val="00012CDF"/>
    <w:rsid w:val="00022771"/>
    <w:rsid w:val="00034C7F"/>
    <w:rsid w:val="00042347"/>
    <w:rsid w:val="00050611"/>
    <w:rsid w:val="00056C8D"/>
    <w:rsid w:val="0006480A"/>
    <w:rsid w:val="000A7626"/>
    <w:rsid w:val="000E4C8D"/>
    <w:rsid w:val="000E69C7"/>
    <w:rsid w:val="000F18D6"/>
    <w:rsid w:val="000F24EA"/>
    <w:rsid w:val="00130177"/>
    <w:rsid w:val="00146715"/>
    <w:rsid w:val="00153B65"/>
    <w:rsid w:val="001650B4"/>
    <w:rsid w:val="001659CE"/>
    <w:rsid w:val="001822AC"/>
    <w:rsid w:val="0018498C"/>
    <w:rsid w:val="001911D5"/>
    <w:rsid w:val="001A2C59"/>
    <w:rsid w:val="001A4294"/>
    <w:rsid w:val="001B799F"/>
    <w:rsid w:val="001C0EE6"/>
    <w:rsid w:val="001C7CC1"/>
    <w:rsid w:val="001F184D"/>
    <w:rsid w:val="001F4858"/>
    <w:rsid w:val="0020661E"/>
    <w:rsid w:val="00244025"/>
    <w:rsid w:val="002D4FF5"/>
    <w:rsid w:val="002E36C9"/>
    <w:rsid w:val="00342181"/>
    <w:rsid w:val="00353CDD"/>
    <w:rsid w:val="003746B8"/>
    <w:rsid w:val="00390586"/>
    <w:rsid w:val="00393D90"/>
    <w:rsid w:val="003B63F8"/>
    <w:rsid w:val="003C70E5"/>
    <w:rsid w:val="00440554"/>
    <w:rsid w:val="00461576"/>
    <w:rsid w:val="004C0C5C"/>
    <w:rsid w:val="004D2DD1"/>
    <w:rsid w:val="004D77CB"/>
    <w:rsid w:val="004F7CF5"/>
    <w:rsid w:val="00513F2A"/>
    <w:rsid w:val="00534C1F"/>
    <w:rsid w:val="0055602F"/>
    <w:rsid w:val="00557CDE"/>
    <w:rsid w:val="00574F75"/>
    <w:rsid w:val="005902F0"/>
    <w:rsid w:val="005A1CB4"/>
    <w:rsid w:val="005A3E06"/>
    <w:rsid w:val="005B4F41"/>
    <w:rsid w:val="005C562D"/>
    <w:rsid w:val="005D107E"/>
    <w:rsid w:val="005F4A63"/>
    <w:rsid w:val="00635995"/>
    <w:rsid w:val="00645D4E"/>
    <w:rsid w:val="006646B3"/>
    <w:rsid w:val="006F0C7D"/>
    <w:rsid w:val="007031A0"/>
    <w:rsid w:val="00710123"/>
    <w:rsid w:val="00770037"/>
    <w:rsid w:val="00772F3B"/>
    <w:rsid w:val="007D08B7"/>
    <w:rsid w:val="007D103A"/>
    <w:rsid w:val="007F1FFE"/>
    <w:rsid w:val="00810483"/>
    <w:rsid w:val="00817E16"/>
    <w:rsid w:val="00823644"/>
    <w:rsid w:val="00827333"/>
    <w:rsid w:val="00853391"/>
    <w:rsid w:val="00867A8D"/>
    <w:rsid w:val="008725C3"/>
    <w:rsid w:val="00875DFB"/>
    <w:rsid w:val="008F4994"/>
    <w:rsid w:val="0097761A"/>
    <w:rsid w:val="009A6854"/>
    <w:rsid w:val="009D07D8"/>
    <w:rsid w:val="009D310C"/>
    <w:rsid w:val="009E5438"/>
    <w:rsid w:val="009E6D82"/>
    <w:rsid w:val="00A1509F"/>
    <w:rsid w:val="00A4647B"/>
    <w:rsid w:val="00A5793A"/>
    <w:rsid w:val="00A735D7"/>
    <w:rsid w:val="00A81211"/>
    <w:rsid w:val="00AA2C73"/>
    <w:rsid w:val="00AA6403"/>
    <w:rsid w:val="00AC407F"/>
    <w:rsid w:val="00AD0940"/>
    <w:rsid w:val="00B21220"/>
    <w:rsid w:val="00B45C2E"/>
    <w:rsid w:val="00B50010"/>
    <w:rsid w:val="00B5304A"/>
    <w:rsid w:val="00B61874"/>
    <w:rsid w:val="00BB0013"/>
    <w:rsid w:val="00BB5E0D"/>
    <w:rsid w:val="00BF2399"/>
    <w:rsid w:val="00C01841"/>
    <w:rsid w:val="00C26C35"/>
    <w:rsid w:val="00C55F9C"/>
    <w:rsid w:val="00C62CA6"/>
    <w:rsid w:val="00C666CB"/>
    <w:rsid w:val="00C76615"/>
    <w:rsid w:val="00CA2774"/>
    <w:rsid w:val="00CC12D9"/>
    <w:rsid w:val="00CC596B"/>
    <w:rsid w:val="00CD09F5"/>
    <w:rsid w:val="00CD0E91"/>
    <w:rsid w:val="00CE22EB"/>
    <w:rsid w:val="00CE6C89"/>
    <w:rsid w:val="00D235EA"/>
    <w:rsid w:val="00D40827"/>
    <w:rsid w:val="00D7333F"/>
    <w:rsid w:val="00DB2CA1"/>
    <w:rsid w:val="00DC5032"/>
    <w:rsid w:val="00DE2F93"/>
    <w:rsid w:val="00DF5DA2"/>
    <w:rsid w:val="00E01737"/>
    <w:rsid w:val="00E10594"/>
    <w:rsid w:val="00E17720"/>
    <w:rsid w:val="00E2120B"/>
    <w:rsid w:val="00E45242"/>
    <w:rsid w:val="00E46EC8"/>
    <w:rsid w:val="00E471A8"/>
    <w:rsid w:val="00E66431"/>
    <w:rsid w:val="00E66754"/>
    <w:rsid w:val="00E9457D"/>
    <w:rsid w:val="00EB0932"/>
    <w:rsid w:val="00ED2B03"/>
    <w:rsid w:val="00EF1BDE"/>
    <w:rsid w:val="00F11BC5"/>
    <w:rsid w:val="00F202FB"/>
    <w:rsid w:val="00F76F6A"/>
    <w:rsid w:val="00F97A4D"/>
    <w:rsid w:val="00FA6230"/>
    <w:rsid w:val="00FC77C7"/>
    <w:rsid w:val="00FE690C"/>
    <w:rsid w:val="00FF2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EFA45"/>
  <w15:chartTrackingRefBased/>
  <w15:docId w15:val="{BF932693-BCDA-4698-BC1C-435C977F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A63"/>
    <w:pPr>
      <w:widowControl w:val="0"/>
      <w:jc w:val="both"/>
    </w:pPr>
  </w:style>
  <w:style w:type="paragraph" w:styleId="1">
    <w:name w:val="heading 1"/>
    <w:basedOn w:val="a"/>
    <w:next w:val="a"/>
    <w:link w:val="10"/>
    <w:uiPriority w:val="9"/>
    <w:qFormat/>
    <w:rsid w:val="00E1059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1059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1059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1059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1059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1059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1059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1059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1059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1059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1059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1059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10594"/>
    <w:rPr>
      <w:rFonts w:cstheme="majorBidi"/>
      <w:color w:val="0F4761" w:themeColor="accent1" w:themeShade="BF"/>
      <w:sz w:val="28"/>
      <w:szCs w:val="28"/>
    </w:rPr>
  </w:style>
  <w:style w:type="character" w:customStyle="1" w:styleId="50">
    <w:name w:val="标题 5 字符"/>
    <w:basedOn w:val="a0"/>
    <w:link w:val="5"/>
    <w:uiPriority w:val="9"/>
    <w:semiHidden/>
    <w:rsid w:val="00E10594"/>
    <w:rPr>
      <w:rFonts w:cstheme="majorBidi"/>
      <w:color w:val="0F4761" w:themeColor="accent1" w:themeShade="BF"/>
      <w:sz w:val="24"/>
      <w:szCs w:val="24"/>
    </w:rPr>
  </w:style>
  <w:style w:type="character" w:customStyle="1" w:styleId="60">
    <w:name w:val="标题 6 字符"/>
    <w:basedOn w:val="a0"/>
    <w:link w:val="6"/>
    <w:uiPriority w:val="9"/>
    <w:semiHidden/>
    <w:rsid w:val="00E10594"/>
    <w:rPr>
      <w:rFonts w:cstheme="majorBidi"/>
      <w:b/>
      <w:bCs/>
      <w:color w:val="0F4761" w:themeColor="accent1" w:themeShade="BF"/>
    </w:rPr>
  </w:style>
  <w:style w:type="character" w:customStyle="1" w:styleId="70">
    <w:name w:val="标题 7 字符"/>
    <w:basedOn w:val="a0"/>
    <w:link w:val="7"/>
    <w:uiPriority w:val="9"/>
    <w:semiHidden/>
    <w:rsid w:val="00E10594"/>
    <w:rPr>
      <w:rFonts w:cstheme="majorBidi"/>
      <w:b/>
      <w:bCs/>
      <w:color w:val="595959" w:themeColor="text1" w:themeTint="A6"/>
    </w:rPr>
  </w:style>
  <w:style w:type="character" w:customStyle="1" w:styleId="80">
    <w:name w:val="标题 8 字符"/>
    <w:basedOn w:val="a0"/>
    <w:link w:val="8"/>
    <w:uiPriority w:val="9"/>
    <w:semiHidden/>
    <w:rsid w:val="00E10594"/>
    <w:rPr>
      <w:rFonts w:cstheme="majorBidi"/>
      <w:color w:val="595959" w:themeColor="text1" w:themeTint="A6"/>
    </w:rPr>
  </w:style>
  <w:style w:type="character" w:customStyle="1" w:styleId="90">
    <w:name w:val="标题 9 字符"/>
    <w:basedOn w:val="a0"/>
    <w:link w:val="9"/>
    <w:uiPriority w:val="9"/>
    <w:semiHidden/>
    <w:rsid w:val="00E10594"/>
    <w:rPr>
      <w:rFonts w:eastAsiaTheme="majorEastAsia" w:cstheme="majorBidi"/>
      <w:color w:val="595959" w:themeColor="text1" w:themeTint="A6"/>
    </w:rPr>
  </w:style>
  <w:style w:type="paragraph" w:styleId="a3">
    <w:name w:val="Title"/>
    <w:basedOn w:val="a"/>
    <w:next w:val="a"/>
    <w:link w:val="a4"/>
    <w:uiPriority w:val="10"/>
    <w:qFormat/>
    <w:rsid w:val="00E1059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105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05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105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0594"/>
    <w:pPr>
      <w:spacing w:before="160" w:after="160"/>
      <w:jc w:val="center"/>
    </w:pPr>
    <w:rPr>
      <w:i/>
      <w:iCs/>
      <w:color w:val="404040" w:themeColor="text1" w:themeTint="BF"/>
    </w:rPr>
  </w:style>
  <w:style w:type="character" w:customStyle="1" w:styleId="a8">
    <w:name w:val="引用 字符"/>
    <w:basedOn w:val="a0"/>
    <w:link w:val="a7"/>
    <w:uiPriority w:val="29"/>
    <w:rsid w:val="00E10594"/>
    <w:rPr>
      <w:i/>
      <w:iCs/>
      <w:color w:val="404040" w:themeColor="text1" w:themeTint="BF"/>
    </w:rPr>
  </w:style>
  <w:style w:type="paragraph" w:styleId="a9">
    <w:name w:val="List Paragraph"/>
    <w:basedOn w:val="a"/>
    <w:uiPriority w:val="34"/>
    <w:qFormat/>
    <w:rsid w:val="00E10594"/>
    <w:pPr>
      <w:ind w:left="720"/>
      <w:contextualSpacing/>
    </w:pPr>
  </w:style>
  <w:style w:type="character" w:styleId="aa">
    <w:name w:val="Intense Emphasis"/>
    <w:basedOn w:val="a0"/>
    <w:uiPriority w:val="21"/>
    <w:qFormat/>
    <w:rsid w:val="00E10594"/>
    <w:rPr>
      <w:i/>
      <w:iCs/>
      <w:color w:val="0F4761" w:themeColor="accent1" w:themeShade="BF"/>
    </w:rPr>
  </w:style>
  <w:style w:type="paragraph" w:styleId="ab">
    <w:name w:val="Intense Quote"/>
    <w:basedOn w:val="a"/>
    <w:next w:val="a"/>
    <w:link w:val="ac"/>
    <w:uiPriority w:val="30"/>
    <w:qFormat/>
    <w:rsid w:val="00E10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10594"/>
    <w:rPr>
      <w:i/>
      <w:iCs/>
      <w:color w:val="0F4761" w:themeColor="accent1" w:themeShade="BF"/>
    </w:rPr>
  </w:style>
  <w:style w:type="character" w:styleId="ad">
    <w:name w:val="Intense Reference"/>
    <w:basedOn w:val="a0"/>
    <w:uiPriority w:val="32"/>
    <w:qFormat/>
    <w:rsid w:val="00E10594"/>
    <w:rPr>
      <w:b/>
      <w:bCs/>
      <w:smallCaps/>
      <w:color w:val="0F4761" w:themeColor="accent1" w:themeShade="BF"/>
      <w:spacing w:val="5"/>
    </w:rPr>
  </w:style>
  <w:style w:type="paragraph" w:styleId="ae">
    <w:name w:val="header"/>
    <w:basedOn w:val="a"/>
    <w:link w:val="af"/>
    <w:uiPriority w:val="99"/>
    <w:unhideWhenUsed/>
    <w:rsid w:val="00056C8D"/>
    <w:pPr>
      <w:tabs>
        <w:tab w:val="center" w:pos="4153"/>
        <w:tab w:val="right" w:pos="8306"/>
      </w:tabs>
      <w:snapToGrid w:val="0"/>
      <w:jc w:val="center"/>
    </w:pPr>
    <w:rPr>
      <w:sz w:val="18"/>
      <w:szCs w:val="18"/>
    </w:rPr>
  </w:style>
  <w:style w:type="character" w:customStyle="1" w:styleId="af">
    <w:name w:val="页眉 字符"/>
    <w:basedOn w:val="a0"/>
    <w:link w:val="ae"/>
    <w:uiPriority w:val="99"/>
    <w:rsid w:val="00056C8D"/>
    <w:rPr>
      <w:sz w:val="18"/>
      <w:szCs w:val="18"/>
    </w:rPr>
  </w:style>
  <w:style w:type="paragraph" w:styleId="af0">
    <w:name w:val="footer"/>
    <w:basedOn w:val="a"/>
    <w:link w:val="af1"/>
    <w:uiPriority w:val="99"/>
    <w:unhideWhenUsed/>
    <w:rsid w:val="00056C8D"/>
    <w:pPr>
      <w:tabs>
        <w:tab w:val="center" w:pos="4153"/>
        <w:tab w:val="right" w:pos="8306"/>
      </w:tabs>
      <w:snapToGrid w:val="0"/>
      <w:jc w:val="left"/>
    </w:pPr>
    <w:rPr>
      <w:sz w:val="18"/>
      <w:szCs w:val="18"/>
    </w:rPr>
  </w:style>
  <w:style w:type="character" w:customStyle="1" w:styleId="af1">
    <w:name w:val="页脚 字符"/>
    <w:basedOn w:val="a0"/>
    <w:link w:val="af0"/>
    <w:uiPriority w:val="99"/>
    <w:rsid w:val="00056C8D"/>
    <w:rPr>
      <w:sz w:val="18"/>
      <w:szCs w:val="18"/>
    </w:rPr>
  </w:style>
  <w:style w:type="table" w:styleId="af2">
    <w:name w:val="Table Grid"/>
    <w:basedOn w:val="a1"/>
    <w:uiPriority w:val="39"/>
    <w:rsid w:val="00534C1F"/>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iPriority w:val="35"/>
    <w:unhideWhenUsed/>
    <w:qFormat/>
    <w:rsid w:val="00F11BC5"/>
    <w:rPr>
      <w:rFonts w:asciiTheme="majorHAnsi" w:eastAsia="黑体" w:hAnsiTheme="majorHAnsi" w:cstheme="majorBidi"/>
      <w:sz w:val="20"/>
      <w:szCs w:val="20"/>
    </w:rPr>
  </w:style>
  <w:style w:type="table" w:styleId="21">
    <w:name w:val="Plain Table 2"/>
    <w:basedOn w:val="a1"/>
    <w:uiPriority w:val="42"/>
    <w:rsid w:val="001F48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
    <w:name w:val="TOC Heading"/>
    <w:basedOn w:val="1"/>
    <w:next w:val="a"/>
    <w:uiPriority w:val="39"/>
    <w:unhideWhenUsed/>
    <w:qFormat/>
    <w:rsid w:val="00F76F6A"/>
    <w:pPr>
      <w:widowControl/>
      <w:spacing w:before="240" w:after="0" w:line="259" w:lineRule="auto"/>
      <w:jc w:val="left"/>
      <w:outlineLvl w:val="9"/>
    </w:pPr>
    <w:rPr>
      <w:kern w:val="0"/>
      <w:sz w:val="32"/>
      <w:szCs w:val="32"/>
      <w14:ligatures w14:val="none"/>
    </w:rPr>
  </w:style>
  <w:style w:type="paragraph" w:styleId="TOC1">
    <w:name w:val="toc 1"/>
    <w:basedOn w:val="a"/>
    <w:next w:val="a"/>
    <w:autoRedefine/>
    <w:uiPriority w:val="39"/>
    <w:unhideWhenUsed/>
    <w:rsid w:val="00F76F6A"/>
  </w:style>
  <w:style w:type="paragraph" w:styleId="TOC2">
    <w:name w:val="toc 2"/>
    <w:basedOn w:val="a"/>
    <w:next w:val="a"/>
    <w:autoRedefine/>
    <w:uiPriority w:val="39"/>
    <w:unhideWhenUsed/>
    <w:rsid w:val="00F76F6A"/>
    <w:pPr>
      <w:ind w:leftChars="200" w:left="420"/>
    </w:pPr>
  </w:style>
  <w:style w:type="character" w:styleId="af4">
    <w:name w:val="Hyperlink"/>
    <w:basedOn w:val="a0"/>
    <w:uiPriority w:val="99"/>
    <w:unhideWhenUsed/>
    <w:rsid w:val="00F76F6A"/>
    <w:rPr>
      <w:color w:val="467886" w:themeColor="hyperlink"/>
      <w:u w:val="single"/>
    </w:rPr>
  </w:style>
  <w:style w:type="paragraph" w:styleId="af5">
    <w:name w:val="table of figures"/>
    <w:basedOn w:val="a"/>
    <w:next w:val="a"/>
    <w:uiPriority w:val="99"/>
    <w:unhideWhenUsed/>
    <w:rsid w:val="00F76F6A"/>
    <w:pPr>
      <w:ind w:leftChars="200" w:left="200" w:hangingChars="200" w:hanging="200"/>
    </w:pPr>
  </w:style>
  <w:style w:type="paragraph" w:styleId="31">
    <w:name w:val="Body Text Indent 3"/>
    <w:basedOn w:val="a"/>
    <w:link w:val="32"/>
    <w:uiPriority w:val="99"/>
    <w:unhideWhenUsed/>
    <w:rsid w:val="00B21220"/>
    <w:pPr>
      <w:spacing w:after="120"/>
      <w:ind w:leftChars="200" w:left="420"/>
      <w:jc w:val="left"/>
    </w:pPr>
    <w:rPr>
      <w:rFonts w:ascii="Courier" w:eastAsia="宋体" w:hAnsi="Courier" w:cs="Times New Roman"/>
      <w:snapToGrid w:val="0"/>
      <w:kern w:val="0"/>
      <w:sz w:val="16"/>
      <w:szCs w:val="16"/>
      <w:lang w:eastAsia="en-US"/>
      <w14:ligatures w14:val="none"/>
    </w:rPr>
  </w:style>
  <w:style w:type="character" w:customStyle="1" w:styleId="32">
    <w:name w:val="正文文本缩进 3 字符"/>
    <w:basedOn w:val="a0"/>
    <w:link w:val="31"/>
    <w:uiPriority w:val="99"/>
    <w:rsid w:val="00B21220"/>
    <w:rPr>
      <w:rFonts w:ascii="Courier" w:eastAsia="宋体" w:hAnsi="Courier" w:cs="Times New Roman"/>
      <w:snapToGrid w:val="0"/>
      <w:kern w:val="0"/>
      <w:sz w:val="16"/>
      <w:szCs w:val="16"/>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61421-6380-43B3-87B5-8D8CAE591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15</Pages>
  <Words>2892</Words>
  <Characters>18573</Characters>
  <Application>Microsoft Office Word</Application>
  <DocSecurity>0</DocSecurity>
  <Lines>442</Lines>
  <Paragraphs>275</Paragraphs>
  <ScaleCrop>false</ScaleCrop>
  <Company/>
  <LinksUpToDate>false</LinksUpToDate>
  <CharactersWithSpaces>21190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俊岭 向</dc:creator>
  <cp:keywords/>
  <dc:description/>
  <cp:lastModifiedBy>俊岭 向</cp:lastModifiedBy>
  <cp:revision>13</cp:revision>
  <dcterms:created xsi:type="dcterms:W3CDTF">2026-04-30T06:56:00Z</dcterms:created>
  <dcterms:modified xsi:type="dcterms:W3CDTF">2026-08-26T01:06:00Z</dcterms:modified>
</cp:coreProperties>
</file>