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B4471C" w14:textId="28370476" w:rsidR="006B4847" w:rsidRDefault="006B4847" w:rsidP="006F47FB">
      <w:pPr>
        <w:jc w:val="left"/>
      </w:pPr>
    </w:p>
    <w:p w14:paraId="61B2E720" w14:textId="423EE47B" w:rsidR="006B4847" w:rsidRDefault="006B4847" w:rsidP="0015502A">
      <w:pPr>
        <w:jc w:val="center"/>
      </w:pPr>
      <w:r>
        <w:rPr>
          <w:noProof/>
        </w:rPr>
        <w:drawing>
          <wp:inline distT="0" distB="0" distL="0" distR="0" wp14:anchorId="01D02837" wp14:editId="7B80D582">
            <wp:extent cx="4997793" cy="132588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048662" cy="1339375"/>
                    </a:xfrm>
                    <a:prstGeom prst="rect">
                      <a:avLst/>
                    </a:prstGeom>
                  </pic:spPr>
                </pic:pic>
              </a:graphicData>
            </a:graphic>
          </wp:inline>
        </w:drawing>
      </w:r>
    </w:p>
    <w:p w14:paraId="6B4B7ECC" w14:textId="7FF19597" w:rsidR="006B4847" w:rsidRPr="0015298E" w:rsidRDefault="0015298E" w:rsidP="006F47FB">
      <w:pPr>
        <w:jc w:val="left"/>
        <w:rPr>
          <w:b/>
          <w:bCs/>
        </w:rPr>
      </w:pPr>
      <w:r w:rsidRPr="0015298E">
        <w:rPr>
          <w:rFonts w:hint="eastAsia"/>
          <w:b/>
          <w:bCs/>
        </w:rPr>
        <w:t>S</w:t>
      </w:r>
      <w:r w:rsidRPr="0015298E">
        <w:rPr>
          <w:b/>
          <w:bCs/>
        </w:rPr>
        <w:t xml:space="preserve">upplementary Figure </w:t>
      </w:r>
      <w:r w:rsidR="009E216B">
        <w:rPr>
          <w:b/>
          <w:bCs/>
        </w:rPr>
        <w:t>1</w:t>
      </w:r>
      <w:r w:rsidRPr="0015298E">
        <w:rPr>
          <w:b/>
          <w:bCs/>
        </w:rPr>
        <w:t>| Boxplot showing the distribution of completeness of each sample.</w:t>
      </w:r>
    </w:p>
    <w:p w14:paraId="6C919611" w14:textId="5F2BB277" w:rsidR="006B4847" w:rsidRDefault="006B4847" w:rsidP="006F47FB">
      <w:pPr>
        <w:jc w:val="left"/>
      </w:pPr>
    </w:p>
    <w:p w14:paraId="2A6A57CC" w14:textId="77777777" w:rsidR="0015298E" w:rsidRDefault="0015298E" w:rsidP="006F47FB">
      <w:pPr>
        <w:jc w:val="left"/>
      </w:pPr>
    </w:p>
    <w:p w14:paraId="6EBA8515" w14:textId="01960A13" w:rsidR="00CA131C" w:rsidRDefault="00CA131C" w:rsidP="0015502A">
      <w:pPr>
        <w:jc w:val="center"/>
      </w:pPr>
      <w:r>
        <w:rPr>
          <w:noProof/>
        </w:rPr>
        <w:drawing>
          <wp:inline distT="0" distB="0" distL="0" distR="0" wp14:anchorId="416524DD" wp14:editId="64EB99DC">
            <wp:extent cx="3931920" cy="3397457"/>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938412" cy="3403066"/>
                    </a:xfrm>
                    <a:prstGeom prst="rect">
                      <a:avLst/>
                    </a:prstGeom>
                  </pic:spPr>
                </pic:pic>
              </a:graphicData>
            </a:graphic>
          </wp:inline>
        </w:drawing>
      </w:r>
    </w:p>
    <w:p w14:paraId="740D1D4B" w14:textId="44858F54" w:rsidR="00CA131C" w:rsidRPr="006F47FB" w:rsidRDefault="002242BA" w:rsidP="006F47FB">
      <w:pPr>
        <w:jc w:val="left"/>
        <w:rPr>
          <w:b/>
          <w:bCs/>
        </w:rPr>
      </w:pPr>
      <w:r w:rsidRPr="006F47FB">
        <w:rPr>
          <w:rFonts w:hint="eastAsia"/>
          <w:b/>
          <w:bCs/>
        </w:rPr>
        <w:t>S</w:t>
      </w:r>
      <w:r w:rsidRPr="006F47FB">
        <w:rPr>
          <w:b/>
          <w:bCs/>
        </w:rPr>
        <w:t xml:space="preserve">upplementary Figure </w:t>
      </w:r>
      <w:r w:rsidR="009E216B">
        <w:rPr>
          <w:b/>
          <w:bCs/>
        </w:rPr>
        <w:t>2</w:t>
      </w:r>
      <w:r w:rsidRPr="006F47FB">
        <w:rPr>
          <w:b/>
          <w:bCs/>
        </w:rPr>
        <w:t xml:space="preserve"> Heatmap showing the Spearman </w:t>
      </w:r>
      <w:r w:rsidR="006F47FB" w:rsidRPr="006F47FB">
        <w:rPr>
          <w:b/>
          <w:bCs/>
        </w:rPr>
        <w:t>correlation coefficients of the viral profiles of all samples</w:t>
      </w:r>
      <w:r w:rsidR="00441570">
        <w:rPr>
          <w:b/>
          <w:bCs/>
        </w:rPr>
        <w:t>.</w:t>
      </w:r>
    </w:p>
    <w:p w14:paraId="2367891B" w14:textId="4F66960A" w:rsidR="00CA131C" w:rsidRDefault="00CA131C" w:rsidP="006F47FB">
      <w:pPr>
        <w:jc w:val="left"/>
      </w:pPr>
    </w:p>
    <w:p w14:paraId="2D96CBEF" w14:textId="6EA5CA46" w:rsidR="002054CC" w:rsidRDefault="002054CC" w:rsidP="006F47FB">
      <w:pPr>
        <w:jc w:val="left"/>
      </w:pPr>
    </w:p>
    <w:p w14:paraId="694DCB79" w14:textId="77777777" w:rsidR="00773127" w:rsidRDefault="00773127" w:rsidP="00773127">
      <w:pPr>
        <w:ind w:leftChars="-270" w:hangingChars="270" w:hanging="567"/>
        <w:jc w:val="left"/>
        <w:rPr>
          <w:rFonts w:hint="eastAsia"/>
        </w:rPr>
      </w:pPr>
      <w:r>
        <w:rPr>
          <w:noProof/>
        </w:rPr>
        <w:drawing>
          <wp:inline distT="0" distB="0" distL="0" distR="0" wp14:anchorId="24CF656E" wp14:editId="653D6E3B">
            <wp:extent cx="6610904" cy="2164080"/>
            <wp:effectExtent l="0" t="0" r="0" b="7620"/>
            <wp:docPr id="1" name="图片 1"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表, 散点图&#10;&#10;描述已自动生成"/>
                    <pic:cNvPicPr/>
                  </pic:nvPicPr>
                  <pic:blipFill>
                    <a:blip r:embed="rId8"/>
                    <a:stretch>
                      <a:fillRect/>
                    </a:stretch>
                  </pic:blipFill>
                  <pic:spPr>
                    <a:xfrm>
                      <a:off x="0" y="0"/>
                      <a:ext cx="6615236" cy="2165498"/>
                    </a:xfrm>
                    <a:prstGeom prst="rect">
                      <a:avLst/>
                    </a:prstGeom>
                  </pic:spPr>
                </pic:pic>
              </a:graphicData>
            </a:graphic>
          </wp:inline>
        </w:drawing>
      </w:r>
    </w:p>
    <w:p w14:paraId="6A123EAB" w14:textId="27DDC32C" w:rsidR="00597AD7" w:rsidRDefault="00597AD7" w:rsidP="00597AD7">
      <w:pPr>
        <w:jc w:val="left"/>
        <w:rPr>
          <w:rFonts w:eastAsiaTheme="minorHAnsi"/>
        </w:rPr>
      </w:pPr>
      <w:r>
        <w:rPr>
          <w:rFonts w:eastAsiaTheme="minorHAnsi"/>
          <w:b/>
          <w:bCs/>
        </w:rPr>
        <w:t xml:space="preserve">Supplementary </w:t>
      </w:r>
      <w:r w:rsidRPr="00D43140">
        <w:rPr>
          <w:rFonts w:eastAsiaTheme="minorHAnsi" w:hint="eastAsia"/>
          <w:b/>
          <w:bCs/>
        </w:rPr>
        <w:t>F</w:t>
      </w:r>
      <w:r w:rsidRPr="00D43140">
        <w:rPr>
          <w:rFonts w:eastAsiaTheme="minorHAnsi"/>
          <w:b/>
          <w:bCs/>
        </w:rPr>
        <w:t xml:space="preserve">igure </w:t>
      </w:r>
      <w:r>
        <w:rPr>
          <w:rFonts w:eastAsiaTheme="minorHAnsi"/>
          <w:b/>
          <w:bCs/>
        </w:rPr>
        <w:t>3</w:t>
      </w:r>
      <w:r w:rsidRPr="00D43140">
        <w:rPr>
          <w:rFonts w:eastAsiaTheme="minorHAnsi"/>
          <w:b/>
          <w:bCs/>
        </w:rPr>
        <w:t xml:space="preserve">| Comparison of </w:t>
      </w:r>
      <w:r>
        <w:rPr>
          <w:rFonts w:eastAsiaTheme="minorHAnsi"/>
          <w:b/>
          <w:bCs/>
        </w:rPr>
        <w:t>viral</w:t>
      </w:r>
      <w:r w:rsidRPr="00D43140">
        <w:rPr>
          <w:rFonts w:eastAsiaTheme="minorHAnsi"/>
          <w:b/>
          <w:bCs/>
        </w:rPr>
        <w:t xml:space="preserve"> metagenomes with parallel </w:t>
      </w:r>
      <w:r>
        <w:rPr>
          <w:rFonts w:eastAsiaTheme="minorHAnsi"/>
          <w:b/>
          <w:bCs/>
        </w:rPr>
        <w:t>experimental</w:t>
      </w:r>
      <w:r w:rsidRPr="00D43140">
        <w:rPr>
          <w:rFonts w:eastAsiaTheme="minorHAnsi"/>
          <w:b/>
          <w:bCs/>
        </w:rPr>
        <w:t xml:space="preserve"> procedures. </w:t>
      </w:r>
      <w:r w:rsidRPr="007E5BA6">
        <w:rPr>
          <w:rFonts w:eastAsiaTheme="minorHAnsi"/>
          <w:b/>
          <w:bCs/>
        </w:rPr>
        <w:t xml:space="preserve">a, </w:t>
      </w:r>
      <w:r>
        <w:rPr>
          <w:rFonts w:eastAsiaTheme="minorHAnsi"/>
        </w:rPr>
        <w:t xml:space="preserve">The within-sample (alpha) diversity parameters of all analyzed samples. For each parameter, 4 repetitions </w:t>
      </w:r>
      <w:r>
        <w:rPr>
          <w:rFonts w:eastAsiaTheme="minorHAnsi"/>
        </w:rPr>
        <w:lastRenderedPageBreak/>
        <w:t xml:space="preserve">of the same individual are grouped by colored bars, and the numbers upon the bars show the coefficient of variation (CV) of these 4 repetitions. </w:t>
      </w:r>
      <w:r w:rsidRPr="004C673B">
        <w:rPr>
          <w:rFonts w:eastAsiaTheme="minorHAnsi" w:hint="eastAsia"/>
          <w:b/>
          <w:bCs/>
        </w:rPr>
        <w:t>b</w:t>
      </w:r>
      <w:r w:rsidRPr="004C673B">
        <w:rPr>
          <w:rFonts w:eastAsiaTheme="minorHAnsi"/>
          <w:b/>
          <w:bCs/>
        </w:rPr>
        <w:t xml:space="preserve">, </w:t>
      </w:r>
      <w:r w:rsidRPr="00F07AFB">
        <w:rPr>
          <w:rFonts w:eastAsiaTheme="minorHAnsi"/>
        </w:rPr>
        <w:t>Principal coordinates analysis (PCoA)</w:t>
      </w:r>
      <w:r>
        <w:rPr>
          <w:rFonts w:eastAsiaTheme="minorHAnsi"/>
        </w:rPr>
        <w:t xml:space="preserve"> of the Bray-Curtis distances of gut viral profiles. </w:t>
      </w:r>
      <w:r w:rsidRPr="00F07AFB">
        <w:rPr>
          <w:rFonts w:eastAsiaTheme="minorHAnsi"/>
        </w:rPr>
        <w:t xml:space="preserve">Samples are shown at the </w:t>
      </w:r>
      <w:r>
        <w:rPr>
          <w:rFonts w:eastAsiaTheme="minorHAnsi"/>
        </w:rPr>
        <w:t xml:space="preserve">first and </w:t>
      </w:r>
      <w:r w:rsidRPr="00F07AFB">
        <w:rPr>
          <w:rFonts w:eastAsiaTheme="minorHAnsi"/>
        </w:rPr>
        <w:t>second principal coordinates (PC</w:t>
      </w:r>
      <w:r>
        <w:rPr>
          <w:rFonts w:eastAsiaTheme="minorHAnsi"/>
        </w:rPr>
        <w:t>oA1</w:t>
      </w:r>
      <w:r w:rsidRPr="00F07AFB">
        <w:rPr>
          <w:rFonts w:eastAsiaTheme="minorHAnsi"/>
        </w:rPr>
        <w:t xml:space="preserve"> and PC</w:t>
      </w:r>
      <w:r>
        <w:rPr>
          <w:rFonts w:eastAsiaTheme="minorHAnsi"/>
        </w:rPr>
        <w:t>oA2</w:t>
      </w:r>
      <w:r w:rsidRPr="00F07AFB">
        <w:rPr>
          <w:rFonts w:eastAsiaTheme="minorHAnsi"/>
        </w:rPr>
        <w:t>), and the ratio of variance contributed by these two principal coordinates is shown. Ellipsoids represent a 95% confidence interval surrounding each group.</w:t>
      </w:r>
      <w:r>
        <w:rPr>
          <w:rFonts w:eastAsiaTheme="minorHAnsi"/>
        </w:rPr>
        <w:t xml:space="preserve"> </w:t>
      </w:r>
      <w:r w:rsidRPr="00267CFA">
        <w:rPr>
          <w:rFonts w:eastAsiaTheme="minorHAnsi" w:hint="eastAsia"/>
          <w:b/>
          <w:bCs/>
        </w:rPr>
        <w:t>c</w:t>
      </w:r>
      <w:r w:rsidRPr="00267CFA">
        <w:rPr>
          <w:rFonts w:eastAsiaTheme="minorHAnsi"/>
          <w:b/>
          <w:bCs/>
        </w:rPr>
        <w:t>,</w:t>
      </w:r>
      <w:r>
        <w:rPr>
          <w:rFonts w:eastAsiaTheme="minorHAnsi"/>
        </w:rPr>
        <w:t xml:space="preserve"> Heatmap shows the Spearman correlation coefficients of the viral profiles of all analyzed samples.</w:t>
      </w:r>
    </w:p>
    <w:p w14:paraId="0294D16E" w14:textId="4963B9DD" w:rsidR="00806C9B" w:rsidRDefault="00806C9B" w:rsidP="006F47FB">
      <w:pPr>
        <w:jc w:val="left"/>
      </w:pPr>
    </w:p>
    <w:p w14:paraId="11DE38E4" w14:textId="79F24D0E" w:rsidR="00806C9B" w:rsidRDefault="00806C9B" w:rsidP="006F47FB">
      <w:pPr>
        <w:jc w:val="left"/>
      </w:pPr>
    </w:p>
    <w:p w14:paraId="5F831AC1" w14:textId="43A643F1" w:rsidR="00806C9B" w:rsidRDefault="00806C9B" w:rsidP="009C783C">
      <w:pPr>
        <w:jc w:val="center"/>
        <w:rPr>
          <w:rFonts w:hint="eastAsia"/>
        </w:rPr>
      </w:pPr>
      <w:r>
        <w:rPr>
          <w:noProof/>
        </w:rPr>
        <w:drawing>
          <wp:inline distT="0" distB="0" distL="0" distR="0" wp14:anchorId="5C89489E" wp14:editId="50E69E26">
            <wp:extent cx="5420227" cy="5343488"/>
            <wp:effectExtent l="0" t="0" r="0" b="0"/>
            <wp:docPr id="4" name="图片 4"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表, 散点图&#10;&#10;描述已自动生成"/>
                    <pic:cNvPicPr/>
                  </pic:nvPicPr>
                  <pic:blipFill>
                    <a:blip r:embed="rId9"/>
                    <a:stretch>
                      <a:fillRect/>
                    </a:stretch>
                  </pic:blipFill>
                  <pic:spPr>
                    <a:xfrm>
                      <a:off x="0" y="0"/>
                      <a:ext cx="5426695" cy="5349865"/>
                    </a:xfrm>
                    <a:prstGeom prst="rect">
                      <a:avLst/>
                    </a:prstGeom>
                  </pic:spPr>
                </pic:pic>
              </a:graphicData>
            </a:graphic>
          </wp:inline>
        </w:drawing>
      </w:r>
    </w:p>
    <w:p w14:paraId="253552F8" w14:textId="0F9E66A0" w:rsidR="00FA2CAE" w:rsidRDefault="00781F3D" w:rsidP="00FA2CAE">
      <w:pPr>
        <w:jc w:val="left"/>
      </w:pPr>
      <w:r w:rsidRPr="00781F3D">
        <w:rPr>
          <w:b/>
          <w:bCs/>
        </w:rPr>
        <w:t xml:space="preserve">Supplementary </w:t>
      </w:r>
      <w:r w:rsidRPr="00781F3D">
        <w:rPr>
          <w:rFonts w:hint="eastAsia"/>
          <w:b/>
          <w:bCs/>
        </w:rPr>
        <w:t>F</w:t>
      </w:r>
      <w:r w:rsidRPr="00781F3D">
        <w:rPr>
          <w:b/>
          <w:bCs/>
        </w:rPr>
        <w:t xml:space="preserve">igure </w:t>
      </w:r>
      <w:r w:rsidR="00F658A0">
        <w:rPr>
          <w:b/>
          <w:bCs/>
        </w:rPr>
        <w:t>4</w:t>
      </w:r>
      <w:r w:rsidRPr="00781F3D">
        <w:rPr>
          <w:b/>
          <w:bCs/>
        </w:rPr>
        <w:t xml:space="preserve">| Comparison of viral metagenomes </w:t>
      </w:r>
      <w:r w:rsidR="00EA7452">
        <w:rPr>
          <w:b/>
          <w:bCs/>
        </w:rPr>
        <w:t>between</w:t>
      </w:r>
      <w:r w:rsidRPr="00781F3D">
        <w:rPr>
          <w:b/>
          <w:bCs/>
        </w:rPr>
        <w:t xml:space="preserve"> PCR-based amplification and MDA.</w:t>
      </w:r>
      <w:r w:rsidR="00FA2CAE">
        <w:rPr>
          <w:b/>
          <w:bCs/>
        </w:rPr>
        <w:t xml:space="preserve"> </w:t>
      </w:r>
      <w:r w:rsidR="00FA2CAE" w:rsidRPr="00FA2CAE">
        <w:rPr>
          <w:b/>
          <w:bCs/>
        </w:rPr>
        <w:t xml:space="preserve">a-b, </w:t>
      </w:r>
      <w:r w:rsidR="00FA2CAE">
        <w:t xml:space="preserve">Assembly statistics of the raw metagenomic-assembled contigs </w:t>
      </w:r>
      <w:r w:rsidR="00FA2CAE" w:rsidRPr="00FA2CAE">
        <w:rPr>
          <w:b/>
          <w:bCs/>
        </w:rPr>
        <w:t>(a)</w:t>
      </w:r>
      <w:r w:rsidR="00FA2CAE">
        <w:t xml:space="preserve"> and identified viral contigs </w:t>
      </w:r>
      <w:r w:rsidR="00FA2CAE" w:rsidRPr="00FA2CAE">
        <w:rPr>
          <w:b/>
          <w:bCs/>
        </w:rPr>
        <w:t>(b)</w:t>
      </w:r>
      <w:r w:rsidR="00FA2CAE">
        <w:t xml:space="preserve"> of all analyzed samples. Four repetitions with 15C amplification (i.e., 15C-0, 15C-1, 15C-2, and 15C-3) are shown in average values. Paired Wilcoxon rank-sum test: * </w:t>
      </w:r>
      <w:r w:rsidR="00FA2CAE" w:rsidRPr="00FA2CAE">
        <w:rPr>
          <w:i/>
          <w:iCs/>
        </w:rPr>
        <w:t>p</w:t>
      </w:r>
      <w:r w:rsidR="00FA2CAE">
        <w:t xml:space="preserve">&lt;0.05; ** </w:t>
      </w:r>
      <w:r w:rsidR="00FA2CAE" w:rsidRPr="00FA2CAE">
        <w:rPr>
          <w:i/>
          <w:iCs/>
        </w:rPr>
        <w:t>p</w:t>
      </w:r>
      <w:r w:rsidR="00FA2CAE">
        <w:t>&lt;0.01.</w:t>
      </w:r>
      <w:r w:rsidR="00FA2CAE">
        <w:rPr>
          <w:rFonts w:hint="eastAsia"/>
        </w:rPr>
        <w:t xml:space="preserve"> </w:t>
      </w:r>
      <w:r w:rsidR="00FA2CAE" w:rsidRPr="00FA2CAE">
        <w:rPr>
          <w:b/>
          <w:bCs/>
        </w:rPr>
        <w:t xml:space="preserve">c, </w:t>
      </w:r>
      <w:r w:rsidR="00FA2CAE">
        <w:t>Heatmap showing the identification of viruses for all samples. For each individual, the viruses assembled from each sample are shown in the heatmap with green boxes, and the “recall rate” for each sample are shown bellowing the heatmap.</w:t>
      </w:r>
    </w:p>
    <w:p w14:paraId="3E79C525" w14:textId="77777777" w:rsidR="00FA2CAE" w:rsidRDefault="00FA2CAE" w:rsidP="00FA2CAE">
      <w:pPr>
        <w:jc w:val="left"/>
      </w:pPr>
    </w:p>
    <w:p w14:paraId="727E4D1A" w14:textId="57245A42" w:rsidR="00FF78AB" w:rsidRDefault="00FF78AB" w:rsidP="006F47FB">
      <w:pPr>
        <w:jc w:val="left"/>
      </w:pPr>
    </w:p>
    <w:p w14:paraId="28A770A4" w14:textId="38DA7159" w:rsidR="00FF78AB" w:rsidRDefault="00FF78AB" w:rsidP="0014394F">
      <w:pPr>
        <w:jc w:val="center"/>
      </w:pPr>
      <w:r>
        <w:rPr>
          <w:noProof/>
        </w:rPr>
        <w:lastRenderedPageBreak/>
        <w:drawing>
          <wp:inline distT="0" distB="0" distL="0" distR="0" wp14:anchorId="33BD1F3C" wp14:editId="47F1FB7A">
            <wp:extent cx="5425440" cy="4964560"/>
            <wp:effectExtent l="0" t="0" r="381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31547" cy="4970148"/>
                    </a:xfrm>
                    <a:prstGeom prst="rect">
                      <a:avLst/>
                    </a:prstGeom>
                  </pic:spPr>
                </pic:pic>
              </a:graphicData>
            </a:graphic>
          </wp:inline>
        </w:drawing>
      </w:r>
    </w:p>
    <w:p w14:paraId="2F3B2904" w14:textId="7EB144CD" w:rsidR="005D5697" w:rsidRPr="00EA7452" w:rsidRDefault="00EA7452" w:rsidP="006F47FB">
      <w:pPr>
        <w:jc w:val="left"/>
      </w:pPr>
      <w:r w:rsidRPr="00781F3D">
        <w:rPr>
          <w:b/>
          <w:bCs/>
        </w:rPr>
        <w:t xml:space="preserve">Supplementary </w:t>
      </w:r>
      <w:r w:rsidRPr="00781F3D">
        <w:rPr>
          <w:rFonts w:hint="eastAsia"/>
          <w:b/>
          <w:bCs/>
        </w:rPr>
        <w:t>F</w:t>
      </w:r>
      <w:r w:rsidRPr="00781F3D">
        <w:rPr>
          <w:b/>
          <w:bCs/>
        </w:rPr>
        <w:t xml:space="preserve">igure </w:t>
      </w:r>
      <w:r w:rsidR="00CC0859">
        <w:rPr>
          <w:b/>
          <w:bCs/>
        </w:rPr>
        <w:t>5</w:t>
      </w:r>
      <w:r w:rsidRPr="00781F3D">
        <w:rPr>
          <w:b/>
          <w:bCs/>
        </w:rPr>
        <w:t xml:space="preserve">| Comparison of </w:t>
      </w:r>
      <w:r>
        <w:rPr>
          <w:b/>
          <w:bCs/>
        </w:rPr>
        <w:t>gut viromes between</w:t>
      </w:r>
      <w:r w:rsidRPr="00781F3D">
        <w:rPr>
          <w:b/>
          <w:bCs/>
        </w:rPr>
        <w:t xml:space="preserve"> PCR-based amplification and MDA.</w:t>
      </w:r>
      <w:r>
        <w:rPr>
          <w:b/>
          <w:bCs/>
        </w:rPr>
        <w:t xml:space="preserve"> </w:t>
      </w:r>
      <w:r w:rsidR="0022367B">
        <w:rPr>
          <w:b/>
          <w:bCs/>
        </w:rPr>
        <w:t>a</w:t>
      </w:r>
      <w:r w:rsidRPr="00FA2CAE">
        <w:rPr>
          <w:b/>
          <w:bCs/>
        </w:rPr>
        <w:t xml:space="preserve">, </w:t>
      </w:r>
      <w:r w:rsidR="0022367B" w:rsidRPr="0022367B">
        <w:t>The within-sample (alpha) diversity parameters of all analyzed samples.</w:t>
      </w:r>
      <w:r w:rsidR="0022367B">
        <w:t xml:space="preserve"> Paired Wilcoxon rank-sum test: * </w:t>
      </w:r>
      <w:r w:rsidR="0022367B" w:rsidRPr="00FA2CAE">
        <w:rPr>
          <w:i/>
          <w:iCs/>
        </w:rPr>
        <w:t>p</w:t>
      </w:r>
      <w:r w:rsidR="0022367B">
        <w:t xml:space="preserve">&lt;0.05; ** </w:t>
      </w:r>
      <w:r w:rsidR="0022367B" w:rsidRPr="00FA2CAE">
        <w:rPr>
          <w:i/>
          <w:iCs/>
        </w:rPr>
        <w:t>p</w:t>
      </w:r>
      <w:r w:rsidR="0022367B">
        <w:t>&lt;0.01.</w:t>
      </w:r>
      <w:r w:rsidR="00441570">
        <w:t xml:space="preserve"> </w:t>
      </w:r>
      <w:r w:rsidR="00441570" w:rsidRPr="00441570">
        <w:rPr>
          <w:b/>
          <w:bCs/>
        </w:rPr>
        <w:t>b,</w:t>
      </w:r>
      <w:r w:rsidR="00441570">
        <w:t xml:space="preserve"> PCoA analysis of the Bray-Curtis distances of gut viral profiles. Samples are shown at the first and second principal coordinates (PCoA1 and PCoA2), and the ratio of variance contributed by these two principal coordinates is shown. </w:t>
      </w:r>
      <w:r w:rsidR="00441570" w:rsidRPr="00441570">
        <w:rPr>
          <w:b/>
          <w:bCs/>
        </w:rPr>
        <w:t xml:space="preserve">c, </w:t>
      </w:r>
      <w:r w:rsidR="00441570" w:rsidRPr="00441570">
        <w:t>Heatmap show</w:t>
      </w:r>
      <w:r w:rsidR="00441570">
        <w:t>s</w:t>
      </w:r>
      <w:r w:rsidR="00441570" w:rsidRPr="00441570">
        <w:t xml:space="preserve"> the Spearman correlation coefficients of the viral profiles of all samples</w:t>
      </w:r>
      <w:r w:rsidR="00441570">
        <w:t xml:space="preserve">. </w:t>
      </w:r>
      <w:r w:rsidR="00441570" w:rsidRPr="00441570">
        <w:rPr>
          <w:b/>
          <w:bCs/>
        </w:rPr>
        <w:t>d,</w:t>
      </w:r>
      <w:r w:rsidR="00441570">
        <w:t xml:space="preserve"> Boxplot shows the distribution of Spearman correlation coefficients intra- and inter-individuals.</w:t>
      </w:r>
    </w:p>
    <w:p w14:paraId="4757CBD5" w14:textId="0E3386EB" w:rsidR="005D5697" w:rsidRDefault="005D5697" w:rsidP="006F47FB">
      <w:pPr>
        <w:jc w:val="left"/>
      </w:pPr>
    </w:p>
    <w:p w14:paraId="69CBA55C" w14:textId="7A113949" w:rsidR="005D5697" w:rsidRDefault="005D5697" w:rsidP="006F47FB">
      <w:pPr>
        <w:jc w:val="left"/>
      </w:pPr>
    </w:p>
    <w:p w14:paraId="01CF8E33" w14:textId="2E093EF6" w:rsidR="00667A47" w:rsidRDefault="00667A47" w:rsidP="00CA2539">
      <w:pPr>
        <w:jc w:val="center"/>
      </w:pPr>
      <w:r>
        <w:rPr>
          <w:noProof/>
        </w:rPr>
        <w:lastRenderedPageBreak/>
        <w:drawing>
          <wp:inline distT="0" distB="0" distL="0" distR="0" wp14:anchorId="2C41A006" wp14:editId="3030B350">
            <wp:extent cx="5631180" cy="3819942"/>
            <wp:effectExtent l="0" t="0" r="762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642242" cy="3827446"/>
                    </a:xfrm>
                    <a:prstGeom prst="rect">
                      <a:avLst/>
                    </a:prstGeom>
                  </pic:spPr>
                </pic:pic>
              </a:graphicData>
            </a:graphic>
          </wp:inline>
        </w:drawing>
      </w:r>
    </w:p>
    <w:p w14:paraId="7532E49C" w14:textId="78120A74" w:rsidR="00204307" w:rsidRPr="00852998" w:rsidRDefault="00204307" w:rsidP="00204307">
      <w:pPr>
        <w:jc w:val="left"/>
      </w:pPr>
      <w:r w:rsidRPr="00204307">
        <w:rPr>
          <w:rFonts w:hint="eastAsia"/>
          <w:b/>
          <w:bCs/>
        </w:rPr>
        <w:t>S</w:t>
      </w:r>
      <w:r w:rsidRPr="00204307">
        <w:rPr>
          <w:b/>
          <w:bCs/>
        </w:rPr>
        <w:t>upplementary Figure 6| Network showing the virus-host relationships.</w:t>
      </w:r>
      <w:r w:rsidR="00852998">
        <w:rPr>
          <w:b/>
          <w:bCs/>
        </w:rPr>
        <w:t xml:space="preserve"> </w:t>
      </w:r>
      <w:r w:rsidR="00852998" w:rsidRPr="00852998">
        <w:rPr>
          <w:rFonts w:hint="eastAsia"/>
        </w:rPr>
        <w:t>N</w:t>
      </w:r>
      <w:r w:rsidR="00852998" w:rsidRPr="00852998">
        <w:t xml:space="preserve">odes represent the </w:t>
      </w:r>
      <w:r w:rsidR="00852998">
        <w:t xml:space="preserve">viruses (squares) and </w:t>
      </w:r>
      <w:r w:rsidR="00852998" w:rsidRPr="00852998">
        <w:t>bacteria</w:t>
      </w:r>
      <w:r w:rsidR="00852998">
        <w:t>l hosts</w:t>
      </w:r>
      <w:r w:rsidR="00852998" w:rsidRPr="00852998">
        <w:t xml:space="preserve"> (</w:t>
      </w:r>
      <w:r w:rsidR="00852998">
        <w:t>circles</w:t>
      </w:r>
      <w:r w:rsidR="00852998" w:rsidRPr="00852998">
        <w:t xml:space="preserve">), and lines connect the nodes represent the </w:t>
      </w:r>
      <w:r w:rsidR="00852998">
        <w:t>virus-host pairs</w:t>
      </w:r>
      <w:r w:rsidR="00852998" w:rsidRPr="00852998">
        <w:t>.</w:t>
      </w:r>
    </w:p>
    <w:p w14:paraId="33C120CF" w14:textId="6A0E78C6" w:rsidR="000965DA" w:rsidRPr="00852998" w:rsidRDefault="000965DA" w:rsidP="00204307">
      <w:pPr>
        <w:jc w:val="left"/>
      </w:pPr>
    </w:p>
    <w:p w14:paraId="3A12B0B1" w14:textId="77777777" w:rsidR="00667A47" w:rsidRDefault="00667A47" w:rsidP="006F47FB">
      <w:pPr>
        <w:jc w:val="left"/>
      </w:pPr>
    </w:p>
    <w:p w14:paraId="061FBC86" w14:textId="271BC562" w:rsidR="00FF78AB" w:rsidRDefault="000965DA" w:rsidP="00A47922">
      <w:pPr>
        <w:jc w:val="center"/>
      </w:pPr>
      <w:r>
        <w:rPr>
          <w:noProof/>
        </w:rPr>
        <w:drawing>
          <wp:inline distT="0" distB="0" distL="0" distR="0" wp14:anchorId="6F6FF75F" wp14:editId="519BECFF">
            <wp:extent cx="4053840" cy="1812366"/>
            <wp:effectExtent l="0" t="0" r="381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069089" cy="1819183"/>
                    </a:xfrm>
                    <a:prstGeom prst="rect">
                      <a:avLst/>
                    </a:prstGeom>
                  </pic:spPr>
                </pic:pic>
              </a:graphicData>
            </a:graphic>
          </wp:inline>
        </w:drawing>
      </w:r>
    </w:p>
    <w:p w14:paraId="570E356C" w14:textId="6B416AA4" w:rsidR="00FF78AB" w:rsidRPr="00EE1CDB" w:rsidRDefault="00EE1CDB" w:rsidP="006F47FB">
      <w:pPr>
        <w:jc w:val="left"/>
        <w:rPr>
          <w:b/>
          <w:bCs/>
        </w:rPr>
      </w:pPr>
      <w:r w:rsidRPr="00EE1CDB">
        <w:rPr>
          <w:rFonts w:hint="eastAsia"/>
          <w:b/>
          <w:bCs/>
        </w:rPr>
        <w:t>Su</w:t>
      </w:r>
      <w:r w:rsidRPr="00EE1CDB">
        <w:rPr>
          <w:b/>
          <w:bCs/>
        </w:rPr>
        <w:t>pplementary Figure 7| Comparison of viral contigs identified by viral metagenome and bulk metagenome.</w:t>
      </w:r>
      <w:r w:rsidR="000A5601">
        <w:rPr>
          <w:b/>
          <w:bCs/>
        </w:rPr>
        <w:t xml:space="preserve"> </w:t>
      </w:r>
      <w:r w:rsidR="000A5601">
        <w:t xml:space="preserve">Paired Wilcoxon rank-sum test: * </w:t>
      </w:r>
      <w:r w:rsidR="000A5601" w:rsidRPr="00FA2CAE">
        <w:rPr>
          <w:i/>
          <w:iCs/>
        </w:rPr>
        <w:t>p</w:t>
      </w:r>
      <w:r w:rsidR="000A5601">
        <w:t xml:space="preserve">&lt;0.05; ** </w:t>
      </w:r>
      <w:r w:rsidR="000A5601" w:rsidRPr="00FA2CAE">
        <w:rPr>
          <w:i/>
          <w:iCs/>
        </w:rPr>
        <w:t>p</w:t>
      </w:r>
      <w:r w:rsidR="000A5601">
        <w:t>&lt;0.01.</w:t>
      </w:r>
    </w:p>
    <w:p w14:paraId="4A68365B" w14:textId="1AFA283D" w:rsidR="008F61CD" w:rsidRDefault="008F61CD" w:rsidP="006F47FB">
      <w:pPr>
        <w:jc w:val="left"/>
      </w:pPr>
    </w:p>
    <w:p w14:paraId="09E66436" w14:textId="77777777" w:rsidR="008F61CD" w:rsidRDefault="008F61CD" w:rsidP="006F47FB">
      <w:pPr>
        <w:jc w:val="left"/>
      </w:pPr>
    </w:p>
    <w:sectPr w:rsidR="008F61CD" w:rsidSect="006B4847">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324D3A" w14:textId="77777777" w:rsidR="00483C17" w:rsidRDefault="00483C17" w:rsidP="006B4847">
      <w:r>
        <w:separator/>
      </w:r>
    </w:p>
  </w:endnote>
  <w:endnote w:type="continuationSeparator" w:id="0">
    <w:p w14:paraId="7D630177" w14:textId="77777777" w:rsidR="00483C17" w:rsidRDefault="00483C17" w:rsidP="006B4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318829" w14:textId="77777777" w:rsidR="00483C17" w:rsidRDefault="00483C17" w:rsidP="006B4847">
      <w:r>
        <w:separator/>
      </w:r>
    </w:p>
  </w:footnote>
  <w:footnote w:type="continuationSeparator" w:id="0">
    <w:p w14:paraId="56B7CADD" w14:textId="77777777" w:rsidR="00483C17" w:rsidRDefault="00483C17" w:rsidP="006B48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16E"/>
    <w:rsid w:val="00073850"/>
    <w:rsid w:val="000965DA"/>
    <w:rsid w:val="000A5601"/>
    <w:rsid w:val="0014394F"/>
    <w:rsid w:val="0015298E"/>
    <w:rsid w:val="0015502A"/>
    <w:rsid w:val="001D23DC"/>
    <w:rsid w:val="00204307"/>
    <w:rsid w:val="002054CC"/>
    <w:rsid w:val="0022367B"/>
    <w:rsid w:val="002242BA"/>
    <w:rsid w:val="00254114"/>
    <w:rsid w:val="00315F17"/>
    <w:rsid w:val="003259B1"/>
    <w:rsid w:val="00337748"/>
    <w:rsid w:val="003C72F2"/>
    <w:rsid w:val="00441570"/>
    <w:rsid w:val="00483C17"/>
    <w:rsid w:val="005247F2"/>
    <w:rsid w:val="0058272D"/>
    <w:rsid w:val="00590126"/>
    <w:rsid w:val="00597AD7"/>
    <w:rsid w:val="005D5697"/>
    <w:rsid w:val="006177E4"/>
    <w:rsid w:val="00645BA3"/>
    <w:rsid w:val="00667A47"/>
    <w:rsid w:val="006B4847"/>
    <w:rsid w:val="006F47FB"/>
    <w:rsid w:val="00773127"/>
    <w:rsid w:val="00781F3D"/>
    <w:rsid w:val="00806C9B"/>
    <w:rsid w:val="00852998"/>
    <w:rsid w:val="008F61CD"/>
    <w:rsid w:val="00933684"/>
    <w:rsid w:val="009C783C"/>
    <w:rsid w:val="009E216B"/>
    <w:rsid w:val="009E4462"/>
    <w:rsid w:val="00A47922"/>
    <w:rsid w:val="00B74647"/>
    <w:rsid w:val="00B96142"/>
    <w:rsid w:val="00C37C56"/>
    <w:rsid w:val="00CA131C"/>
    <w:rsid w:val="00CA2539"/>
    <w:rsid w:val="00CC0859"/>
    <w:rsid w:val="00D176D3"/>
    <w:rsid w:val="00E31AAB"/>
    <w:rsid w:val="00EA7452"/>
    <w:rsid w:val="00EB216E"/>
    <w:rsid w:val="00EE1CDB"/>
    <w:rsid w:val="00F07324"/>
    <w:rsid w:val="00F658A0"/>
    <w:rsid w:val="00FA2CAE"/>
    <w:rsid w:val="00FC1A49"/>
    <w:rsid w:val="00FF78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329025"/>
  <w15:chartTrackingRefBased/>
  <w15:docId w15:val="{1F8D08AA-AC71-4B72-9B3D-5B233E515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74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B484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B4847"/>
    <w:rPr>
      <w:sz w:val="18"/>
      <w:szCs w:val="18"/>
    </w:rPr>
  </w:style>
  <w:style w:type="paragraph" w:styleId="a5">
    <w:name w:val="footer"/>
    <w:basedOn w:val="a"/>
    <w:link w:val="a6"/>
    <w:uiPriority w:val="99"/>
    <w:unhideWhenUsed/>
    <w:rsid w:val="006B4847"/>
    <w:pPr>
      <w:tabs>
        <w:tab w:val="center" w:pos="4153"/>
        <w:tab w:val="right" w:pos="8306"/>
      </w:tabs>
      <w:snapToGrid w:val="0"/>
      <w:jc w:val="left"/>
    </w:pPr>
    <w:rPr>
      <w:sz w:val="18"/>
      <w:szCs w:val="18"/>
    </w:rPr>
  </w:style>
  <w:style w:type="character" w:customStyle="1" w:styleId="a6">
    <w:name w:val="页脚 字符"/>
    <w:basedOn w:val="a0"/>
    <w:link w:val="a5"/>
    <w:uiPriority w:val="99"/>
    <w:rsid w:val="006B484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4</Pages>
  <Words>394</Words>
  <Characters>2247</Characters>
  <Application>Microsoft Office Word</Application>
  <DocSecurity>0</DocSecurity>
  <Lines>18</Lines>
  <Paragraphs>5</Paragraphs>
  <ScaleCrop>false</ScaleCrop>
  <Company/>
  <LinksUpToDate>false</LinksUpToDate>
  <CharactersWithSpaces>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Shenghui</dc:creator>
  <cp:keywords/>
  <dc:description/>
  <cp:lastModifiedBy>Li Shenghui</cp:lastModifiedBy>
  <cp:revision>49</cp:revision>
  <dcterms:created xsi:type="dcterms:W3CDTF">2021-09-10T09:03:00Z</dcterms:created>
  <dcterms:modified xsi:type="dcterms:W3CDTF">2021-11-03T14:26:00Z</dcterms:modified>
</cp:coreProperties>
</file>