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C1270">
      <w:pPr>
        <w:keepNext/>
        <w:spacing w:before="0" w:after="80"/>
      </w:pPr>
      <w:r>
        <w:rPr>
          <w:rFonts w:ascii="Times New Roman" w:hAnsi="Times New Roman" w:eastAsia="Times New Roman"/>
          <w:b/>
          <w:sz w:val="20"/>
        </w:rPr>
        <w:t>Supplementary Table S</w:t>
      </w:r>
      <w:r>
        <w:rPr>
          <w:rFonts w:hint="eastAsia" w:eastAsia="宋体"/>
          <w:b/>
          <w:sz w:val="20"/>
          <w:lang w:val="en-US" w:eastAsia="zh-CN"/>
        </w:rPr>
        <w:t>1</w:t>
      </w:r>
      <w:r>
        <w:rPr>
          <w:rFonts w:ascii="Times New Roman" w:hAnsi="Times New Roman" w:eastAsia="Times New Roman"/>
          <w:b/>
          <w:sz w:val="20"/>
        </w:rPr>
        <w:t>. Candidate predictors, prediction time point, coding, and inclusion in the final models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 w14:paraId="42F7A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48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6CFD8DAD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Variable</w:t>
            </w:r>
          </w:p>
        </w:tc>
        <w:tc>
          <w:tcPr>
            <w:tcW w:w="1944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14BD865C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Availability</w:t>
            </w:r>
          </w:p>
        </w:tc>
        <w:tc>
          <w:tcPr>
            <w:tcW w:w="1296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0F3CA039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Type</w:t>
            </w:r>
          </w:p>
        </w:tc>
        <w:tc>
          <w:tcPr>
            <w:tcW w:w="2376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14C7C97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Coding / unit</w:t>
            </w:r>
          </w:p>
        </w:tc>
        <w:tc>
          <w:tcPr>
            <w:tcW w:w="108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41E3BCFB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Model 1</w:t>
            </w:r>
          </w:p>
        </w:tc>
        <w:tc>
          <w:tcPr>
            <w:tcW w:w="108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58638B6C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Model 2</w:t>
            </w:r>
          </w:p>
        </w:tc>
        <w:tc>
          <w:tcPr>
            <w:tcW w:w="3024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50D6BED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Role</w:t>
            </w:r>
          </w:p>
        </w:tc>
      </w:tr>
      <w:tr w14:paraId="29214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BAD8AF4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Age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C67EFFC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Preoperative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C4AD4B3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Continuous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FFAE00A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5792EC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709718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Yes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235B249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Main predictor</w:t>
            </w:r>
          </w:p>
        </w:tc>
      </w:tr>
      <w:tr w14:paraId="042C7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C374349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Gender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2AB8A36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Preoperative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A1C2808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Binary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289DDD6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Female/Male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87A2088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DBEF51A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78A76D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Baseline descriptor only</w:t>
            </w:r>
          </w:p>
        </w:tc>
      </w:tr>
      <w:tr w14:paraId="0BD7B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47D78DC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BMI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4ED7E80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Preoperative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5C7DA1B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Continuous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C415F0F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kg/m²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DE995EA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0996A16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0868133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Candidate / LASSO sensitivity</w:t>
            </w:r>
          </w:p>
        </w:tc>
      </w:tr>
      <w:tr w14:paraId="087167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C79EE81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DEXA T-score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3B619FF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Preoperative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CF4FE7D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Continuous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EEA0D36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T-score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D7EE9EE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5104B8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33D1B9D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Sensitivity analysis</w:t>
            </w:r>
          </w:p>
        </w:tc>
      </w:tr>
      <w:tr w14:paraId="02056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C07528A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Target vertebral CT-HU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3B974D0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Preoperative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BE81E37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Continuous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B9AD1A6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HU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E5DA60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4D52D1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Yes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844ED5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Main predictor</w:t>
            </w:r>
          </w:p>
        </w:tc>
      </w:tr>
      <w:tr w14:paraId="56491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D781871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Pre-existing VCF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96BA09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Preoperative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E6DB2DB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Binary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DA90206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No/Yes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476DFC7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0AFCAB8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6143F20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Not modeled because count variable carries the information</w:t>
            </w:r>
          </w:p>
        </w:tc>
      </w:tr>
      <w:tr w14:paraId="786E82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F96B7B4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Pre-existing VCF count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3550409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Preoperative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3E34FA3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Count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C21837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0,1,2,…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2DED1F7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48A87A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Yes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A08157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Main predictor</w:t>
            </w:r>
          </w:p>
        </w:tc>
      </w:tr>
      <w:tr w14:paraId="51B19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EE777F6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Paraspinal FIR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FBBDC27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Preoperative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83DD2F6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Continuous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69A20F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862C82C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921854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Yes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B4C710A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Main predictor</w:t>
            </w:r>
          </w:p>
        </w:tc>
      </w:tr>
      <w:tr w14:paraId="4FC24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35788C6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Thoracolumbar junction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5416593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Preoperative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0C80776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Binary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29C071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No/Yes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C1E9AA9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DDAC349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A525818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Candidate / LASSO sensitivity</w:t>
            </w:r>
          </w:p>
        </w:tc>
      </w:tr>
      <w:tr w14:paraId="6CD4B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E82B3C0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Endplate fracture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B2F43AC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Preoperative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76BC863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Binary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2D7FE7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No/Yes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D1355AB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034862F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E10527A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Candidate / LASSO sensitivity</w:t>
            </w:r>
          </w:p>
        </w:tc>
      </w:tr>
      <w:tr w14:paraId="34B10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F1083D5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Preoperative sagittal imbalance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A56372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Preoperative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786C003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Binary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1531E0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SVA ≥50 mm: Yes/No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F4968F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B2644C9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Yes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C45B497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Main predictor</w:t>
            </w:r>
          </w:p>
        </w:tc>
      </w:tr>
      <w:tr w14:paraId="571E6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765862D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Preoperative anti-osteoporosis medication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23F0A90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Preoperative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7991C1A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Binary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AD75980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No/Yes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CEA6AFC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4C40CE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1C3FDF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Candidate / LASSO sensitivity</w:t>
            </w:r>
          </w:p>
        </w:tc>
      </w:tr>
      <w:tr w14:paraId="0996A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3A3CBC1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Preoperative anterior compression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AA23ADB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Preoperative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A0FBF03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Continuous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09361DA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1B534E7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4C4907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Yes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D3B01D8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Main predictor added in revised locked model</w:t>
            </w:r>
          </w:p>
        </w:tc>
      </w:tr>
      <w:tr w14:paraId="5AFA9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924605D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Cement viscosity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29CAF3F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Perioperative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EB4621E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Binary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BE5382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High/Low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BE35A6B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44C8FBC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6C0C27E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Candidate / all-candidate LASSO sensitivity</w:t>
            </w:r>
          </w:p>
        </w:tc>
      </w:tr>
      <w:tr w14:paraId="70005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08CC210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CVF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4EA72C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Perioperative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A25ECEB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Continuous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AB9833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282C65C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07446CF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4F6AF89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Candidate / all-candidate LASSO sensitivity</w:t>
            </w:r>
          </w:p>
        </w:tc>
      </w:tr>
      <w:tr w14:paraId="16CBA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A7263BF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Cement distribution pattern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F9E175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Immediate postoperative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2650B6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Categorical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86FEE8E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Bilateral_H / Contiguous_O / Fragmented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5AF4288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BEFDBFF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Yes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D687BDF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Risk-updating variable</w:t>
            </w:r>
          </w:p>
        </w:tc>
      </w:tr>
      <w:tr w14:paraId="66BA7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F781978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Cement leakage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850E47F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Immediate postoperative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F383D7F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Binary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EEA7210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No/Yes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C985E00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C6FBB6E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D7279ED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Candidate / all-candidate LASSO sensitivity</w:t>
            </w:r>
          </w:p>
        </w:tc>
      </w:tr>
      <w:tr w14:paraId="1C15B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ED6F4A5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Postoperative BCA correction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3F53DCC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Immediate postoperative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B8B0FC3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Continuous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E09B82C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Degrees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2839117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EF96DB3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</w:t>
            </w:r>
          </w:p>
        </w:tc>
        <w:tc>
          <w:tcPr>
            <w:tcW w:w="302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073FD8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Candidate / all-candidate LASSO sensitivity</w:t>
            </w:r>
          </w:p>
        </w:tc>
      </w:tr>
    </w:tbl>
    <w:p w14:paraId="19C16A1A">
      <w:pPr>
        <w:rPr>
          <w:rFonts w:ascii="Times New Roman" w:hAnsi="Times New Roman" w:eastAsia="Times New Roman"/>
          <w:b/>
          <w:sz w:val="20"/>
        </w:rPr>
      </w:pPr>
      <w:r>
        <w:br w:type="page"/>
      </w:r>
      <w:bookmarkStart w:id="0" w:name="_GoBack"/>
      <w:bookmarkEnd w:id="0"/>
    </w:p>
    <w:p w14:paraId="2079F407">
      <w:pPr>
        <w:keepNext/>
        <w:spacing w:before="0" w:after="80"/>
      </w:pPr>
      <w:r>
        <w:rPr>
          <w:rFonts w:ascii="Times New Roman" w:hAnsi="Times New Roman" w:eastAsia="Times New Roman"/>
          <w:b/>
          <w:sz w:val="20"/>
        </w:rPr>
        <w:t>Supplementary Table S</w:t>
      </w:r>
      <w:r>
        <w:rPr>
          <w:rFonts w:hint="eastAsia" w:eastAsia="宋体"/>
          <w:b/>
          <w:sz w:val="20"/>
          <w:lang w:val="en-US" w:eastAsia="zh-CN"/>
        </w:rPr>
        <w:t>2</w:t>
      </w:r>
      <w:r>
        <w:rPr>
          <w:rFonts w:ascii="Times New Roman" w:hAnsi="Times New Roman" w:eastAsia="Times New Roman"/>
          <w:b/>
          <w:sz w:val="20"/>
        </w:rPr>
        <w:t>. Inter- and intra-observer reliability of radiological measurements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2909"/>
        <w:gridCol w:w="2909"/>
        <w:gridCol w:w="2909"/>
        <w:gridCol w:w="2909"/>
      </w:tblGrid>
      <w:tr w14:paraId="539BA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672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3DBFB65D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Measurement Parameters</w:t>
            </w:r>
          </w:p>
        </w:tc>
        <w:tc>
          <w:tcPr>
            <w:tcW w:w="288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4B121B3F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Inter-observer ICC/κ (95% CI)</w:t>
            </w:r>
          </w:p>
        </w:tc>
        <w:tc>
          <w:tcPr>
            <w:tcW w:w="1152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54CFE3FD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P value</w:t>
            </w:r>
          </w:p>
        </w:tc>
        <w:tc>
          <w:tcPr>
            <w:tcW w:w="288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4C7BF6DB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Intra-observer ICC/κ (95% CI)</w:t>
            </w:r>
          </w:p>
        </w:tc>
        <w:tc>
          <w:tcPr>
            <w:tcW w:w="1152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4845572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P value</w:t>
            </w:r>
          </w:p>
        </w:tc>
      </w:tr>
      <w:tr w14:paraId="199BB1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171F9A7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Target vertebral CT-HU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52A780E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0.935 (0.884–0.964)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C857166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 0.001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96F694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0.958 (0.924–0.977)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DD4DD0F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 0.001</w:t>
            </w:r>
          </w:p>
        </w:tc>
      </w:tr>
      <w:tr w14:paraId="60B3F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A8B65AF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Paraspinal FIR (%)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72FA2A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0.882 (0.804–0.935)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51A164A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 0.001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E395FC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0.914 (0.845–0.952)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AB1E306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 0.001</w:t>
            </w:r>
          </w:p>
        </w:tc>
      </w:tr>
      <w:tr w14:paraId="17490B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B519AE4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CVF (%)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4D98456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0.890 (0.812–0.941)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B50405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 0.001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3A865F3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0.925 (0.864–0.962)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0217EFA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 0.001</w:t>
            </w:r>
          </w:p>
        </w:tc>
      </w:tr>
      <w:tr w14:paraId="2FDC2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05B0657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Preoperative anterior vertebral compression (%)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85E7ADC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0.885 (0.801–0.938)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0CD6232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 0.001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991749C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0.918 (0.852–0.955)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C8F4500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 0.001</w:t>
            </w:r>
          </w:p>
        </w:tc>
      </w:tr>
      <w:tr w14:paraId="55701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BB5BC05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Postoperative BCA correction (°)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999C9B3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0.871 (0.775–0.928)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C131042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 0.001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0261092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0.901 (0.822–0.944)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702454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 0.001</w:t>
            </w:r>
          </w:p>
        </w:tc>
      </w:tr>
      <w:tr w14:paraId="3F844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42B41E1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Preoperative sagittal imbalance (κ)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155CABD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0.845 (0.742–0.948)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986CAD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 0.001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EF22C29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0.884 (0.795–0.973)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AF76B8E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 0.001</w:t>
            </w:r>
          </w:p>
        </w:tc>
      </w:tr>
      <w:tr w14:paraId="3C955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41E2803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Endplate fracture (κ)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9857653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0.832 (0.725–0.939)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BA0E652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 0.001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B7028DA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0.876 (0.782–0.970)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68B7709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 0.001</w:t>
            </w:r>
          </w:p>
        </w:tc>
      </w:tr>
      <w:tr w14:paraId="55026A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3C9381D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Cement distribution pattern (κ)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7224A5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0.856 (0.762–0.949)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02A1A5B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 0.001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60C04C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0.895 (0.814–0.976)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05D1A3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 0.001</w:t>
            </w:r>
          </w:p>
        </w:tc>
      </w:tr>
      <w:tr w14:paraId="5727B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7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CBC606C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Cement leakage (κ)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DBB27EF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0.891 (0.804–0.978)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5EF2226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 0.001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6873020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0.932 (0.861–0.995)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4E8F46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 0.001</w:t>
            </w:r>
          </w:p>
        </w:tc>
      </w:tr>
    </w:tbl>
    <w:p w14:paraId="3FFA8330">
      <w:pPr>
        <w:spacing w:before="60" w:after="0" w:line="240" w:lineRule="auto"/>
      </w:pPr>
      <w:r>
        <w:rPr>
          <w:rFonts w:ascii="Times New Roman" w:hAnsi="Times New Roman" w:eastAsia="Times New Roman"/>
          <w:sz w:val="16"/>
        </w:rPr>
        <w:t>Note: ICC, intraclass correlation coefficient; κ, Cohen's kappa coefficient (used for categorical variables including preoperative sagittal imbalance, endplate fracture, cement distribution pattern, and cement leakage); CI, confidence interval; CT-HU, computed tomography Hounsfield unit; FIR, fat infiltration rate; CVF, cement volume fraction; BCA, bisegmental Cobb angle.</w:t>
      </w:r>
    </w:p>
    <w:p w14:paraId="15E3B3EB">
      <w:r>
        <w:br w:type="page"/>
      </w:r>
    </w:p>
    <w:p w14:paraId="48D870DA">
      <w:pPr>
        <w:keepNext/>
        <w:spacing w:before="0" w:after="80"/>
      </w:pPr>
      <w:r>
        <w:rPr>
          <w:rFonts w:ascii="Times New Roman" w:hAnsi="Times New Roman" w:eastAsia="Times New Roman"/>
          <w:b/>
          <w:sz w:val="20"/>
        </w:rPr>
        <w:t>Supplementary Table S</w:t>
      </w:r>
      <w:r>
        <w:rPr>
          <w:rFonts w:hint="eastAsia" w:eastAsia="宋体"/>
          <w:b/>
          <w:sz w:val="20"/>
          <w:lang w:val="en-US" w:eastAsia="zh-CN"/>
        </w:rPr>
        <w:t>3</w:t>
      </w:r>
      <w:r>
        <w:rPr>
          <w:rFonts w:ascii="Times New Roman" w:hAnsi="Times New Roman" w:eastAsia="Times New Roman"/>
          <w:b/>
          <w:sz w:val="20"/>
        </w:rPr>
        <w:t>. Regression coefficients for Model 1 and Model 2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 w14:paraId="785F7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096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7AA74E19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Predictor</w:t>
            </w:r>
          </w:p>
        </w:tc>
        <w:tc>
          <w:tcPr>
            <w:tcW w:w="1584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72CFC65D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Model 1 β</w:t>
            </w:r>
          </w:p>
        </w:tc>
        <w:tc>
          <w:tcPr>
            <w:tcW w:w="144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2AB233D6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Model 1 SE</w:t>
            </w:r>
          </w:p>
        </w:tc>
        <w:tc>
          <w:tcPr>
            <w:tcW w:w="1224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67E4C540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Model 1 P</w:t>
            </w:r>
          </w:p>
        </w:tc>
        <w:tc>
          <w:tcPr>
            <w:tcW w:w="1584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1105B8B0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Model 2 β</w:t>
            </w:r>
          </w:p>
        </w:tc>
        <w:tc>
          <w:tcPr>
            <w:tcW w:w="144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4C989E1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Model 2 SE</w:t>
            </w:r>
          </w:p>
        </w:tc>
        <w:tc>
          <w:tcPr>
            <w:tcW w:w="1224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39231AA0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Model 2 P</w:t>
            </w:r>
          </w:p>
        </w:tc>
      </w:tr>
      <w:tr w14:paraId="593B9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E409DC9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Intercept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2434507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-10.909481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165C7C6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4.196756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F9B36D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0.009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F33DFA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-12.064233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E692B17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4.310515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2BF334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0.005</w:t>
            </w:r>
          </w:p>
        </w:tc>
      </w:tr>
      <w:tr w14:paraId="14459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3B525AF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Age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B3F428B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0.094546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9800E8A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0.047080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6BDBCD2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0.045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1852A72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0.097103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3330293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0.048387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1D31F2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0.045</w:t>
            </w:r>
          </w:p>
        </w:tc>
      </w:tr>
      <w:tr w14:paraId="26BFC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742C3CB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Target_CT_HU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222A552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-0.036113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0C6F95E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0.014827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66BB427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0.015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53F6B0A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-0.037170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77B41A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0.015244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8C800FC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0.015</w:t>
            </w:r>
          </w:p>
        </w:tc>
      </w:tr>
      <w:tr w14:paraId="66A0B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DE5D284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Pre_existing_VCF_Count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B5DAEA6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0.544726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6BDE6D8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0.169897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6C58D3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0.001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04640D0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0.640246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F5A8B5F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0.178362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24CA97B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&lt;0.001</w:t>
            </w:r>
          </w:p>
        </w:tc>
      </w:tr>
      <w:tr w14:paraId="62D4C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381B7D6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Paraspinal_FIR_%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F085402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0.049959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F40C5A0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0.020583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32F4729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0.015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226A8D6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0.050905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D1AD898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0.021481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E00C4E6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0.018</w:t>
            </w:r>
          </w:p>
        </w:tc>
      </w:tr>
      <w:tr w14:paraId="43F0D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6FB2DAE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Sagittal_imbalance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614AE1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0.789426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FC94637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0.337816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6A6FAE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0.019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68CC627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0.863945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266105B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0.346839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161F380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0.013</w:t>
            </w:r>
          </w:p>
        </w:tc>
      </w:tr>
      <w:tr w14:paraId="33759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7A588D3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Preop_Ant_Compression_%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FE2C51A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0.057727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9863BF6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0.012508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46E296A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&lt;0.001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EA09F7A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0.060183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A4D71C7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0.013207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382E10C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&lt;0.001</w:t>
            </w:r>
          </w:p>
        </w:tc>
      </w:tr>
      <w:tr w14:paraId="6DAE52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CF7919E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Cement_Contiguous_O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B2C6405">
            <w:pPr>
              <w:spacing w:after="0"/>
              <w:jc w:val="center"/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F757B17">
            <w:pPr>
              <w:spacing w:after="0"/>
              <w:jc w:val="center"/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51986F4">
            <w:pPr>
              <w:spacing w:after="0"/>
              <w:jc w:val="center"/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9D7CF5B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0.903653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2B126E2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0.400903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BA28AAA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0.024</w:t>
            </w:r>
          </w:p>
        </w:tc>
      </w:tr>
      <w:tr w14:paraId="2A51CD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9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1C4C332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Cement_Fragmented</w:t>
            </w:r>
          </w:p>
        </w:tc>
        <w:tc>
          <w:tcPr>
            <w:tcW w:w="158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B2CF06B">
            <w:pPr>
              <w:spacing w:after="0"/>
              <w:jc w:val="center"/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13AFF02">
            <w:pPr>
              <w:spacing w:after="0"/>
              <w:jc w:val="center"/>
            </w:pPr>
          </w:p>
        </w:tc>
        <w:tc>
          <w:tcPr>
            <w:tcW w:w="122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42060A5">
            <w:pPr>
              <w:spacing w:after="0"/>
              <w:jc w:val="center"/>
            </w:pPr>
          </w:p>
        </w:tc>
        <w:tc>
          <w:tcPr>
            <w:tcW w:w="158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D9F2D03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1.661300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41CE5B2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0.508801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554E75C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0.001</w:t>
            </w:r>
          </w:p>
        </w:tc>
      </w:tr>
    </w:tbl>
    <w:p w14:paraId="2B2943F6">
      <w:pPr>
        <w:spacing w:before="40" w:after="0"/>
      </w:pPr>
      <w:r>
        <w:rPr>
          <w:rFonts w:ascii="Times New Roman" w:hAnsi="Times New Roman" w:eastAsia="Times New Roman"/>
          <w:sz w:val="17"/>
        </w:rPr>
        <w:t>LP1 = -10.909481 + 0.094546×Age − 0.036113×CT-HU + 0.544726×VCF count + 0.049959×FIR + 0.789426×Sagittal imbalance + 0.057727×Preoperative anterior compression</w:t>
      </w:r>
    </w:p>
    <w:p w14:paraId="15E10377">
      <w:pPr>
        <w:spacing w:before="40" w:after="0"/>
      </w:pPr>
      <w:r>
        <w:rPr>
          <w:rFonts w:ascii="Times New Roman" w:hAnsi="Times New Roman" w:eastAsia="Times New Roman"/>
          <w:sz w:val="17"/>
        </w:rPr>
        <w:t>LP2 = -12.064233 + 0.097103×Age − 0.037170×CT-HU + 0.640246×VCF count + 0.050905×FIR + 0.863945×Sagittal imbalance + 0.060183×Preoperative anterior compression + 0.903653×Contiguous_O + 1.661300×Fragmented</w:t>
      </w:r>
    </w:p>
    <w:p w14:paraId="0FCD1D61">
      <w:pPr>
        <w:spacing w:before="60" w:after="0" w:line="240" w:lineRule="auto"/>
      </w:pPr>
      <w:r>
        <w:rPr>
          <w:rFonts w:ascii="Times New Roman" w:hAnsi="Times New Roman" w:eastAsia="Times New Roman"/>
          <w:sz w:val="16"/>
        </w:rPr>
        <w:t>Predicted probability = exp(LP) / [1 + exp(LP)]. Sagittal imbalance: Yes=1, No=0. Cement pattern reference: Bilateral_H.</w:t>
      </w:r>
    </w:p>
    <w:p w14:paraId="468B1F43">
      <w:r>
        <w:br w:type="page"/>
      </w:r>
    </w:p>
    <w:p w14:paraId="07E46E0C">
      <w:pPr>
        <w:keepNext/>
        <w:spacing w:before="0" w:after="80"/>
      </w:pPr>
      <w:r>
        <w:rPr>
          <w:rFonts w:ascii="Times New Roman" w:hAnsi="Times New Roman" w:eastAsia="Times New Roman"/>
          <w:b/>
          <w:sz w:val="20"/>
        </w:rPr>
        <w:t>Supplementary Table S</w:t>
      </w:r>
      <w:r>
        <w:rPr>
          <w:rFonts w:hint="eastAsia" w:eastAsia="宋体"/>
          <w:b/>
          <w:sz w:val="20"/>
          <w:lang w:val="en-US" w:eastAsia="zh-CN"/>
        </w:rPr>
        <w:t>4</w:t>
      </w:r>
      <w:r>
        <w:rPr>
          <w:rFonts w:ascii="Times New Roman" w:hAnsi="Times New Roman" w:eastAsia="Times New Roman"/>
          <w:b/>
          <w:sz w:val="20"/>
        </w:rPr>
        <w:t>. Exploratory risk stratification using internally validated OOF predictions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 w14:paraId="0CBBF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152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6713B7B9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Model</w:t>
            </w:r>
          </w:p>
        </w:tc>
        <w:tc>
          <w:tcPr>
            <w:tcW w:w="3168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1BE8CE4D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Risk group</w:t>
            </w:r>
          </w:p>
        </w:tc>
        <w:tc>
          <w:tcPr>
            <w:tcW w:w="108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70BACC52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N</w:t>
            </w:r>
          </w:p>
        </w:tc>
        <w:tc>
          <w:tcPr>
            <w:tcW w:w="1296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4FAFB7CE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AVF events</w:t>
            </w:r>
          </w:p>
        </w:tc>
        <w:tc>
          <w:tcPr>
            <w:tcW w:w="1728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213CD897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Observed AVF rate</w:t>
            </w:r>
          </w:p>
        </w:tc>
        <w:tc>
          <w:tcPr>
            <w:tcW w:w="2016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5282BD0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95% Wilson CI</w:t>
            </w:r>
          </w:p>
        </w:tc>
        <w:tc>
          <w:tcPr>
            <w:tcW w:w="1728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2164C6BB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Mean predicted risk</w:t>
            </w:r>
          </w:p>
        </w:tc>
      </w:tr>
      <w:tr w14:paraId="7E004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3E71050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M1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F6B64AA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Low (&lt;15%)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E6FE41A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149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B0A0377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6CC7FFF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6.0%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E391D90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3.2%–11.1%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F6105C8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4.5%</w:t>
            </w:r>
          </w:p>
        </w:tc>
      </w:tr>
      <w:tr w14:paraId="3C0A3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815528E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M1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D73E71B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Intermediate (15% to &lt;40%)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32B440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89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ABA6A0D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23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6474F4D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25.8%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638F9C2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17.9%–35.8%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794E8DE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26.7%</w:t>
            </w:r>
          </w:p>
        </w:tc>
      </w:tr>
      <w:tr w14:paraId="33CD7D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CF28C1C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M1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F03002C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High (≥40%)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2A0248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76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82D6FCF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48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72A713D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63.2%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D26D7D3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51.9%–73.1%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5A9A4C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66.0%</w:t>
            </w:r>
          </w:p>
        </w:tc>
      </w:tr>
      <w:tr w14:paraId="3863B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9B86288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M2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9BE653B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Low (&lt;15%)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24ED79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155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3AF0E87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3F55B59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7.7%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10C3F06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4.5%–13.0%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56876B0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4.2%</w:t>
            </w:r>
          </w:p>
        </w:tc>
      </w:tr>
      <w:tr w14:paraId="39F7F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A2978A3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M2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20A5473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Intermediate (15% to &lt;40%)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C45F1B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81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5504E4C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470A68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21.0%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C245EBF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13.5%–31.1%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244C26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25.8%</w:t>
            </w:r>
          </w:p>
        </w:tc>
      </w:tr>
      <w:tr w14:paraId="73F89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5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CF892AB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M2</w:t>
            </w:r>
          </w:p>
        </w:tc>
        <w:tc>
          <w:tcPr>
            <w:tcW w:w="316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4A8C43B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High (≥40%)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309E56B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78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675AE28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51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987CE6F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65.4%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59B93C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54.3%–75.0%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D1607D8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67.8%</w:t>
            </w:r>
          </w:p>
        </w:tc>
      </w:tr>
    </w:tbl>
    <w:p w14:paraId="7E648B08">
      <w:r>
        <w:br w:type="page"/>
      </w:r>
    </w:p>
    <w:p w14:paraId="2E4272D2">
      <w:pPr>
        <w:spacing w:after="40"/>
        <w:jc w:val="both"/>
      </w:pPr>
      <w:r>
        <w:rPr>
          <w:rFonts w:ascii="Times New Roman" w:hAnsi="Times New Roman"/>
          <w:b/>
          <w:sz w:val="20"/>
        </w:rPr>
        <w:t>Supplementary Table S5. LASSO sensitivity analysis of candidate predictors using the λ1SE criterion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2"/>
        <w:gridCol w:w="3672"/>
        <w:gridCol w:w="3672"/>
        <w:gridCol w:w="3672"/>
      </w:tblGrid>
      <w:tr w14:paraId="1FB68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exact"/>
          <w:jc w:val="center"/>
        </w:trPr>
        <w:tc>
          <w:tcPr>
            <w:tcW w:w="3312" w:type="dxa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388485F0">
            <w:pPr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Candidate set</w:t>
            </w:r>
          </w:p>
        </w:tc>
        <w:tc>
          <w:tcPr>
            <w:tcW w:w="7776" w:type="dxa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5CA0D26B">
            <w:pPr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Variable</w:t>
            </w:r>
          </w:p>
        </w:tc>
        <w:tc>
          <w:tcPr>
            <w:tcW w:w="2448" w:type="dxa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4E5B759A">
            <w:pPr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Selected at λ1SE</w:t>
            </w:r>
          </w:p>
        </w:tc>
        <w:tc>
          <w:tcPr>
            <w:tcW w:w="1872" w:type="dxa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6256035D">
            <w:pPr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Direction*</w:t>
            </w:r>
          </w:p>
        </w:tc>
      </w:tr>
      <w:tr w14:paraId="74146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1271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Preoperative candidates</w:t>
            </w:r>
          </w:p>
          <w:p w14:paraId="7164E2C1">
            <w:pPr>
              <w:spacing w:before="0" w:after="0" w:line="240" w:lineRule="auto"/>
            </w:pPr>
          </w:p>
          <w:p w14:paraId="41332733">
            <w:pPr>
              <w:spacing w:before="0" w:after="0" w:line="240" w:lineRule="auto"/>
            </w:pPr>
          </w:p>
          <w:p w14:paraId="2429847D">
            <w:pPr>
              <w:spacing w:before="0" w:after="0" w:line="240" w:lineRule="auto"/>
            </w:pPr>
          </w:p>
          <w:p w14:paraId="23CEA763">
            <w:pPr>
              <w:spacing w:before="0" w:after="0" w:line="240" w:lineRule="auto"/>
            </w:pPr>
          </w:p>
          <w:p w14:paraId="68386922">
            <w:pPr>
              <w:spacing w:before="0" w:after="0" w:line="240" w:lineRule="auto"/>
            </w:pPr>
          </w:p>
          <w:p w14:paraId="496354D9">
            <w:pPr>
              <w:spacing w:before="0" w:after="0" w:line="240" w:lineRule="auto"/>
            </w:pPr>
          </w:p>
          <w:p w14:paraId="29197B3D">
            <w:pPr>
              <w:spacing w:before="0" w:after="0" w:line="240" w:lineRule="auto"/>
            </w:pPr>
          </w:p>
          <w:p w14:paraId="58D3776E">
            <w:pPr>
              <w:spacing w:before="0" w:after="0" w:line="240" w:lineRule="auto"/>
            </w:pPr>
          </w:p>
          <w:p w14:paraId="6DE3120E">
            <w:pPr>
              <w:spacing w:before="0" w:after="0" w:line="240" w:lineRule="auto"/>
            </w:pPr>
          </w:p>
          <w:p w14:paraId="78F6915A">
            <w:pPr>
              <w:spacing w:before="0" w:after="0" w:line="240" w:lineRule="auto"/>
            </w:pP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3814C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Age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1DF5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547B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+</w:t>
            </w:r>
          </w:p>
        </w:tc>
      </w:tr>
      <w:tr w14:paraId="4073C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46763F28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35684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BMI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9165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8B6E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—</w:t>
            </w:r>
          </w:p>
        </w:tc>
      </w:tr>
      <w:tr w14:paraId="6E2AD1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06023194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442E2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DEXA T-score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5616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59D2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—</w:t>
            </w:r>
          </w:p>
        </w:tc>
      </w:tr>
      <w:tr w14:paraId="41D23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367C4A43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3E99D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Target vertebral CT-HU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72AA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28DF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−</w:t>
            </w:r>
          </w:p>
        </w:tc>
      </w:tr>
      <w:tr w14:paraId="4E434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2817101D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F4CF4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Pre-existing VCF count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33D4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3FEF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+</w:t>
            </w:r>
          </w:p>
        </w:tc>
      </w:tr>
      <w:tr w14:paraId="56735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6C812F35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5FB01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Paraspinal FIR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5DF6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9B5A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+</w:t>
            </w:r>
          </w:p>
        </w:tc>
      </w:tr>
      <w:tr w14:paraId="4E352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0B85AF2E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EDDAE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Thoracolumbar junction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C429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36D8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—</w:t>
            </w:r>
          </w:p>
        </w:tc>
      </w:tr>
      <w:tr w14:paraId="39F3C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0566ACF8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3FDEF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Endplate fracture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37D6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ABEC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—</w:t>
            </w:r>
          </w:p>
        </w:tc>
      </w:tr>
      <w:tr w14:paraId="1F9D9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05C8DC58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0435B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Preoperative sagittal imbalance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562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E5DD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—</w:t>
            </w:r>
          </w:p>
        </w:tc>
      </w:tr>
      <w:tr w14:paraId="4B2CF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6E590F1D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0D5B3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Preoperative anti-osteoporosis medication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C82C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3BC0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—</w:t>
            </w:r>
          </w:p>
        </w:tc>
      </w:tr>
      <w:tr w14:paraId="6F28E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676E1F47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5B60F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Preoperative anterior compression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9DF8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6832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+</w:t>
            </w:r>
          </w:p>
        </w:tc>
      </w:tr>
      <w:tr w14:paraId="1400C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restart"/>
            <w:tcBorders>
              <w:top w:val="single" w:color="999999" w:sz="4" w:space="0"/>
              <w:left w:val="nil"/>
              <w:bottom w:val="single" w:color="000000" w:sz="10" w:space="0"/>
              <w:right w:val="nil"/>
            </w:tcBorders>
            <w:vAlign w:val="center"/>
          </w:tcPr>
          <w:p w14:paraId="6FD6BCC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All candidates</w:t>
            </w:r>
          </w:p>
          <w:p w14:paraId="7D73D304">
            <w:pPr>
              <w:spacing w:before="0" w:after="0" w:line="240" w:lineRule="auto"/>
            </w:pPr>
          </w:p>
          <w:p w14:paraId="1E442E9D">
            <w:pPr>
              <w:spacing w:before="0" w:after="0" w:line="240" w:lineRule="auto"/>
            </w:pPr>
          </w:p>
          <w:p w14:paraId="35BF7CB1">
            <w:pPr>
              <w:spacing w:before="0" w:after="0" w:line="240" w:lineRule="auto"/>
            </w:pPr>
          </w:p>
          <w:p w14:paraId="3E7DADB4">
            <w:pPr>
              <w:spacing w:before="0" w:after="0" w:line="240" w:lineRule="auto"/>
            </w:pPr>
          </w:p>
          <w:p w14:paraId="3331F8CF">
            <w:pPr>
              <w:spacing w:before="0" w:after="0" w:line="240" w:lineRule="auto"/>
            </w:pPr>
          </w:p>
          <w:p w14:paraId="60AAE39B">
            <w:pPr>
              <w:spacing w:before="0" w:after="0" w:line="240" w:lineRule="auto"/>
            </w:pPr>
          </w:p>
          <w:p w14:paraId="75069744">
            <w:pPr>
              <w:spacing w:before="0" w:after="0" w:line="240" w:lineRule="auto"/>
            </w:pPr>
          </w:p>
          <w:p w14:paraId="237CC802">
            <w:pPr>
              <w:spacing w:before="0" w:after="0" w:line="240" w:lineRule="auto"/>
            </w:pPr>
          </w:p>
          <w:p w14:paraId="20DB2ABF">
            <w:pPr>
              <w:spacing w:before="0" w:after="0" w:line="240" w:lineRule="auto"/>
            </w:pPr>
          </w:p>
          <w:p w14:paraId="4F0D9AE6">
            <w:pPr>
              <w:spacing w:before="0" w:after="0" w:line="240" w:lineRule="auto"/>
            </w:pPr>
          </w:p>
          <w:p w14:paraId="648ADDAA">
            <w:pPr>
              <w:spacing w:before="0" w:after="0" w:line="240" w:lineRule="auto"/>
            </w:pPr>
          </w:p>
          <w:p w14:paraId="0D487417">
            <w:pPr>
              <w:spacing w:before="0" w:after="0" w:line="240" w:lineRule="auto"/>
            </w:pPr>
          </w:p>
          <w:p w14:paraId="75D3D832">
            <w:pPr>
              <w:spacing w:before="0" w:after="0" w:line="240" w:lineRule="auto"/>
            </w:pPr>
          </w:p>
          <w:p w14:paraId="5C9D4AEB">
            <w:pPr>
              <w:spacing w:before="0" w:after="0" w:line="240" w:lineRule="auto"/>
            </w:pPr>
          </w:p>
          <w:p w14:paraId="7E9CE657">
            <w:pPr>
              <w:spacing w:before="0" w:after="0" w:line="240" w:lineRule="auto"/>
            </w:pPr>
          </w:p>
          <w:p w14:paraId="11C49678">
            <w:pPr>
              <w:spacing w:before="0" w:after="0" w:line="240" w:lineRule="auto"/>
            </w:pPr>
          </w:p>
        </w:tc>
        <w:tc>
          <w:tcPr>
            <w:tcW w:w="3672" w:type="dxa"/>
            <w:tcBorders>
              <w:top w:val="single" w:color="999999" w:sz="4" w:space="0"/>
              <w:left w:val="nil"/>
              <w:bottom w:val="nil"/>
              <w:right w:val="nil"/>
            </w:tcBorders>
            <w:vAlign w:val="center"/>
          </w:tcPr>
          <w:p w14:paraId="61F7DC7A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Age</w:t>
            </w:r>
          </w:p>
        </w:tc>
        <w:tc>
          <w:tcPr>
            <w:tcW w:w="3672" w:type="dxa"/>
            <w:tcBorders>
              <w:top w:val="single" w:color="999999" w:sz="4" w:space="0"/>
              <w:left w:val="nil"/>
              <w:bottom w:val="nil"/>
              <w:right w:val="nil"/>
            </w:tcBorders>
            <w:vAlign w:val="center"/>
          </w:tcPr>
          <w:p w14:paraId="5409FB4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3672" w:type="dxa"/>
            <w:tcBorders>
              <w:top w:val="single" w:color="999999" w:sz="4" w:space="0"/>
              <w:left w:val="nil"/>
              <w:bottom w:val="nil"/>
              <w:right w:val="nil"/>
            </w:tcBorders>
            <w:vAlign w:val="center"/>
          </w:tcPr>
          <w:p w14:paraId="03D4F53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+</w:t>
            </w:r>
          </w:p>
        </w:tc>
      </w:tr>
      <w:tr w14:paraId="63DD0C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6854CD44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AA62B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BMI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D3DA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1695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—</w:t>
            </w:r>
          </w:p>
        </w:tc>
      </w:tr>
      <w:tr w14:paraId="45EF1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05CBB9AD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062A2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DEXA T-score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49A3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6405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—</w:t>
            </w:r>
          </w:p>
        </w:tc>
      </w:tr>
      <w:tr w14:paraId="6E823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00CFD460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60F02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Target vertebral CT-HU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B9CD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68A7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−</w:t>
            </w:r>
          </w:p>
        </w:tc>
      </w:tr>
      <w:tr w14:paraId="7994B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222A0FA5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99260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Pre-existing VCF count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1FF2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4602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+</w:t>
            </w:r>
          </w:p>
        </w:tc>
      </w:tr>
      <w:tr w14:paraId="16273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5BA51167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F7A9E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Paraspinal FIR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BB4E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27A9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+</w:t>
            </w:r>
          </w:p>
        </w:tc>
      </w:tr>
      <w:tr w14:paraId="2D64B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1E9E3E57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9FBAF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Thoracolumbar junction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5EA7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41DB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—</w:t>
            </w:r>
          </w:p>
        </w:tc>
      </w:tr>
      <w:tr w14:paraId="4AD4E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5D1FEBAA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FDED8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Endplate fracture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8B8B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2F2B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—</w:t>
            </w:r>
          </w:p>
        </w:tc>
      </w:tr>
      <w:tr w14:paraId="22A3C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489E0E8E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1C1AE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Preoperative sagittal imbalance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CA6B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DAC9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+</w:t>
            </w:r>
          </w:p>
        </w:tc>
      </w:tr>
      <w:tr w14:paraId="7C5BE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6EEA8438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E5E95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Preoperative anti-osteoporosis medication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5CED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240D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—</w:t>
            </w:r>
          </w:p>
        </w:tc>
      </w:tr>
      <w:tr w14:paraId="27F01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0C872532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6DB04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Preoperative anterior compression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D4AB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B89F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+</w:t>
            </w:r>
          </w:p>
        </w:tc>
      </w:tr>
      <w:tr w14:paraId="3E587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28DE6361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FAE39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Low cement viscosity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9BCB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C09B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—</w:t>
            </w:r>
          </w:p>
        </w:tc>
      </w:tr>
      <w:tr w14:paraId="18958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55ACFC92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4BDCB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CVF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50B1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7E33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—</w:t>
            </w:r>
          </w:p>
        </w:tc>
      </w:tr>
      <w:tr w14:paraId="26F00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2FEDB7E1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FD87B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Contiguous O cement pattern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65AB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997F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—</w:t>
            </w:r>
          </w:p>
        </w:tc>
      </w:tr>
      <w:tr w14:paraId="5AC42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0FA92FB9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F25DC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Fragmented cement pattern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FA96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Yes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9F55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+</w:t>
            </w:r>
          </w:p>
        </w:tc>
      </w:tr>
      <w:tr w14:paraId="442A1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70BA9257"/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9737B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Cement leakage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4510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4C3C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—</w:t>
            </w:r>
          </w:p>
        </w:tc>
      </w:tr>
      <w:tr w14:paraId="71299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3672" w:type="dxa"/>
            <w:vMerge w:val="continue"/>
            <w:vAlign w:val="center"/>
          </w:tcPr>
          <w:p w14:paraId="14FCD83B"/>
        </w:tc>
        <w:tc>
          <w:tcPr>
            <w:tcW w:w="3672" w:type="dxa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42500FA8"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Postoperative BCA correction</w:t>
            </w:r>
          </w:p>
        </w:tc>
        <w:tc>
          <w:tcPr>
            <w:tcW w:w="3672" w:type="dxa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60B7D50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3672" w:type="dxa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6A9F7BD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6"/>
              </w:rPr>
              <w:t>—</w:t>
            </w:r>
          </w:p>
        </w:tc>
      </w:tr>
    </w:tbl>
    <w:p w14:paraId="5254B6AF">
      <w:pPr>
        <w:spacing w:before="40" w:after="0" w:line="240" w:lineRule="auto"/>
      </w:pPr>
      <w:r>
        <w:rPr>
          <w:rFonts w:ascii="Times New Roman" w:hAnsi="Times New Roman"/>
          <w:sz w:val="15"/>
        </w:rPr>
        <w:t>Note: Predictors were standardized before L1-penalized logistic regression. Ten-fold cross-validation was used to select λ. λ1SE denotes the largest penalty whose cross-validated binomial deviance was within one standard error of the minimum. Selection status is aligned with the final glmnet analyses shown in Figures S1–S2. The LASSO analysis was a sensitivity analysis and did not redefine the prespecified main models. *Direction is shown only for predictors retained at λ1SE; + indicates a positive coefficient and − indicates a negative coefficient. DEXA, dual-energy X-ray absorptiometry; CT-HU, computed tomography Hounsfield unit; VCF, vertebral compression fracture; FIR, fat infiltration rate; CVF, cement volume fraction; BCA, bisegmental Cobb angle.</w:t>
      </w:r>
    </w:p>
    <w:p w14:paraId="1181741C">
      <w:pPr>
        <w:spacing w:before="60" w:after="0" w:line="240" w:lineRule="auto"/>
        <w:rPr>
          <w:rFonts w:ascii="Times New Roman" w:hAnsi="Times New Roman" w:eastAsia="Times New Roman"/>
          <w:sz w:val="16"/>
        </w:rPr>
      </w:pPr>
    </w:p>
    <w:p w14:paraId="094E2FC6">
      <w:r>
        <w:br w:type="page"/>
      </w:r>
    </w:p>
    <w:p w14:paraId="25937431">
      <w:pPr>
        <w:keepNext/>
        <w:spacing w:before="0" w:after="80"/>
      </w:pPr>
      <w:r>
        <w:rPr>
          <w:rFonts w:ascii="Times New Roman" w:hAnsi="Times New Roman" w:eastAsia="Times New Roman"/>
          <w:b/>
          <w:sz w:val="20"/>
        </w:rPr>
        <w:t>Supplementary Table S6. Sensitivity analysis evaluating the incremental value of DEXA T-score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8"/>
        <w:gridCol w:w="4848"/>
        <w:gridCol w:w="4848"/>
      </w:tblGrid>
      <w:tr w14:paraId="2CF81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4968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6A0F064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Metric</w:t>
            </w:r>
          </w:p>
        </w:tc>
        <w:tc>
          <w:tcPr>
            <w:tcW w:w="2592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2055C32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Model 1</w:t>
            </w:r>
          </w:p>
        </w:tc>
        <w:tc>
          <w:tcPr>
            <w:tcW w:w="3168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2B0FD077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sz w:val="18"/>
              </w:rPr>
              <w:t>Model 1 + DEXA T-score</w:t>
            </w:r>
          </w:p>
        </w:tc>
      </w:tr>
      <w:tr w14:paraId="679DF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C993D9C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8"/>
              </w:rPr>
              <w:t>Apparent AUC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4A4D39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0.872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C33774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0.876</w:t>
            </w:r>
          </w:p>
        </w:tc>
      </w:tr>
      <w:tr w14:paraId="507D2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8060D9A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8"/>
              </w:rPr>
              <w:t>10-fold OOF AUC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5FC97A4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0.854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D464CEC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0.856</w:t>
            </w:r>
          </w:p>
        </w:tc>
      </w:tr>
      <w:tr w14:paraId="065EC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C4FC8C2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8"/>
              </w:rPr>
              <w:t>OOF Brier score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E95D55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0.128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57975E8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0.126</w:t>
            </w:r>
          </w:p>
        </w:tc>
      </w:tr>
      <w:tr w14:paraId="189CE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0575AF6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8"/>
              </w:rPr>
              <w:t>AIC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3E4E61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249.8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920865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250.2</w:t>
            </w:r>
          </w:p>
        </w:tc>
      </w:tr>
      <w:tr w14:paraId="6184B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4A3E308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8"/>
              </w:rPr>
              <w:t>ΔAIC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ACA6E53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—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0AC17B1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+0.38</w:t>
            </w:r>
          </w:p>
        </w:tc>
      </w:tr>
      <w:tr w14:paraId="7E9D7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BC8F603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8"/>
              </w:rPr>
              <w:t>Likelihood-ratio test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DDBB449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—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09ED4B5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χ²=1.62, P=0.204</w:t>
            </w:r>
          </w:p>
        </w:tc>
      </w:tr>
      <w:tr w14:paraId="504D4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1550E30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8"/>
              </w:rPr>
              <w:t>Δ apparent AUC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CA4BC86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—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46C48F0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+0.004</w:t>
            </w:r>
          </w:p>
        </w:tc>
      </w:tr>
      <w:tr w14:paraId="0502E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80176E5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8"/>
              </w:rPr>
              <w:t>Δ OOF AUC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D5FB2D9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—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C6DAC9D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+0.003</w:t>
            </w:r>
          </w:p>
        </w:tc>
      </w:tr>
      <w:tr w14:paraId="045AA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AC3466B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8"/>
              </w:rPr>
              <w:t>DEXA coefficient β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CBFC987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—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3D3B359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0.601</w:t>
            </w:r>
          </w:p>
        </w:tc>
      </w:tr>
      <w:tr w14:paraId="70B83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6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FF663D1">
            <w:pPr>
              <w:spacing w:after="0"/>
              <w:jc w:val="left"/>
            </w:pPr>
            <w:r>
              <w:rPr>
                <w:rFonts w:ascii="Times New Roman" w:hAnsi="Times New Roman" w:eastAsia="Times New Roman"/>
                <w:sz w:val="18"/>
              </w:rPr>
              <w:t>DEXA P value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075D95A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—</w:t>
            </w:r>
          </w:p>
        </w:tc>
        <w:tc>
          <w:tcPr>
            <w:tcW w:w="316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A20D48C"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sz w:val="18"/>
              </w:rPr>
              <w:t>0.208</w:t>
            </w:r>
          </w:p>
        </w:tc>
      </w:tr>
    </w:tbl>
    <w:p w14:paraId="59435A83">
      <w:pPr>
        <w:spacing w:before="60" w:after="0" w:line="240" w:lineRule="auto"/>
      </w:pPr>
      <w:r>
        <w:rPr>
          <w:rFonts w:ascii="Times New Roman" w:hAnsi="Times New Roman" w:eastAsia="Times New Roman"/>
          <w:sz w:val="16"/>
        </w:rPr>
        <w:t>Interpretation: DEXA T-score did not materially improve discrimination or model fit after the six Model 1 predictors were included; therefore it is retained as a sensitivity analysis rather than a main-model predictor.</w:t>
      </w:r>
    </w:p>
    <w:sectPr>
      <w:pgSz w:w="15840" w:h="12240" w:orient="landscape"/>
      <w:pgMar w:top="648" w:right="648" w:bottom="648" w:left="64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BF117B5"/>
    <w:rsid w:val="410D321A"/>
    <w:rsid w:val="54DC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976</Words>
  <Characters>6039</Characters>
  <Lines>0</Lines>
  <Paragraphs>0</Paragraphs>
  <TotalTime>1</TotalTime>
  <ScaleCrop>false</ScaleCrop>
  <LinksUpToDate>false</LinksUpToDate>
  <CharactersWithSpaces>6584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lin</cp:lastModifiedBy>
  <dcterms:modified xsi:type="dcterms:W3CDTF">2026-09-08T02:57:07Z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E311C8D842FC46DD941BE06AD77F890F_13</vt:lpwstr>
  </property>
  <property fmtid="{D5CDD505-2E9C-101B-9397-08002B2CF9AE}" pid="4" name="KSOTemplateDocerSaveRecord">
    <vt:lpwstr>eyJoZGlkIjoiN2M2OGQ4NGQ2NzcyNzliODEzN2U0NTM2NTkyMzkxYWYiLCJ1c2VySWQiOiI0ODk4MzQ4MDEifQ==</vt:lpwstr>
  </property>
</Properties>
</file>