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EE40147" w14:textId="48CDF3C2" w:rsidR="00264745" w:rsidRDefault="0E5D4DEE" w:rsidP="28CCDFAB">
      <w:pPr>
        <w:rPr>
          <w:rFonts w:ascii="Times New Roman" w:eastAsia="Times New Roman" w:hAnsi="Times New Roman" w:cs="Times New Roman"/>
          <w:b/>
          <w:bCs/>
          <w:color w:val="000000" w:themeColor="text1"/>
        </w:rPr>
      </w:pPr>
      <w:r w:rsidRPr="28CCDFAB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Examination of Specific Obesity Medicine Education Interventions: </w:t>
      </w:r>
    </w:p>
    <w:tbl>
      <w:tblPr>
        <w:tblStyle w:val="TableGrid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6A0" w:firstRow="1" w:lastRow="0" w:firstColumn="1" w:lastColumn="0" w:noHBand="1" w:noVBand="1"/>
      </w:tblPr>
      <w:tblGrid>
        <w:gridCol w:w="1335"/>
        <w:gridCol w:w="1515"/>
        <w:gridCol w:w="2550"/>
        <w:gridCol w:w="2085"/>
        <w:gridCol w:w="1845"/>
      </w:tblGrid>
      <w:tr w:rsidR="28CCDFAB" w14:paraId="5D520269" w14:textId="77777777" w:rsidTr="28CCDFAB">
        <w:trPr>
          <w:trHeight w:val="285"/>
        </w:trPr>
        <w:tc>
          <w:tcPr>
            <w:tcW w:w="1335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</w:tcPr>
          <w:p w14:paraId="7C3A361C" w14:textId="353EC89F" w:rsidR="28CCDFAB" w:rsidRDefault="28CCDFAB" w:rsidP="28CCDFAB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28CCDFA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Source</w:t>
            </w:r>
          </w:p>
        </w:tc>
        <w:tc>
          <w:tcPr>
            <w:tcW w:w="1515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</w:tcPr>
          <w:p w14:paraId="0E8DF223" w14:textId="40ED84C9" w:rsidR="28CCDFAB" w:rsidRDefault="28CCDFAB" w:rsidP="28CCDFAB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28CCDFA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Participants</w:t>
            </w:r>
          </w:p>
        </w:tc>
        <w:tc>
          <w:tcPr>
            <w:tcW w:w="2550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</w:tcPr>
          <w:p w14:paraId="61105FCC" w14:textId="2FC9774B" w:rsidR="28CCDFAB" w:rsidRDefault="28CCDFAB" w:rsidP="28CCDFAB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28CCDFA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Intervention</w:t>
            </w:r>
          </w:p>
        </w:tc>
        <w:tc>
          <w:tcPr>
            <w:tcW w:w="2085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</w:tcPr>
          <w:p w14:paraId="641733BF" w14:textId="2E67D6BE" w:rsidR="28CCDFAB" w:rsidRDefault="28CCDFAB" w:rsidP="28CCDFAB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28CCDFA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Evaluation</w:t>
            </w:r>
          </w:p>
        </w:tc>
        <w:tc>
          <w:tcPr>
            <w:tcW w:w="1845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</w:tcPr>
          <w:p w14:paraId="57BB9077" w14:textId="688C128D" w:rsidR="28CCDFAB" w:rsidRDefault="28CCDFAB" w:rsidP="28CCDFAB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28CCDFA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Results</w:t>
            </w:r>
          </w:p>
        </w:tc>
      </w:tr>
      <w:tr w:rsidR="28CCDFAB" w14:paraId="521BC20C" w14:textId="77777777" w:rsidTr="28CCDFAB">
        <w:trPr>
          <w:trHeight w:val="285"/>
        </w:trPr>
        <w:tc>
          <w:tcPr>
            <w:tcW w:w="1335" w:type="dxa"/>
            <w:tcMar>
              <w:left w:w="105" w:type="dxa"/>
              <w:right w:w="105" w:type="dxa"/>
            </w:tcMar>
          </w:tcPr>
          <w:p w14:paraId="1903B2CE" w14:textId="37215890" w:rsidR="28CCDFAB" w:rsidRDefault="28CCDFAB" w:rsidP="28CCDFAB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28CCDFA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Trofymenko et. al</w:t>
            </w:r>
          </w:p>
        </w:tc>
        <w:tc>
          <w:tcPr>
            <w:tcW w:w="1515" w:type="dxa"/>
            <w:tcMar>
              <w:left w:w="105" w:type="dxa"/>
              <w:right w:w="105" w:type="dxa"/>
            </w:tcMar>
          </w:tcPr>
          <w:p w14:paraId="149196C5" w14:textId="1D1DB1F0" w:rsidR="28CCDFAB" w:rsidRDefault="28CCDFAB" w:rsidP="28CCDFAB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28CCDFA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First-year medical students</w:t>
            </w:r>
          </w:p>
        </w:tc>
        <w:tc>
          <w:tcPr>
            <w:tcW w:w="2550" w:type="dxa"/>
            <w:tcMar>
              <w:left w:w="105" w:type="dxa"/>
              <w:right w:w="105" w:type="dxa"/>
            </w:tcMar>
          </w:tcPr>
          <w:p w14:paraId="4BCDADF3" w14:textId="3954DD62" w:rsidR="28CCDFAB" w:rsidRDefault="28CCDFAB" w:rsidP="28CCDFAB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28CCDFA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2.5 h multi-modality teaching intervention consisting of online, interactive, and independent modules</w:t>
            </w:r>
          </w:p>
          <w:p w14:paraId="08273DE0" w14:textId="1A32587D" w:rsidR="28CCDFAB" w:rsidRDefault="28CCDFAB" w:rsidP="28CCDFAB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28CCDFA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Patient panel focused on obesity, bias</w:t>
            </w:r>
            <w:r w:rsidR="188FF53C" w:rsidRPr="28CCDFA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 xml:space="preserve">, </w:t>
            </w:r>
            <w:r w:rsidRPr="28CCDFA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 xml:space="preserve">and motivational interviewing </w:t>
            </w:r>
          </w:p>
        </w:tc>
        <w:tc>
          <w:tcPr>
            <w:tcW w:w="2085" w:type="dxa"/>
            <w:tcMar>
              <w:left w:w="105" w:type="dxa"/>
              <w:right w:w="105" w:type="dxa"/>
            </w:tcMar>
          </w:tcPr>
          <w:p w14:paraId="5E9BDC8C" w14:textId="50066EC4" w:rsidR="28CCDFAB" w:rsidRDefault="28CCDFAB" w:rsidP="28CCDFAB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28CCDFA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Crandall’s anti-fat attitude (AFA) questionnaire before and after</w:t>
            </w:r>
          </w:p>
        </w:tc>
        <w:tc>
          <w:tcPr>
            <w:tcW w:w="1845" w:type="dxa"/>
            <w:tcMar>
              <w:left w:w="105" w:type="dxa"/>
              <w:right w:w="105" w:type="dxa"/>
            </w:tcMar>
          </w:tcPr>
          <w:p w14:paraId="5C3B2BEE" w14:textId="07A74EA2" w:rsidR="28CCDFAB" w:rsidRDefault="28CCDFAB" w:rsidP="28CCDFAB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28CCDFA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AFA mean composite scores decreased significantly, indicating a decrease in explicit anti-obesity attitude bias</w:t>
            </w:r>
          </w:p>
        </w:tc>
      </w:tr>
      <w:tr w:rsidR="28CCDFAB" w14:paraId="1FE67E94" w14:textId="77777777" w:rsidTr="28CCDFAB">
        <w:trPr>
          <w:trHeight w:val="285"/>
        </w:trPr>
        <w:tc>
          <w:tcPr>
            <w:tcW w:w="1335" w:type="dxa"/>
            <w:tcMar>
              <w:left w:w="105" w:type="dxa"/>
              <w:right w:w="105" w:type="dxa"/>
            </w:tcMar>
          </w:tcPr>
          <w:p w14:paraId="7F098B8C" w14:textId="1E457D26" w:rsidR="28CCDFAB" w:rsidRDefault="28CCDFAB" w:rsidP="28CCDFAB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28CCDFA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Gayer et. al</w:t>
            </w:r>
          </w:p>
        </w:tc>
        <w:tc>
          <w:tcPr>
            <w:tcW w:w="1515" w:type="dxa"/>
            <w:tcMar>
              <w:left w:w="105" w:type="dxa"/>
              <w:right w:w="105" w:type="dxa"/>
            </w:tcMar>
          </w:tcPr>
          <w:p w14:paraId="4C59082F" w14:textId="696A7082" w:rsidR="28CCDFAB" w:rsidRDefault="28CCDFAB" w:rsidP="28CCDFAB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28CCDFA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 xml:space="preserve">First, </w:t>
            </w:r>
            <w:proofErr w:type="gramStart"/>
            <w:r w:rsidRPr="28CCDFA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second, and third year</w:t>
            </w:r>
            <w:proofErr w:type="gramEnd"/>
            <w:r w:rsidRPr="28CCDFA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 xml:space="preserve"> medical students at Touro University College of Osteopathic Medicine</w:t>
            </w:r>
          </w:p>
        </w:tc>
        <w:tc>
          <w:tcPr>
            <w:tcW w:w="2550" w:type="dxa"/>
            <w:tcMar>
              <w:left w:w="105" w:type="dxa"/>
              <w:right w:w="105" w:type="dxa"/>
            </w:tcMar>
          </w:tcPr>
          <w:p w14:paraId="21C4B7E5" w14:textId="0B2A1567" w:rsidR="28CCDFAB" w:rsidRDefault="28CCDFAB" w:rsidP="28CCDFAB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28CCDFA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Lectures during first and second year and case study simulations during third year</w:t>
            </w:r>
          </w:p>
        </w:tc>
        <w:tc>
          <w:tcPr>
            <w:tcW w:w="2085" w:type="dxa"/>
            <w:tcMar>
              <w:left w:w="105" w:type="dxa"/>
              <w:right w:w="105" w:type="dxa"/>
            </w:tcMar>
          </w:tcPr>
          <w:p w14:paraId="3E31791A" w14:textId="43105AB5" w:rsidR="28CCDFAB" w:rsidRDefault="28CCDFAB" w:rsidP="28CCDFAB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28CCDFA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Survey was distributed to assess students' attitudes toward obesity before, directly after completion and each year until graduation</w:t>
            </w:r>
          </w:p>
        </w:tc>
        <w:tc>
          <w:tcPr>
            <w:tcW w:w="1845" w:type="dxa"/>
            <w:tcMar>
              <w:left w:w="105" w:type="dxa"/>
              <w:right w:w="105" w:type="dxa"/>
            </w:tcMar>
          </w:tcPr>
          <w:p w14:paraId="5DFC4C12" w14:textId="4E3151CB" w:rsidR="28CCDFAB" w:rsidRDefault="28CCDFAB" w:rsidP="28CCDFAB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28CCDFA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 xml:space="preserve">Students who completed the first year of the curriculum show significant greater medical knowledge </w:t>
            </w:r>
          </w:p>
          <w:p w14:paraId="34172539" w14:textId="1E271913" w:rsidR="28CCDFAB" w:rsidRDefault="28CCDFAB" w:rsidP="28CCDFAB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28CCDFA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 xml:space="preserve">In all 4 years observed, there was a significant reduction in bias </w:t>
            </w:r>
          </w:p>
        </w:tc>
      </w:tr>
      <w:tr w:rsidR="28CCDFAB" w14:paraId="47FC10FA" w14:textId="77777777" w:rsidTr="28CCDFAB">
        <w:trPr>
          <w:trHeight w:val="285"/>
        </w:trPr>
        <w:tc>
          <w:tcPr>
            <w:tcW w:w="1335" w:type="dxa"/>
            <w:tcMar>
              <w:left w:w="105" w:type="dxa"/>
              <w:right w:w="105" w:type="dxa"/>
            </w:tcMar>
          </w:tcPr>
          <w:p w14:paraId="410591B6" w14:textId="5B2E0882" w:rsidR="28CCDFAB" w:rsidRDefault="28CCDFAB" w:rsidP="28CCDFAB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28CCDFA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Grunvald et. al</w:t>
            </w:r>
          </w:p>
        </w:tc>
        <w:tc>
          <w:tcPr>
            <w:tcW w:w="1515" w:type="dxa"/>
            <w:tcMar>
              <w:left w:w="105" w:type="dxa"/>
              <w:right w:w="105" w:type="dxa"/>
            </w:tcMar>
          </w:tcPr>
          <w:p w14:paraId="1379E5F8" w14:textId="38EE7AAF" w:rsidR="28CCDFAB" w:rsidRDefault="28CCDFAB" w:rsidP="28CCDFAB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28CCDFA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Third year medical students</w:t>
            </w:r>
          </w:p>
        </w:tc>
        <w:tc>
          <w:tcPr>
            <w:tcW w:w="2550" w:type="dxa"/>
            <w:tcMar>
              <w:left w:w="105" w:type="dxa"/>
              <w:right w:w="105" w:type="dxa"/>
            </w:tcMar>
          </w:tcPr>
          <w:p w14:paraId="2D319F2A" w14:textId="1FCBB188" w:rsidR="28CCDFAB" w:rsidRDefault="28CCDFAB" w:rsidP="28CCDFAB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28CCDFA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Experimental study that divided into 2 groups; one exposed to a standardized patient (SP) group and the other exposed to an SP group and an interactive lecture</w:t>
            </w:r>
          </w:p>
        </w:tc>
        <w:tc>
          <w:tcPr>
            <w:tcW w:w="2085" w:type="dxa"/>
            <w:tcMar>
              <w:left w:w="105" w:type="dxa"/>
              <w:right w:w="105" w:type="dxa"/>
            </w:tcMar>
          </w:tcPr>
          <w:p w14:paraId="6E27AA59" w14:textId="638470D0" w:rsidR="28CCDFAB" w:rsidRDefault="28CCDFAB" w:rsidP="28CCDFAB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28CCDFA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 xml:space="preserve">Attitudes about Treating Patients with Obesity and the Perceived Causes of Obesity questionnaires were completed before and after </w:t>
            </w:r>
          </w:p>
        </w:tc>
        <w:tc>
          <w:tcPr>
            <w:tcW w:w="1845" w:type="dxa"/>
            <w:tcMar>
              <w:left w:w="105" w:type="dxa"/>
              <w:right w:w="105" w:type="dxa"/>
            </w:tcMar>
          </w:tcPr>
          <w:p w14:paraId="69FC7940" w14:textId="6CFC6D85" w:rsidR="28CCDFAB" w:rsidRDefault="28CCDFAB" w:rsidP="28CCDFAB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28CCDFA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Both groups showed improvements in negative and positive attitudes</w:t>
            </w:r>
          </w:p>
          <w:p w14:paraId="32FD1E95" w14:textId="0767750E" w:rsidR="28CCDFAB" w:rsidRDefault="28CCDFAB" w:rsidP="28CCDFAB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28CCDFA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Only significant change for perceived cause of obesity was in the physiologic domain of the SP only group</w:t>
            </w:r>
          </w:p>
        </w:tc>
      </w:tr>
      <w:tr w:rsidR="28CCDFAB" w14:paraId="3E72BF58" w14:textId="77777777" w:rsidTr="28CCDFAB">
        <w:trPr>
          <w:trHeight w:val="3375"/>
        </w:trPr>
        <w:tc>
          <w:tcPr>
            <w:tcW w:w="1335" w:type="dxa"/>
            <w:tcMar>
              <w:left w:w="105" w:type="dxa"/>
              <w:right w:w="105" w:type="dxa"/>
            </w:tcMar>
          </w:tcPr>
          <w:p w14:paraId="7473949C" w14:textId="32FB887E" w:rsidR="28CCDFAB" w:rsidRDefault="28CCDFAB" w:rsidP="28CCDFAB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28CCDFA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Ockene et al.</w:t>
            </w:r>
          </w:p>
        </w:tc>
        <w:tc>
          <w:tcPr>
            <w:tcW w:w="1515" w:type="dxa"/>
            <w:tcMar>
              <w:left w:w="105" w:type="dxa"/>
              <w:right w:w="105" w:type="dxa"/>
            </w:tcMar>
          </w:tcPr>
          <w:p w14:paraId="7264F167" w14:textId="06D6511F" w:rsidR="28CCDFAB" w:rsidRDefault="28CCDFAB" w:rsidP="28CCDFAB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28CCDFA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Class of 2020</w:t>
            </w:r>
          </w:p>
        </w:tc>
        <w:tc>
          <w:tcPr>
            <w:tcW w:w="2550" w:type="dxa"/>
            <w:tcMar>
              <w:left w:w="105" w:type="dxa"/>
              <w:right w:w="105" w:type="dxa"/>
            </w:tcMar>
          </w:tcPr>
          <w:p w14:paraId="72420DD1" w14:textId="4839F29A" w:rsidR="0C5E385A" w:rsidRDefault="0C5E385A" w:rsidP="28CCDFAB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28CCDFA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P</w:t>
            </w:r>
            <w:r w:rsidR="28CCDFAB" w:rsidRPr="28CCDFA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air-matched, group-randomized controlled trial</w:t>
            </w:r>
            <w:r w:rsidR="7A791955" w:rsidRPr="28CCDFA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:</w:t>
            </w:r>
            <w:r w:rsidR="28CCDFAB" w:rsidRPr="28CCDFA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 xml:space="preserve"> multi-modal weight management or traditional weight management </w:t>
            </w:r>
            <w:r w:rsidR="09AE58E1" w:rsidRPr="28CCDFA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program</w:t>
            </w:r>
            <w:r w:rsidR="28CCDFAB" w:rsidRPr="28CCDFA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.</w:t>
            </w:r>
          </w:p>
          <w:p w14:paraId="3DE367DA" w14:textId="4D0BDC16" w:rsidR="28CCDFAB" w:rsidRDefault="28CCDFAB">
            <w:r w:rsidRPr="28CCDFA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MME:</w:t>
            </w:r>
            <w:r w:rsidRPr="28CCDFA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Pr="28CCDFA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web-based course, a role-play classroom exercise, a web-patient encounter with feedback, and an enhanced clerkship experience with preceptors trained in weight management counseling (WMC</w:t>
            </w:r>
            <w:r w:rsidR="4C40F5C3" w:rsidRPr="28CCDFA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2085" w:type="dxa"/>
            <w:tcMar>
              <w:left w:w="105" w:type="dxa"/>
              <w:right w:w="105" w:type="dxa"/>
            </w:tcMar>
          </w:tcPr>
          <w:p w14:paraId="5BEBAD4B" w14:textId="6D6C219B" w:rsidR="28CCDFAB" w:rsidRDefault="28CCDFAB" w:rsidP="28CCDFAB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28CCDFA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Evaluation of structured clinical examination (OSCE) focused on weight management counseling (WMC) using a behavior checklist</w:t>
            </w:r>
          </w:p>
          <w:p w14:paraId="0DBF5CFC" w14:textId="44541FA4" w:rsidR="28CCDFAB" w:rsidRDefault="28CCDFAB" w:rsidP="28CCDFAB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28CCDFA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Pre and post surveys self-reporting skills for performing the 5As (Ask, Advise, Assess, Assist, Arrange)</w:t>
            </w:r>
          </w:p>
        </w:tc>
        <w:tc>
          <w:tcPr>
            <w:tcW w:w="1845" w:type="dxa"/>
            <w:tcMar>
              <w:left w:w="105" w:type="dxa"/>
              <w:right w:w="105" w:type="dxa"/>
            </w:tcMar>
          </w:tcPr>
          <w:p w14:paraId="7D6A6AAC" w14:textId="7BB99620" w:rsidR="28CCDFAB" w:rsidRDefault="28CCDFAB" w:rsidP="28CCDFAB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28CCDFA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Among MME students who completed 2/3 WMC components, exposure with significantly associated with higher OSCE scores and self-reported 5A skills</w:t>
            </w:r>
          </w:p>
        </w:tc>
      </w:tr>
    </w:tbl>
    <w:p w14:paraId="2C078E63" w14:textId="5D30E059" w:rsidR="00264745" w:rsidRDefault="00264745"/>
    <w:sectPr w:rsidR="002647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BBFD312"/>
    <w:rsid w:val="00081B41"/>
    <w:rsid w:val="00264745"/>
    <w:rsid w:val="00A13E9E"/>
    <w:rsid w:val="02D3E3EE"/>
    <w:rsid w:val="09AE58E1"/>
    <w:rsid w:val="0C5E385A"/>
    <w:rsid w:val="0E5D4DEE"/>
    <w:rsid w:val="188FF53C"/>
    <w:rsid w:val="22DE0AF4"/>
    <w:rsid w:val="28CCDFAB"/>
    <w:rsid w:val="4C40F5C3"/>
    <w:rsid w:val="5B112CCF"/>
    <w:rsid w:val="5BBFD312"/>
    <w:rsid w:val="60871FCF"/>
    <w:rsid w:val="7A791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3EE310"/>
  <w15:chartTrackingRefBased/>
  <w15:docId w15:val="{8D35A36D-0A68-489D-9D1D-1E439F23C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334</Words>
  <Characters>1909</Characters>
  <Application>Microsoft Office Word</Application>
  <DocSecurity>0</DocSecurity>
  <Lines>15</Lines>
  <Paragraphs>4</Paragraphs>
  <ScaleCrop>false</ScaleCrop>
  <Company/>
  <LinksUpToDate>false</LinksUpToDate>
  <CharactersWithSpaces>2239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Lynch, Jesse M</dc:creator>
  <cp:keywords/>
  <dc:description/>
  <cp:lastModifiedBy>Erin Saner</cp:lastModifiedBy>
  <cp:revision>2</cp:revision>
  <dcterms:created xsi:type="dcterms:W3CDTF">2026-09-08T23:24:00Z</dcterms:created>
  <dcterms:modified xsi:type="dcterms:W3CDTF">2026-09-08T23:24:00Z</dcterms:modified>
</cp:coreProperties>
</file>