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AEBA" w14:textId="77777777" w:rsidR="008231F9" w:rsidRPr="00456C82" w:rsidRDefault="008231F9" w:rsidP="008231F9">
      <w:pPr>
        <w:spacing w:line="360" w:lineRule="auto"/>
        <w:jc w:val="lowKashida"/>
        <w:rPr>
          <w:color w:val="0E2841" w:themeColor="text2"/>
          <w:sz w:val="20"/>
          <w:szCs w:val="20"/>
        </w:rPr>
      </w:pPr>
      <w:r w:rsidRPr="00456C82">
        <w:rPr>
          <w:b/>
          <w:color w:val="0E2841" w:themeColor="text2"/>
          <w:sz w:val="20"/>
          <w:szCs w:val="20"/>
        </w:rPr>
        <w:t>Table 4. Proposed core data domains and minimum variables for a strengthened Bahrain National Multiple Sclerosis Registry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15"/>
        <w:gridCol w:w="1012"/>
        <w:gridCol w:w="3618"/>
        <w:gridCol w:w="2671"/>
      </w:tblGrid>
      <w:tr w:rsidR="008231F9" w:rsidRPr="00456C82" w14:paraId="4C419968" w14:textId="77777777" w:rsidTr="009E7776">
        <w:trPr>
          <w:cantSplit/>
          <w:tblHeader/>
          <w:jc w:val="center"/>
        </w:trPr>
        <w:tc>
          <w:tcPr>
            <w:tcW w:w="1728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B4FF97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Domain</w:t>
            </w:r>
          </w:p>
        </w:tc>
        <w:tc>
          <w:tcPr>
            <w:tcW w:w="1080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BE44E3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Priority</w:t>
            </w:r>
          </w:p>
        </w:tc>
        <w:tc>
          <w:tcPr>
            <w:tcW w:w="4392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6563DA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Minimum variables</w:t>
            </w:r>
          </w:p>
        </w:tc>
        <w:tc>
          <w:tcPr>
            <w:tcW w:w="3240" w:type="dxa"/>
            <w:shd w:val="clear" w:color="auto" w:fill="D9EAD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B45C31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Measurement / implementation notes</w:t>
            </w:r>
          </w:p>
        </w:tc>
      </w:tr>
      <w:tr w:rsidR="008231F9" w:rsidRPr="00456C82" w14:paraId="331F6985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A7058F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Case ascertainment &amp; demographics</w:t>
            </w:r>
          </w:p>
        </w:tc>
        <w:tc>
          <w:tcPr>
            <w:tcW w:w="1080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8D07C8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704C6A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Pseudonymized unique registry identifier; citizenship status; sex; date of birth; age at first symptom; date of diagnosis; date of first MS-service contact; vital status; migration/exit status; primary ascertainment source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30404D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One record per person; source-system identifiers retained separately under institutional data-governance controls; citizenship, vital status, and migration updated at least annually.</w:t>
            </w:r>
          </w:p>
        </w:tc>
      </w:tr>
      <w:tr w:rsidR="008231F9" w:rsidRPr="00456C82" w14:paraId="7FF7132A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1FD8DA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Diagnostic framework</w:t>
            </w:r>
          </w:p>
        </w:tc>
        <w:tc>
          <w:tcPr>
            <w:tcW w:w="1080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CEF7C0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036D19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McDonald criteria version (2010/2017/2024); clinical phenotype (RRMS, SPMS, PPMS, CIS, other); optic-nerve involvement; CSF oligoclonal bands or κ free-light chains if tested; documentation of exclusion of MOGAD/NMOSD/ADEM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7D24BB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Record criteria version at diagnosis or reclassification; preserves comparability with the historical 2010-based cohort and supports contemporary lifespan diagnosis.</w:t>
            </w:r>
          </w:p>
        </w:tc>
      </w:tr>
      <w:tr w:rsidR="008231F9" w:rsidRPr="00456C82" w14:paraId="36828C0D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A72E90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Clinical course &amp; disability</w:t>
            </w:r>
          </w:p>
        </w:tc>
        <w:tc>
          <w:tcPr>
            <w:tcW w:w="1080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B23156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1BA714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Relapses in preceding 12 months; EDSS score and date; confirmed disability progression; basic cognition screen and patient-reported outcomes where feasible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E58741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proofErr w:type="gramStart"/>
            <w:r w:rsidRPr="00456C82">
              <w:rPr>
                <w:sz w:val="18"/>
                <w:szCs w:val="18"/>
              </w:rPr>
              <w:t>Relapse</w:t>
            </w:r>
            <w:proofErr w:type="gramEnd"/>
            <w:r w:rsidRPr="00456C82">
              <w:rPr>
                <w:sz w:val="18"/>
                <w:szCs w:val="18"/>
              </w:rPr>
              <w:t xml:space="preserve"> and disability definitions should be standardized; EDSS ideally recorded by trained raters. Cognition and patient-reported outcomes may be phased.</w:t>
            </w:r>
          </w:p>
        </w:tc>
      </w:tr>
      <w:tr w:rsidR="008231F9" w:rsidRPr="00456C82" w14:paraId="1301655F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43947B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MRI &amp; imaging</w:t>
            </w:r>
          </w:p>
        </w:tc>
        <w:tc>
          <w:tcPr>
            <w:tcW w:w="1080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A410A5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 + enhanced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1F5B3C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Date of most recent brain/spinal MRI; new/enlarging T2 lesions; gadolinium-enhancing lesions; optic-nerve assessment. Enhanced: central vein sign and paramagnetic rim lesions when available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FC1012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Use a standardized reporting template. Advanced imaging biomarkers should be treated as enhanced variables rather than mandatory minimum fields.</w:t>
            </w:r>
          </w:p>
        </w:tc>
      </w:tr>
      <w:tr w:rsidR="008231F9" w:rsidRPr="00456C82" w14:paraId="50531394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9AB764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Disease-modifying therapy</w:t>
            </w:r>
          </w:p>
        </w:tc>
        <w:tc>
          <w:tcPr>
            <w:tcW w:w="1080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7A54EA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1869D5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Current and previous DMT name/class; start/stop dates; persistence; reason for discontinuation (ineffectiveness, adverse event, pregnancy, patient preference, supply interruption/stock-out, insurance/tender change, other); treatment interruption or delay beyond scheduled dosing interval or a predefined drug-specific allowable window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A0B52C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Capture pharmacological and non-pharmacological reasons for interruption to support persistence analysis, pharmacovigilance, supply-chain monitoring, and budget forecasting.</w:t>
            </w:r>
          </w:p>
        </w:tc>
      </w:tr>
      <w:tr w:rsidR="008231F9" w:rsidRPr="00456C82" w14:paraId="3EA345C0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22FBC2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Environmental &amp; lifestyle factors</w:t>
            </w:r>
          </w:p>
        </w:tc>
        <w:tc>
          <w:tcPr>
            <w:tcW w:w="1080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20FB52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 + enhanced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565B51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Serum 25(OH)D level and date; EBV serology (EBNA-1 and VCA IgG, with test dates and denominators); smoking status and pack-years if available; BMI/obesity category. Enhanced: standardized sun-exposure/outdoor-time measure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FA2D28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Use consistent laboratory reference ranges; record vitamin D supplementation. Self-reported sun exposure should remain optional because of measurement variability.</w:t>
            </w:r>
          </w:p>
        </w:tc>
      </w:tr>
      <w:tr w:rsidR="008231F9" w:rsidRPr="00456C82" w14:paraId="4CEB8481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B7B802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lastRenderedPageBreak/>
              <w:t>Immunogenetic &amp; molecular</w:t>
            </w:r>
          </w:p>
        </w:tc>
        <w:tc>
          <w:tcPr>
            <w:tcW w:w="1080" w:type="dxa"/>
            <w:shd w:val="clear" w:color="auto" w:fill="FFF2C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1AF5B9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Enhanced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51A19C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High-resolution HLA class I and II typing, including DRB1 and local signals; consented genomic/transcriptomic data; biobank linkage; VDR variants where scientifically justified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B1AAA0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Optional enhanced module only where specific research consent, appropriate ethics approval, and secure data governance are in place.</w:t>
            </w:r>
          </w:p>
        </w:tc>
      </w:tr>
      <w:tr w:rsidR="008231F9" w:rsidRPr="00456C82" w14:paraId="58D88847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47348A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Pediatric/adolescent &amp; transition</w:t>
            </w:r>
          </w:p>
        </w:tc>
        <w:tc>
          <w:tcPr>
            <w:tcW w:w="1080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B74649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 when applicable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10222F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Pediatric onset (&lt;18 years); transfer date to adult service; transition checklist/status; education impact where feasible; documentation of relevant demyelinating mimics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FC3060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Mandatory flags for pediatric-onset disease support continuity of care and future pediatric MS epidemiology.</w:t>
            </w:r>
          </w:p>
        </w:tc>
      </w:tr>
      <w:tr w:rsidR="008231F9" w:rsidRPr="00456C82" w14:paraId="74C2BD37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F1010A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Pregnancy &amp; reproductive health</w:t>
            </w:r>
          </w:p>
        </w:tc>
        <w:tc>
          <w:tcPr>
            <w:tcW w:w="1080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C1A23F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 when applicable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79F48C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Pregnancy/planning status; DMT held, switched, or resumed around pregnancy; maternal and neonatal outcomes where available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A77866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Link reproductive data to DMT exposure and reasons for interruption; use only clinically appropriate and privacy-protected fields.</w:t>
            </w:r>
          </w:p>
        </w:tc>
      </w:tr>
      <w:tr w:rsidR="008231F9" w:rsidRPr="00456C82" w14:paraId="597DFB33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E1D0DA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Health-economic &amp; service indicators</w:t>
            </w:r>
          </w:p>
        </w:tc>
        <w:tc>
          <w:tcPr>
            <w:tcW w:w="1080" w:type="dxa"/>
            <w:shd w:val="clear" w:color="auto" w:fill="DDEB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162E5D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 + enhanced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FD604D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 xml:space="preserve">MS-related hospitalizations; infusion visits; rehabilitation use; employment status. Enhanced: productivity loss, </w:t>
            </w:r>
            <w:proofErr w:type="gramStart"/>
            <w:r w:rsidRPr="00456C82">
              <w:rPr>
                <w:sz w:val="18"/>
                <w:szCs w:val="18"/>
              </w:rPr>
              <w:t>informal-care</w:t>
            </w:r>
            <w:proofErr w:type="gramEnd"/>
            <w:r w:rsidRPr="00456C82">
              <w:rPr>
                <w:sz w:val="18"/>
                <w:szCs w:val="18"/>
              </w:rPr>
              <w:t xml:space="preserve"> needs, and other societal-cost variables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6464DB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 fields support service-capacity planning; enhanced variables enable future Bahrain-specific cost-of-illness and productivity analyses.</w:t>
            </w:r>
          </w:p>
        </w:tc>
      </w:tr>
      <w:tr w:rsidR="008231F9" w:rsidRPr="00456C82" w14:paraId="6585ABAC" w14:textId="77777777" w:rsidTr="009E7776">
        <w:trPr>
          <w:cantSplit/>
          <w:jc w:val="center"/>
        </w:trPr>
        <w:tc>
          <w:tcPr>
            <w:tcW w:w="17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1AC4F8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b/>
                <w:sz w:val="18"/>
                <w:szCs w:val="18"/>
              </w:rPr>
              <w:t>Data quality &amp; governance</w:t>
            </w:r>
          </w:p>
        </w:tc>
        <w:tc>
          <w:tcPr>
            <w:tcW w:w="1080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033816" w14:textId="77777777" w:rsidR="008231F9" w:rsidRPr="00456C82" w:rsidRDefault="008231F9" w:rsidP="009E7776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Core</w:t>
            </w:r>
          </w:p>
        </w:tc>
        <w:tc>
          <w:tcPr>
            <w:tcW w:w="439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8B5D3E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>Date of last clinical contact; completeness/missing-data flags; research-consent status; audit trail; readiness for approved GCC data linkage</w:t>
            </w:r>
          </w:p>
        </w:tc>
        <w:tc>
          <w:tcPr>
            <w:tcW w:w="32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84BE4F" w14:textId="77777777" w:rsidR="008231F9" w:rsidRPr="00456C82" w:rsidRDefault="008231F9" w:rsidP="009E7776">
            <w:pPr>
              <w:spacing w:after="0" w:line="360" w:lineRule="auto"/>
              <w:jc w:val="lowKashida"/>
              <w:rPr>
                <w:sz w:val="18"/>
                <w:szCs w:val="18"/>
              </w:rPr>
            </w:pPr>
            <w:r w:rsidRPr="00456C82">
              <w:rPr>
                <w:sz w:val="18"/>
                <w:szCs w:val="18"/>
              </w:rPr>
              <w:t xml:space="preserve">Annual data-quality review and clear governance are essential for reliable national surveillance and future </w:t>
            </w:r>
            <w:proofErr w:type="spellStart"/>
            <w:r w:rsidRPr="00456C82">
              <w:rPr>
                <w:sz w:val="18"/>
                <w:szCs w:val="18"/>
              </w:rPr>
              <w:t>multicentre</w:t>
            </w:r>
            <w:proofErr w:type="spellEnd"/>
            <w:r w:rsidRPr="00456C82">
              <w:rPr>
                <w:sz w:val="18"/>
                <w:szCs w:val="18"/>
              </w:rPr>
              <w:t xml:space="preserve"> research.</w:t>
            </w:r>
          </w:p>
        </w:tc>
      </w:tr>
    </w:tbl>
    <w:p w14:paraId="5417D08E" w14:textId="77777777" w:rsidR="008231F9" w:rsidRPr="00456C82" w:rsidRDefault="008231F9" w:rsidP="008231F9">
      <w:pPr>
        <w:spacing w:line="360" w:lineRule="auto"/>
        <w:jc w:val="lowKashida"/>
        <w:rPr>
          <w:b/>
          <w:bCs/>
          <w:i/>
          <w:iCs/>
          <w:color w:val="0E2841" w:themeColor="text2"/>
          <w:sz w:val="16"/>
          <w:szCs w:val="16"/>
        </w:rPr>
      </w:pPr>
      <w:r w:rsidRPr="00456C82">
        <w:rPr>
          <w:b/>
          <w:bCs/>
          <w:i/>
          <w:iCs/>
          <w:color w:val="0E2841" w:themeColor="text2"/>
          <w:sz w:val="16"/>
          <w:szCs w:val="16"/>
        </w:rPr>
        <w:t xml:space="preserve">Table 4 note. The proposed dataset is derived from the gaps and recommendations identified in this manuscript and is designed for phased implementation within Bahrain’s integrated MS-care pathway. Core items should be routinely captured where applicable. Enhanced </w:t>
      </w:r>
      <w:proofErr w:type="gramStart"/>
      <w:r w:rsidRPr="00456C82">
        <w:rPr>
          <w:b/>
          <w:bCs/>
          <w:i/>
          <w:iCs/>
          <w:color w:val="0E2841" w:themeColor="text2"/>
          <w:sz w:val="16"/>
          <w:szCs w:val="16"/>
        </w:rPr>
        <w:t>variables—</w:t>
      </w:r>
      <w:proofErr w:type="gramEnd"/>
      <w:r w:rsidRPr="00456C82">
        <w:rPr>
          <w:b/>
          <w:bCs/>
          <w:i/>
          <w:iCs/>
          <w:color w:val="0E2841" w:themeColor="text2"/>
          <w:sz w:val="16"/>
          <w:szCs w:val="16"/>
        </w:rPr>
        <w:t>particularly advanced imaging biomarkers, immunogenetic or transcriptomic data, biobanking, detailed sun-exposure measures, and expanded societal-cost variables—should be added only where resources, appropriate consent, ethics approval, and secure governance permit. The framework is intended to support age- and sex-standardized epidemiology, treatment-persistence monitoring, gene–environment research, pediatric transition tracking, reproductive care, health-system planning, and future GCC harmonization.</w:t>
      </w:r>
    </w:p>
    <w:p w14:paraId="689E70D4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F9"/>
    <w:rsid w:val="000905F0"/>
    <w:rsid w:val="00112C91"/>
    <w:rsid w:val="00242B4F"/>
    <w:rsid w:val="002B3638"/>
    <w:rsid w:val="00302F9E"/>
    <w:rsid w:val="004E23CF"/>
    <w:rsid w:val="006D5216"/>
    <w:rsid w:val="008231F9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264A"/>
  <w15:chartTrackingRefBased/>
  <w15:docId w15:val="{D587CC95-E2F6-46C9-A026-4A71F6A8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1F9"/>
    <w:pPr>
      <w:spacing w:after="80" w:line="259" w:lineRule="auto"/>
    </w:pPr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1F9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1F9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1F9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1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1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1F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1F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1F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1F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1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1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1F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1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1F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3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1F9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31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1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231F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4392</Characters>
  <Application>Microsoft Office Word</Application>
  <DocSecurity>0</DocSecurity>
  <Lines>69</Lines>
  <Paragraphs>29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2026-09-10T06:23:00Z</dcterms:created>
  <dcterms:modified xsi:type="dcterms:W3CDTF">2026-09-10T06:24:00Z</dcterms:modified>
</cp:coreProperties>
</file>