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2"/>
        </w:rPr>
        <w:t>Supplementary Material</w:t>
      </w:r>
    </w:p>
    <w:p>
      <w:pPr>
        <w:jc w:val="center"/>
      </w:pPr>
      <w:r>
        <w:rPr>
          <w:rFonts w:ascii="Arial" w:hAnsi="Arial"/>
          <w:b/>
          <w:sz w:val="24"/>
        </w:rPr>
        <w:t>The Changing Burden of Multiple Sclerosis in Bahrain, 2013–2026: Foundational Epidemiology, Contemporary Registry-Based Case Ascertainment, and Genetic Insights in a Changing Arabian Gulf MS Landscape</w:t>
      </w:r>
    </w:p>
    <w:p>
      <w:pPr>
        <w:jc w:val="center"/>
      </w:pPr>
      <w:r>
        <w:rPr>
          <w:rFonts w:ascii="Arial" w:hAnsi="Arial"/>
          <w:sz w:val="20"/>
        </w:rPr>
        <w:t>Isa Ahmed Alsharoqi, Layla Mohamed Ali, Ayman Khalil, Sayed Mohamed Alsaffar, Bader Mohamed Ali, Adel Aljishi</w:t>
      </w:r>
    </w:p>
    <w:p>
      <w:pPr>
        <w:jc w:val="center"/>
      </w:pPr>
      <w:r>
        <w:rPr>
          <w:rFonts w:ascii="Arial" w:hAnsi="Arial"/>
          <w:sz w:val="18"/>
        </w:rPr>
        <w:t>Corresponding author: Dr Isa A. Alsharoqi, Tylos Medical Center, Manama, Bahrain; ORCID: 0000-0001-8545-4826; Email: ialsharoqi@yahoo.com</w:t>
      </w:r>
    </w:p>
    <w:p>
      <w:pPr>
        <w:spacing w:after="40"/>
      </w:pPr>
    </w:p>
    <w:p>
      <w:r>
        <w:rPr>
          <w:rFonts w:ascii="Arial" w:hAnsi="Arial"/>
          <w:b/>
          <w:sz w:val="22"/>
        </w:rPr>
        <w:t>Supplementary Table S1. Sensitivity analysis for the March 2026 crude registry-based prevalence estimate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880"/>
            <w:vAlign w:val="center"/>
            <w:shd w:fill="D9EAF7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Scenario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Bahraini MS cases</w:t>
            </w:r>
          </w:p>
        </w:tc>
        <w:tc>
          <w:tcPr>
            <w:tcW w:type="dxa" w:w="2088"/>
            <w:vAlign w:val="center"/>
            <w:shd w:fill="D9EAF7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Bahraini citizen denominator</w:t>
            </w:r>
          </w:p>
        </w:tc>
        <w:tc>
          <w:tcPr>
            <w:tcW w:type="dxa" w:w="2232"/>
            <w:vAlign w:val="center"/>
            <w:shd w:fill="D9EAF7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Estimated crude prevalence per 100,000</w:t>
            </w:r>
          </w:p>
        </w:tc>
        <w:tc>
          <w:tcPr>
            <w:tcW w:type="dxa" w:w="1872"/>
            <w:vAlign w:val="center"/>
            <w:shd w:fill="D9EAF7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Approximate 95% CI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8"/>
              </w:rPr>
              <w:t>Lower denominator scenario</w:t>
            </w:r>
          </w:p>
        </w:tc>
        <w:tc>
          <w:tcPr>
            <w:tcW w:type="dxa" w:w="1440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876</w:t>
            </w:r>
          </w:p>
        </w:tc>
        <w:tc>
          <w:tcPr>
            <w:tcW w:type="dxa" w:w="2088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745,000</w:t>
            </w:r>
          </w:p>
        </w:tc>
        <w:tc>
          <w:tcPr>
            <w:tcW w:type="dxa" w:w="2232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117.6</w:t>
            </w:r>
          </w:p>
        </w:tc>
        <w:tc>
          <w:tcPr>
            <w:tcW w:type="dxa" w:w="1872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109.8–125.4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8"/>
              </w:rPr>
              <w:t>Midpoint denominator scenario</w:t>
            </w:r>
          </w:p>
        </w:tc>
        <w:tc>
          <w:tcPr>
            <w:tcW w:type="dxa" w:w="1440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876</w:t>
            </w:r>
          </w:p>
        </w:tc>
        <w:tc>
          <w:tcPr>
            <w:tcW w:type="dxa" w:w="2088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747,500</w:t>
            </w:r>
          </w:p>
        </w:tc>
        <w:tc>
          <w:tcPr>
            <w:tcW w:type="dxa" w:w="2232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117.2</w:t>
            </w:r>
          </w:p>
        </w:tc>
        <w:tc>
          <w:tcPr>
            <w:tcW w:type="dxa" w:w="1872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109.4–125.0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8"/>
              </w:rPr>
              <w:t>Upper denominator scenario</w:t>
            </w:r>
          </w:p>
        </w:tc>
        <w:tc>
          <w:tcPr>
            <w:tcW w:type="dxa" w:w="1440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876</w:t>
            </w:r>
          </w:p>
        </w:tc>
        <w:tc>
          <w:tcPr>
            <w:tcW w:type="dxa" w:w="2088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755,000</w:t>
            </w:r>
          </w:p>
        </w:tc>
        <w:tc>
          <w:tcPr>
            <w:tcW w:type="dxa" w:w="2232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116.0</w:t>
            </w:r>
          </w:p>
        </w:tc>
        <w:tc>
          <w:tcPr>
            <w:tcW w:type="dxa" w:w="1872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108.3–123.7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8"/>
              </w:rPr>
              <w:t>5% lower case-count sensitivity</w:t>
            </w:r>
          </w:p>
        </w:tc>
        <w:tc>
          <w:tcPr>
            <w:tcW w:type="dxa" w:w="1440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832</w:t>
            </w:r>
          </w:p>
        </w:tc>
        <w:tc>
          <w:tcPr>
            <w:tcW w:type="dxa" w:w="2088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747,500</w:t>
            </w:r>
          </w:p>
        </w:tc>
        <w:tc>
          <w:tcPr>
            <w:tcW w:type="dxa" w:w="2232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111.3</w:t>
            </w:r>
          </w:p>
        </w:tc>
        <w:tc>
          <w:tcPr>
            <w:tcW w:type="dxa" w:w="1872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103.7–118.8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8"/>
              </w:rPr>
              <w:t>5% higher case-count sensitivity</w:t>
            </w:r>
          </w:p>
        </w:tc>
        <w:tc>
          <w:tcPr>
            <w:tcW w:type="dxa" w:w="1440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920</w:t>
            </w:r>
          </w:p>
        </w:tc>
        <w:tc>
          <w:tcPr>
            <w:tcW w:type="dxa" w:w="2088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747,500</w:t>
            </w:r>
          </w:p>
        </w:tc>
        <w:tc>
          <w:tcPr>
            <w:tcW w:type="dxa" w:w="2232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123.1</w:t>
            </w:r>
          </w:p>
        </w:tc>
        <w:tc>
          <w:tcPr>
            <w:tcW w:type="dxa" w:w="1872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115.2–131.1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8"/>
              </w:rPr>
              <w:t>10% lower case-count sensitivity</w:t>
            </w:r>
          </w:p>
        </w:tc>
        <w:tc>
          <w:tcPr>
            <w:tcW w:type="dxa" w:w="1440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788</w:t>
            </w:r>
          </w:p>
        </w:tc>
        <w:tc>
          <w:tcPr>
            <w:tcW w:type="dxa" w:w="2088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747,500</w:t>
            </w:r>
          </w:p>
        </w:tc>
        <w:tc>
          <w:tcPr>
            <w:tcW w:type="dxa" w:w="2232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105.4</w:t>
            </w:r>
          </w:p>
        </w:tc>
        <w:tc>
          <w:tcPr>
            <w:tcW w:type="dxa" w:w="1872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98.0–112.7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Arial" w:hAnsi="Arial"/>
                <w:sz w:val="18"/>
              </w:rPr>
              <w:t>10% higher case-count sensitivity</w:t>
            </w:r>
          </w:p>
        </w:tc>
        <w:tc>
          <w:tcPr>
            <w:tcW w:type="dxa" w:w="1440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964</w:t>
            </w:r>
          </w:p>
        </w:tc>
        <w:tc>
          <w:tcPr>
            <w:tcW w:type="dxa" w:w="2088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747,500</w:t>
            </w:r>
          </w:p>
        </w:tc>
        <w:tc>
          <w:tcPr>
            <w:tcW w:type="dxa" w:w="2232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129.0</w:t>
            </w:r>
          </w:p>
        </w:tc>
        <w:tc>
          <w:tcPr>
            <w:tcW w:type="dxa" w:w="1872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18"/>
              </w:rPr>
              <w:t>120.9–137.2</w:t>
            </w:r>
          </w:p>
        </w:tc>
      </w:tr>
    </w:tbl>
    <w:p>
      <w:pPr>
        <w:spacing w:before="120" w:after="0"/>
      </w:pPr>
      <w:r>
        <w:rPr>
          <w:rFonts w:ascii="Arial" w:hAnsi="Arial"/>
          <w:b/>
          <w:sz w:val="18"/>
        </w:rPr>
        <w:t xml:space="preserve">Note. </w:t>
      </w:r>
      <w:r>
        <w:rPr>
          <w:rFonts w:ascii="Arial" w:hAnsi="Arial"/>
          <w:sz w:val="18"/>
        </w:rPr>
        <w:t>These are sensitivity estimates based on the March 2026 aggregate count of 876 actively followed Bahraini patients and plausible projected Bahraini-citizen denominators derived from official 2024 data. They are crude, registry-based, and not age- or sex-standardized; they should not be interpreted as formal national prevalence estimates.</w:t>
      </w:r>
    </w:p>
    <w:p>
      <w:pPr>
        <w:spacing w:before="160" w:after="0"/>
      </w:pPr>
      <w:r>
        <w:rPr>
          <w:rFonts w:ascii="Arial" w:hAnsi="Arial"/>
          <w:b/>
          <w:sz w:val="18"/>
        </w:rPr>
        <w:t xml:space="preserve">Abbreviations: </w:t>
      </w:r>
      <w:r>
        <w:rPr>
          <w:rFonts w:ascii="Arial" w:hAnsi="Arial"/>
          <w:sz w:val="18"/>
        </w:rPr>
        <w:t>CI, confidence interval; MS, multiple sclerosis.</w:t>
      </w:r>
    </w:p>
    <w:sectPr w:rsidR="00FC693F" w:rsidRPr="0006063C" w:rsidSect="00034616">
      <w:footerReference w:type="default" r:id="rId9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Material - Bahrain MS 2013–2026</dc:title>
  <dc:subject>Preprint supplementary material</dc:subject>
  <dc:creator>Isa Ahmed Alsharoqi et al.</dc:creator>
  <cp:keywords>multiple sclerosis; Bahrain; epidemiology; supplementary material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