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7AE9" w:rsidRDefault="00107AE9" w:rsidP="00107AE9">
      <w:pPr>
        <w:autoSpaceDE w:val="0"/>
        <w:spacing w:after="120" w:line="480" w:lineRule="auto"/>
        <w:jc w:val="both"/>
        <w:textAlignment w:val="auto"/>
        <w:rPr>
          <w:rFonts w:ascii="Times New Roman" w:hAnsi="Times New Roman"/>
          <w:b/>
          <w:sz w:val="24"/>
          <w:szCs w:val="24"/>
          <w:lang w:val="en-US"/>
        </w:rPr>
      </w:pPr>
      <w:r w:rsidRPr="00F21AA1">
        <w:rPr>
          <w:rFonts w:ascii="Times New Roman" w:hAnsi="Times New Roman"/>
          <w:b/>
          <w:sz w:val="24"/>
          <w:szCs w:val="24"/>
          <w:lang w:val="en-US"/>
        </w:rPr>
        <w:t xml:space="preserve">Table </w:t>
      </w:r>
      <w:r w:rsidR="00B40F2F">
        <w:rPr>
          <w:rFonts w:ascii="Times New Roman" w:hAnsi="Times New Roman"/>
          <w:b/>
          <w:sz w:val="24"/>
          <w:szCs w:val="24"/>
          <w:lang w:val="en-US"/>
        </w:rPr>
        <w:t>4</w:t>
      </w:r>
      <w:bookmarkStart w:id="0" w:name="_GoBack"/>
      <w:bookmarkEnd w:id="0"/>
      <w:r w:rsidRPr="00F21AA1">
        <w:rPr>
          <w:rFonts w:ascii="Times New Roman" w:hAnsi="Times New Roman"/>
          <w:b/>
          <w:sz w:val="24"/>
          <w:szCs w:val="24"/>
          <w:lang w:val="en-US"/>
        </w:rPr>
        <w:t xml:space="preserve">. </w:t>
      </w:r>
      <w:r w:rsidRPr="00107AE9">
        <w:rPr>
          <w:rFonts w:ascii="Times New Roman" w:hAnsi="Times New Roman"/>
          <w:sz w:val="24"/>
          <w:szCs w:val="24"/>
          <w:lang w:val="en-US"/>
        </w:rPr>
        <w:t xml:space="preserve">Overview of </w:t>
      </w:r>
      <w:proofErr w:type="spellStart"/>
      <w:r w:rsidRPr="00107AE9">
        <w:rPr>
          <w:rFonts w:ascii="Times New Roman" w:hAnsi="Times New Roman"/>
          <w:sz w:val="24"/>
          <w:szCs w:val="24"/>
          <w:lang w:val="en-US"/>
        </w:rPr>
        <w:t>metabolomic</w:t>
      </w:r>
      <w:proofErr w:type="spellEnd"/>
      <w:r w:rsidRPr="00107AE9">
        <w:rPr>
          <w:rFonts w:ascii="Times New Roman" w:hAnsi="Times New Roman"/>
          <w:sz w:val="24"/>
          <w:szCs w:val="24"/>
          <w:lang w:val="en-US"/>
        </w:rPr>
        <w:t xml:space="preserve"> studies on OC and their results: concentrations of several amino acids were significantly different in OC as compared to BOT and/or healthy controls.</w:t>
      </w:r>
    </w:p>
    <w:tbl>
      <w:tblPr>
        <w:tblStyle w:val="Tabela-Siatka"/>
        <w:tblpPr w:leftFromText="180" w:rightFromText="180" w:vertAnchor="text" w:horzAnchor="page" w:tblpXSpec="center" w:tblpY="196"/>
        <w:tblW w:w="14074" w:type="dxa"/>
        <w:tblLayout w:type="fixed"/>
        <w:tblLook w:val="04A0" w:firstRow="1" w:lastRow="0" w:firstColumn="1" w:lastColumn="0" w:noHBand="0" w:noVBand="1"/>
      </w:tblPr>
      <w:tblGrid>
        <w:gridCol w:w="2263"/>
        <w:gridCol w:w="992"/>
        <w:gridCol w:w="3119"/>
        <w:gridCol w:w="385"/>
        <w:gridCol w:w="385"/>
        <w:gridCol w:w="385"/>
        <w:gridCol w:w="385"/>
        <w:gridCol w:w="385"/>
        <w:gridCol w:w="385"/>
        <w:gridCol w:w="385"/>
        <w:gridCol w:w="385"/>
        <w:gridCol w:w="385"/>
        <w:gridCol w:w="385"/>
        <w:gridCol w:w="385"/>
        <w:gridCol w:w="385"/>
        <w:gridCol w:w="385"/>
        <w:gridCol w:w="385"/>
        <w:gridCol w:w="385"/>
        <w:gridCol w:w="385"/>
        <w:gridCol w:w="385"/>
        <w:gridCol w:w="385"/>
        <w:gridCol w:w="385"/>
        <w:gridCol w:w="385"/>
      </w:tblGrid>
      <w:tr w:rsidR="00107AE9" w:rsidRPr="00F21AA1" w:rsidTr="00107AE9">
        <w:trPr>
          <w:cantSplit/>
          <w:trHeight w:val="1975"/>
        </w:trPr>
        <w:tc>
          <w:tcPr>
            <w:tcW w:w="2263" w:type="dxa"/>
            <w:shd w:val="clear" w:color="auto" w:fill="auto"/>
            <w:noWrap/>
            <w:vAlign w:val="center"/>
            <w:hideMark/>
          </w:tcPr>
          <w:p w:rsidR="00107AE9" w:rsidRPr="00F21AA1" w:rsidRDefault="00107AE9" w:rsidP="00676E05">
            <w:pPr>
              <w:spacing w:line="240" w:lineRule="auto"/>
              <w:jc w:val="center"/>
              <w:rPr>
                <w:rFonts w:ascii="Times New Roman" w:hAnsi="Times New Roman"/>
                <w:b/>
                <w:sz w:val="24"/>
                <w:szCs w:val="24"/>
                <w:lang w:val="en-US"/>
              </w:rPr>
            </w:pPr>
            <w:r w:rsidRPr="00F21AA1">
              <w:rPr>
                <w:rFonts w:ascii="Times New Roman" w:hAnsi="Times New Roman"/>
                <w:b/>
                <w:sz w:val="24"/>
                <w:szCs w:val="24"/>
                <w:lang w:val="en-US"/>
              </w:rPr>
              <w:t>Reference</w:t>
            </w:r>
          </w:p>
          <w:p w:rsidR="00107AE9" w:rsidRPr="00F21AA1" w:rsidRDefault="00107AE9" w:rsidP="00676E05">
            <w:pPr>
              <w:spacing w:line="240" w:lineRule="auto"/>
              <w:jc w:val="center"/>
              <w:rPr>
                <w:rFonts w:ascii="Times New Roman" w:hAnsi="Times New Roman"/>
                <w:b/>
                <w:sz w:val="24"/>
                <w:szCs w:val="24"/>
                <w:lang w:val="en-US"/>
              </w:rPr>
            </w:pPr>
          </w:p>
        </w:tc>
        <w:tc>
          <w:tcPr>
            <w:tcW w:w="992" w:type="dxa"/>
            <w:shd w:val="clear" w:color="auto" w:fill="auto"/>
            <w:vAlign w:val="center"/>
          </w:tcPr>
          <w:p w:rsidR="00107AE9" w:rsidRPr="00F21AA1" w:rsidRDefault="00107AE9" w:rsidP="00676E05">
            <w:pPr>
              <w:spacing w:line="240" w:lineRule="auto"/>
              <w:jc w:val="center"/>
              <w:rPr>
                <w:rFonts w:ascii="Times New Roman" w:hAnsi="Times New Roman"/>
                <w:b/>
                <w:sz w:val="24"/>
                <w:szCs w:val="24"/>
                <w:lang w:val="en-US"/>
              </w:rPr>
            </w:pPr>
            <w:r w:rsidRPr="00F21AA1">
              <w:rPr>
                <w:rFonts w:ascii="Times New Roman" w:hAnsi="Times New Roman"/>
                <w:b/>
                <w:sz w:val="24"/>
                <w:szCs w:val="24"/>
                <w:lang w:val="en-US"/>
              </w:rPr>
              <w:t>Metabolite/</w:t>
            </w:r>
          </w:p>
          <w:p w:rsidR="00107AE9" w:rsidRPr="00F21AA1" w:rsidRDefault="00107AE9" w:rsidP="00676E05">
            <w:pPr>
              <w:spacing w:line="240" w:lineRule="auto"/>
              <w:jc w:val="center"/>
              <w:rPr>
                <w:rFonts w:ascii="Times New Roman" w:hAnsi="Times New Roman"/>
                <w:b/>
                <w:sz w:val="24"/>
                <w:szCs w:val="24"/>
                <w:lang w:val="en-US"/>
              </w:rPr>
            </w:pPr>
          </w:p>
          <w:p w:rsidR="00107AE9" w:rsidRPr="00F21AA1" w:rsidRDefault="00107AE9" w:rsidP="00676E05">
            <w:pPr>
              <w:spacing w:line="240" w:lineRule="auto"/>
              <w:jc w:val="center"/>
              <w:rPr>
                <w:rFonts w:ascii="Times New Roman" w:hAnsi="Times New Roman"/>
                <w:b/>
                <w:sz w:val="24"/>
                <w:szCs w:val="24"/>
                <w:lang w:val="en-US"/>
              </w:rPr>
            </w:pPr>
            <w:proofErr w:type="spellStart"/>
            <w:r w:rsidRPr="00F21AA1">
              <w:rPr>
                <w:rFonts w:ascii="Times New Roman" w:hAnsi="Times New Roman"/>
                <w:b/>
                <w:sz w:val="24"/>
                <w:szCs w:val="24"/>
              </w:rPr>
              <w:t>Sample</w:t>
            </w:r>
            <w:proofErr w:type="spellEnd"/>
          </w:p>
        </w:tc>
        <w:tc>
          <w:tcPr>
            <w:tcW w:w="3119" w:type="dxa"/>
            <w:vAlign w:val="center"/>
          </w:tcPr>
          <w:p w:rsidR="00107AE9" w:rsidRPr="00F21AA1" w:rsidRDefault="00107AE9" w:rsidP="00676E05">
            <w:pPr>
              <w:spacing w:line="240" w:lineRule="auto"/>
              <w:jc w:val="center"/>
              <w:rPr>
                <w:rFonts w:ascii="Times New Roman" w:hAnsi="Times New Roman"/>
                <w:b/>
                <w:sz w:val="24"/>
                <w:szCs w:val="24"/>
                <w:lang w:val="en-US"/>
              </w:rPr>
            </w:pPr>
            <w:r w:rsidRPr="00F21AA1">
              <w:rPr>
                <w:rFonts w:ascii="Times New Roman" w:hAnsi="Times New Roman"/>
                <w:b/>
                <w:sz w:val="24"/>
                <w:szCs w:val="24"/>
                <w:lang w:val="en-US"/>
              </w:rPr>
              <w:t>Design</w:t>
            </w:r>
          </w:p>
        </w:tc>
        <w:tc>
          <w:tcPr>
            <w:tcW w:w="385" w:type="dxa"/>
            <w:textDirection w:val="btLr"/>
          </w:tcPr>
          <w:p w:rsidR="00107AE9" w:rsidRPr="00F21AA1" w:rsidRDefault="00107AE9" w:rsidP="00676E05">
            <w:pPr>
              <w:spacing w:line="240" w:lineRule="auto"/>
              <w:ind w:left="113" w:right="113"/>
              <w:rPr>
                <w:rFonts w:ascii="Times New Roman" w:hAnsi="Times New Roman"/>
                <w:sz w:val="24"/>
                <w:szCs w:val="24"/>
                <w:lang w:val="en-US"/>
              </w:rPr>
            </w:pPr>
            <w:r w:rsidRPr="00F21AA1">
              <w:rPr>
                <w:rFonts w:ascii="Times New Roman" w:hAnsi="Times New Roman"/>
                <w:sz w:val="24"/>
                <w:szCs w:val="24"/>
                <w:lang w:val="en-US"/>
              </w:rPr>
              <w:t>alanine</w:t>
            </w:r>
          </w:p>
        </w:tc>
        <w:tc>
          <w:tcPr>
            <w:tcW w:w="385" w:type="dxa"/>
            <w:textDirection w:val="btLr"/>
          </w:tcPr>
          <w:p w:rsidR="00107AE9" w:rsidRPr="00F21AA1" w:rsidRDefault="00107AE9" w:rsidP="00676E05">
            <w:pPr>
              <w:spacing w:line="240" w:lineRule="auto"/>
              <w:ind w:left="113" w:right="113"/>
              <w:rPr>
                <w:rFonts w:ascii="Times New Roman" w:hAnsi="Times New Roman"/>
                <w:sz w:val="24"/>
                <w:szCs w:val="24"/>
                <w:lang w:val="en-US"/>
              </w:rPr>
            </w:pPr>
            <w:proofErr w:type="spellStart"/>
            <w:r w:rsidRPr="00F21AA1">
              <w:rPr>
                <w:rFonts w:ascii="Times New Roman" w:hAnsi="Times New Roman"/>
                <w:sz w:val="24"/>
                <w:szCs w:val="24"/>
              </w:rPr>
              <w:t>aminoadipic</w:t>
            </w:r>
            <w:proofErr w:type="spellEnd"/>
            <w:r w:rsidRPr="00F21AA1">
              <w:rPr>
                <w:rFonts w:ascii="Times New Roman" w:hAnsi="Times New Roman"/>
                <w:sz w:val="24"/>
                <w:szCs w:val="24"/>
              </w:rPr>
              <w:t xml:space="preserve"> </w:t>
            </w:r>
            <w:proofErr w:type="spellStart"/>
            <w:r w:rsidRPr="00F21AA1">
              <w:rPr>
                <w:rFonts w:ascii="Times New Roman" w:hAnsi="Times New Roman"/>
                <w:sz w:val="24"/>
                <w:szCs w:val="24"/>
              </w:rPr>
              <w:t>acid</w:t>
            </w:r>
            <w:proofErr w:type="spellEnd"/>
          </w:p>
        </w:tc>
        <w:tc>
          <w:tcPr>
            <w:tcW w:w="385" w:type="dxa"/>
            <w:textDirection w:val="btLr"/>
          </w:tcPr>
          <w:p w:rsidR="00107AE9" w:rsidRPr="00F21AA1" w:rsidRDefault="00107AE9" w:rsidP="00676E05">
            <w:pPr>
              <w:spacing w:line="240" w:lineRule="auto"/>
              <w:ind w:left="113" w:right="113"/>
              <w:rPr>
                <w:rFonts w:ascii="Times New Roman" w:hAnsi="Times New Roman"/>
                <w:sz w:val="24"/>
                <w:szCs w:val="24"/>
                <w:lang w:val="en-US"/>
              </w:rPr>
            </w:pPr>
            <w:proofErr w:type="spellStart"/>
            <w:r w:rsidRPr="00F21AA1">
              <w:rPr>
                <w:rFonts w:ascii="Times New Roman" w:eastAsia="Times New Roman" w:hAnsi="Times New Roman"/>
                <w:color w:val="000000"/>
                <w:sz w:val="24"/>
                <w:szCs w:val="24"/>
                <w:lang w:eastAsia="pl-PL"/>
              </w:rPr>
              <w:t>asparagine</w:t>
            </w:r>
            <w:proofErr w:type="spellEnd"/>
          </w:p>
        </w:tc>
        <w:tc>
          <w:tcPr>
            <w:tcW w:w="385" w:type="dxa"/>
            <w:textDirection w:val="btLr"/>
          </w:tcPr>
          <w:p w:rsidR="00107AE9" w:rsidRPr="00F21AA1" w:rsidRDefault="00107AE9" w:rsidP="00676E05">
            <w:pPr>
              <w:spacing w:line="240" w:lineRule="auto"/>
              <w:ind w:left="113" w:right="113"/>
              <w:rPr>
                <w:rFonts w:ascii="Times New Roman" w:hAnsi="Times New Roman"/>
                <w:sz w:val="24"/>
                <w:szCs w:val="24"/>
                <w:lang w:val="en-US"/>
              </w:rPr>
            </w:pPr>
            <w:proofErr w:type="spellStart"/>
            <w:r w:rsidRPr="00F21AA1">
              <w:rPr>
                <w:rFonts w:ascii="Times New Roman" w:hAnsi="Times New Roman"/>
                <w:sz w:val="24"/>
                <w:szCs w:val="24"/>
              </w:rPr>
              <w:t>citrulline</w:t>
            </w:r>
            <w:proofErr w:type="spellEnd"/>
          </w:p>
        </w:tc>
        <w:tc>
          <w:tcPr>
            <w:tcW w:w="385" w:type="dxa"/>
            <w:shd w:val="clear" w:color="auto" w:fill="auto"/>
            <w:textDirection w:val="btLr"/>
            <w:vAlign w:val="center"/>
          </w:tcPr>
          <w:p w:rsidR="00107AE9" w:rsidRPr="00F21AA1" w:rsidRDefault="00107AE9" w:rsidP="00676E05">
            <w:pPr>
              <w:spacing w:line="240" w:lineRule="auto"/>
              <w:ind w:left="113" w:right="113"/>
              <w:rPr>
                <w:rFonts w:ascii="Times New Roman" w:hAnsi="Times New Roman"/>
                <w:sz w:val="24"/>
                <w:szCs w:val="24"/>
                <w:lang w:val="en-US"/>
              </w:rPr>
            </w:pPr>
            <w:proofErr w:type="spellStart"/>
            <w:r w:rsidRPr="00F21AA1">
              <w:rPr>
                <w:rFonts w:ascii="Times New Roman" w:hAnsi="Times New Roman"/>
                <w:sz w:val="24"/>
                <w:szCs w:val="24"/>
                <w:lang w:val="en-US"/>
              </w:rPr>
              <w:t>cystine</w:t>
            </w:r>
            <w:proofErr w:type="spellEnd"/>
          </w:p>
        </w:tc>
        <w:tc>
          <w:tcPr>
            <w:tcW w:w="385" w:type="dxa"/>
            <w:textDirection w:val="btLr"/>
          </w:tcPr>
          <w:p w:rsidR="00107AE9" w:rsidRPr="00F21AA1" w:rsidRDefault="00107AE9" w:rsidP="00676E05">
            <w:pPr>
              <w:spacing w:line="240" w:lineRule="auto"/>
              <w:ind w:left="113" w:right="113"/>
              <w:rPr>
                <w:rFonts w:ascii="Times New Roman" w:hAnsi="Times New Roman"/>
                <w:sz w:val="24"/>
                <w:szCs w:val="24"/>
                <w:lang w:val="en-US"/>
              </w:rPr>
            </w:pPr>
            <w:r w:rsidRPr="00F21AA1">
              <w:rPr>
                <w:rFonts w:ascii="Times New Roman" w:hAnsi="Times New Roman"/>
                <w:sz w:val="24"/>
                <w:szCs w:val="24"/>
                <w:lang w:val="en-US"/>
              </w:rPr>
              <w:t>glutamate</w:t>
            </w:r>
          </w:p>
        </w:tc>
        <w:tc>
          <w:tcPr>
            <w:tcW w:w="385" w:type="dxa"/>
            <w:textDirection w:val="btLr"/>
          </w:tcPr>
          <w:p w:rsidR="00107AE9" w:rsidRPr="00F21AA1" w:rsidRDefault="00107AE9" w:rsidP="00676E05">
            <w:pPr>
              <w:spacing w:line="240" w:lineRule="auto"/>
              <w:ind w:left="113" w:right="113"/>
              <w:rPr>
                <w:rFonts w:ascii="Times New Roman" w:hAnsi="Times New Roman"/>
                <w:sz w:val="24"/>
                <w:szCs w:val="24"/>
                <w:lang w:val="en-US"/>
              </w:rPr>
            </w:pPr>
            <w:r w:rsidRPr="00F21AA1">
              <w:rPr>
                <w:rFonts w:ascii="Times New Roman" w:hAnsi="Times New Roman"/>
                <w:sz w:val="24"/>
                <w:szCs w:val="24"/>
                <w:lang w:val="en-US"/>
              </w:rPr>
              <w:t>glutamine</w:t>
            </w:r>
          </w:p>
        </w:tc>
        <w:tc>
          <w:tcPr>
            <w:tcW w:w="385" w:type="dxa"/>
            <w:textDirection w:val="btLr"/>
            <w:vAlign w:val="center"/>
          </w:tcPr>
          <w:p w:rsidR="00107AE9" w:rsidRPr="00F21AA1" w:rsidRDefault="00107AE9" w:rsidP="00676E05">
            <w:pPr>
              <w:spacing w:line="240" w:lineRule="auto"/>
              <w:ind w:left="113" w:right="113"/>
              <w:rPr>
                <w:rFonts w:ascii="Times New Roman" w:hAnsi="Times New Roman"/>
                <w:sz w:val="24"/>
                <w:szCs w:val="24"/>
                <w:lang w:val="en-US"/>
              </w:rPr>
            </w:pPr>
            <w:r w:rsidRPr="00F21AA1">
              <w:rPr>
                <w:rFonts w:ascii="Times New Roman" w:hAnsi="Times New Roman"/>
                <w:sz w:val="24"/>
                <w:szCs w:val="24"/>
                <w:lang w:val="en-US"/>
              </w:rPr>
              <w:t>glycine</w:t>
            </w:r>
          </w:p>
        </w:tc>
        <w:tc>
          <w:tcPr>
            <w:tcW w:w="385" w:type="dxa"/>
            <w:textDirection w:val="btLr"/>
          </w:tcPr>
          <w:p w:rsidR="00107AE9" w:rsidRPr="00F21AA1" w:rsidRDefault="00107AE9" w:rsidP="00676E05">
            <w:pPr>
              <w:spacing w:line="240" w:lineRule="auto"/>
              <w:ind w:left="113" w:right="113"/>
              <w:rPr>
                <w:rFonts w:ascii="Times New Roman" w:hAnsi="Times New Roman"/>
                <w:sz w:val="24"/>
                <w:szCs w:val="24"/>
              </w:rPr>
            </w:pPr>
            <w:r w:rsidRPr="00F21AA1">
              <w:rPr>
                <w:rFonts w:ascii="Times New Roman" w:hAnsi="Times New Roman"/>
                <w:sz w:val="24"/>
                <w:szCs w:val="24"/>
                <w:lang w:val="en-US"/>
              </w:rPr>
              <w:t>hi</w:t>
            </w:r>
            <w:proofErr w:type="spellStart"/>
            <w:r w:rsidRPr="00F21AA1">
              <w:rPr>
                <w:rFonts w:ascii="Times New Roman" w:hAnsi="Times New Roman"/>
                <w:sz w:val="24"/>
                <w:szCs w:val="24"/>
              </w:rPr>
              <w:t>stidine</w:t>
            </w:r>
            <w:proofErr w:type="spellEnd"/>
          </w:p>
        </w:tc>
        <w:tc>
          <w:tcPr>
            <w:tcW w:w="385" w:type="dxa"/>
            <w:textDirection w:val="btLr"/>
          </w:tcPr>
          <w:p w:rsidR="00107AE9" w:rsidRPr="00F21AA1" w:rsidRDefault="00107AE9" w:rsidP="00676E05">
            <w:pPr>
              <w:spacing w:line="240" w:lineRule="auto"/>
              <w:ind w:left="113" w:right="113"/>
              <w:rPr>
                <w:rFonts w:ascii="Times New Roman" w:hAnsi="Times New Roman"/>
                <w:sz w:val="24"/>
                <w:szCs w:val="24"/>
                <w:lang w:val="en-US"/>
              </w:rPr>
            </w:pPr>
            <w:proofErr w:type="spellStart"/>
            <w:r w:rsidRPr="00F21AA1">
              <w:rPr>
                <w:rFonts w:ascii="Times New Roman" w:hAnsi="Times New Roman"/>
                <w:sz w:val="24"/>
                <w:szCs w:val="24"/>
              </w:rPr>
              <w:t>isoleucine</w:t>
            </w:r>
            <w:proofErr w:type="spellEnd"/>
          </w:p>
        </w:tc>
        <w:tc>
          <w:tcPr>
            <w:tcW w:w="385" w:type="dxa"/>
            <w:textDirection w:val="btLr"/>
          </w:tcPr>
          <w:p w:rsidR="00107AE9" w:rsidRPr="00F21AA1" w:rsidRDefault="00107AE9" w:rsidP="00676E05">
            <w:pPr>
              <w:spacing w:line="240" w:lineRule="auto"/>
              <w:ind w:left="113" w:right="113"/>
              <w:rPr>
                <w:rFonts w:ascii="Times New Roman" w:hAnsi="Times New Roman"/>
                <w:sz w:val="24"/>
                <w:szCs w:val="24"/>
                <w:lang w:val="en-US"/>
              </w:rPr>
            </w:pPr>
            <w:proofErr w:type="spellStart"/>
            <w:r w:rsidRPr="00F21AA1">
              <w:rPr>
                <w:rFonts w:ascii="Times New Roman" w:eastAsia="Times New Roman" w:hAnsi="Times New Roman"/>
                <w:color w:val="000000"/>
                <w:sz w:val="24"/>
                <w:szCs w:val="24"/>
                <w:lang w:eastAsia="pl-PL"/>
              </w:rPr>
              <w:t>leucine</w:t>
            </w:r>
            <w:proofErr w:type="spellEnd"/>
          </w:p>
        </w:tc>
        <w:tc>
          <w:tcPr>
            <w:tcW w:w="385" w:type="dxa"/>
            <w:textDirection w:val="btLr"/>
          </w:tcPr>
          <w:p w:rsidR="00107AE9" w:rsidRPr="00F21AA1" w:rsidRDefault="00107AE9" w:rsidP="00676E05">
            <w:pPr>
              <w:spacing w:line="240" w:lineRule="auto"/>
              <w:ind w:left="113" w:right="113"/>
              <w:rPr>
                <w:rFonts w:ascii="Times New Roman" w:hAnsi="Times New Roman"/>
                <w:sz w:val="24"/>
                <w:szCs w:val="24"/>
                <w:lang w:val="en-US"/>
              </w:rPr>
            </w:pPr>
            <w:proofErr w:type="spellStart"/>
            <w:r w:rsidRPr="00F21AA1">
              <w:rPr>
                <w:rFonts w:ascii="Times New Roman" w:hAnsi="Times New Roman"/>
                <w:sz w:val="24"/>
                <w:szCs w:val="24"/>
              </w:rPr>
              <w:t>lysine</w:t>
            </w:r>
            <w:proofErr w:type="spellEnd"/>
          </w:p>
        </w:tc>
        <w:tc>
          <w:tcPr>
            <w:tcW w:w="385" w:type="dxa"/>
            <w:textDirection w:val="btLr"/>
          </w:tcPr>
          <w:p w:rsidR="00107AE9" w:rsidRPr="00F21AA1" w:rsidRDefault="00107AE9" w:rsidP="00676E05">
            <w:pPr>
              <w:spacing w:line="240" w:lineRule="auto"/>
              <w:ind w:left="113" w:right="113"/>
              <w:rPr>
                <w:rFonts w:ascii="Times New Roman" w:hAnsi="Times New Roman"/>
                <w:sz w:val="24"/>
                <w:szCs w:val="24"/>
                <w:lang w:val="en-US"/>
              </w:rPr>
            </w:pPr>
            <w:r w:rsidRPr="00F21AA1">
              <w:rPr>
                <w:rFonts w:ascii="Times New Roman" w:hAnsi="Times New Roman"/>
                <w:sz w:val="24"/>
                <w:szCs w:val="24"/>
                <w:lang w:val="en-US"/>
              </w:rPr>
              <w:t>methionine</w:t>
            </w:r>
          </w:p>
        </w:tc>
        <w:tc>
          <w:tcPr>
            <w:tcW w:w="385" w:type="dxa"/>
            <w:textDirection w:val="btLr"/>
          </w:tcPr>
          <w:p w:rsidR="00107AE9" w:rsidRPr="00F21AA1" w:rsidRDefault="00107AE9" w:rsidP="00676E05">
            <w:pPr>
              <w:spacing w:line="240" w:lineRule="auto"/>
              <w:ind w:left="113" w:right="113"/>
              <w:rPr>
                <w:rFonts w:ascii="Times New Roman" w:hAnsi="Times New Roman"/>
                <w:sz w:val="24"/>
                <w:szCs w:val="24"/>
                <w:lang w:val="en-US"/>
              </w:rPr>
            </w:pPr>
            <w:proofErr w:type="spellStart"/>
            <w:r w:rsidRPr="00F21AA1">
              <w:rPr>
                <w:rFonts w:ascii="Times New Roman" w:hAnsi="Times New Roman"/>
                <w:sz w:val="24"/>
                <w:szCs w:val="24"/>
              </w:rPr>
              <w:t>phenylalanine</w:t>
            </w:r>
            <w:proofErr w:type="spellEnd"/>
          </w:p>
        </w:tc>
        <w:tc>
          <w:tcPr>
            <w:tcW w:w="385" w:type="dxa"/>
            <w:shd w:val="clear" w:color="auto" w:fill="auto"/>
            <w:textDirection w:val="btLr"/>
            <w:vAlign w:val="center"/>
          </w:tcPr>
          <w:p w:rsidR="00107AE9" w:rsidRPr="00F21AA1" w:rsidRDefault="00107AE9" w:rsidP="00676E05">
            <w:pPr>
              <w:spacing w:line="240" w:lineRule="auto"/>
              <w:ind w:left="113" w:right="113"/>
              <w:rPr>
                <w:rFonts w:ascii="Times New Roman" w:hAnsi="Times New Roman"/>
                <w:sz w:val="24"/>
                <w:szCs w:val="24"/>
                <w:lang w:val="en-US"/>
              </w:rPr>
            </w:pPr>
            <w:r w:rsidRPr="00F21AA1">
              <w:rPr>
                <w:rFonts w:ascii="Times New Roman" w:hAnsi="Times New Roman"/>
                <w:sz w:val="24"/>
                <w:szCs w:val="24"/>
                <w:lang w:val="en-US"/>
              </w:rPr>
              <w:t>proline</w:t>
            </w:r>
          </w:p>
        </w:tc>
        <w:tc>
          <w:tcPr>
            <w:tcW w:w="385" w:type="dxa"/>
            <w:shd w:val="clear" w:color="auto" w:fill="auto"/>
            <w:textDirection w:val="btLr"/>
          </w:tcPr>
          <w:p w:rsidR="00107AE9" w:rsidRPr="00F21AA1" w:rsidRDefault="00107AE9" w:rsidP="00676E05">
            <w:pPr>
              <w:spacing w:line="240" w:lineRule="auto"/>
              <w:ind w:left="113" w:right="113"/>
              <w:rPr>
                <w:rFonts w:ascii="Times New Roman" w:hAnsi="Times New Roman"/>
                <w:sz w:val="24"/>
                <w:szCs w:val="24"/>
                <w:lang w:val="en-US"/>
              </w:rPr>
            </w:pPr>
            <w:r w:rsidRPr="00F21AA1">
              <w:rPr>
                <w:rFonts w:ascii="Times New Roman" w:hAnsi="Times New Roman"/>
                <w:sz w:val="24"/>
                <w:szCs w:val="24"/>
                <w:lang w:val="en-US"/>
              </w:rPr>
              <w:t>serine</w:t>
            </w:r>
          </w:p>
        </w:tc>
        <w:tc>
          <w:tcPr>
            <w:tcW w:w="385" w:type="dxa"/>
            <w:shd w:val="clear" w:color="auto" w:fill="auto"/>
            <w:textDirection w:val="btLr"/>
          </w:tcPr>
          <w:p w:rsidR="00107AE9" w:rsidRPr="00F21AA1" w:rsidRDefault="00107AE9" w:rsidP="00676E05">
            <w:pPr>
              <w:spacing w:line="240" w:lineRule="auto"/>
              <w:ind w:left="113" w:right="113"/>
              <w:rPr>
                <w:rFonts w:ascii="Times New Roman" w:hAnsi="Times New Roman"/>
                <w:sz w:val="24"/>
                <w:szCs w:val="24"/>
                <w:lang w:val="en-US"/>
              </w:rPr>
            </w:pPr>
            <w:r w:rsidRPr="00F21AA1">
              <w:rPr>
                <w:rFonts w:ascii="Times New Roman" w:hAnsi="Times New Roman"/>
                <w:sz w:val="24"/>
                <w:szCs w:val="24"/>
                <w:lang w:val="en-US"/>
              </w:rPr>
              <w:t>threonine</w:t>
            </w:r>
          </w:p>
        </w:tc>
        <w:tc>
          <w:tcPr>
            <w:tcW w:w="385" w:type="dxa"/>
            <w:shd w:val="clear" w:color="auto" w:fill="auto"/>
            <w:textDirection w:val="btLr"/>
          </w:tcPr>
          <w:p w:rsidR="00107AE9" w:rsidRPr="00F21AA1" w:rsidRDefault="00107AE9" w:rsidP="00676E05">
            <w:pPr>
              <w:spacing w:line="240" w:lineRule="auto"/>
              <w:ind w:left="113" w:right="113"/>
              <w:rPr>
                <w:rFonts w:ascii="Times New Roman" w:hAnsi="Times New Roman"/>
                <w:sz w:val="24"/>
                <w:szCs w:val="24"/>
              </w:rPr>
            </w:pPr>
            <w:proofErr w:type="spellStart"/>
            <w:r w:rsidRPr="00F21AA1">
              <w:rPr>
                <w:rFonts w:ascii="Times New Roman" w:hAnsi="Times New Roman"/>
                <w:sz w:val="24"/>
                <w:szCs w:val="24"/>
              </w:rPr>
              <w:t>tryptophan</w:t>
            </w:r>
            <w:proofErr w:type="spellEnd"/>
          </w:p>
        </w:tc>
        <w:tc>
          <w:tcPr>
            <w:tcW w:w="385" w:type="dxa"/>
            <w:shd w:val="clear" w:color="auto" w:fill="auto"/>
            <w:textDirection w:val="btLr"/>
          </w:tcPr>
          <w:p w:rsidR="00107AE9" w:rsidRPr="00F21AA1" w:rsidRDefault="00107AE9" w:rsidP="00676E05">
            <w:pPr>
              <w:spacing w:line="240" w:lineRule="auto"/>
              <w:ind w:left="113" w:right="113"/>
              <w:rPr>
                <w:rFonts w:ascii="Times New Roman" w:hAnsi="Times New Roman"/>
                <w:sz w:val="24"/>
                <w:szCs w:val="24"/>
              </w:rPr>
            </w:pPr>
            <w:proofErr w:type="spellStart"/>
            <w:r w:rsidRPr="00F21AA1">
              <w:rPr>
                <w:rFonts w:ascii="Times New Roman" w:hAnsi="Times New Roman"/>
                <w:sz w:val="24"/>
                <w:szCs w:val="24"/>
              </w:rPr>
              <w:t>tyrosine</w:t>
            </w:r>
            <w:proofErr w:type="spellEnd"/>
          </w:p>
        </w:tc>
        <w:tc>
          <w:tcPr>
            <w:tcW w:w="385" w:type="dxa"/>
            <w:textDirection w:val="btLr"/>
            <w:vAlign w:val="center"/>
          </w:tcPr>
          <w:p w:rsidR="00107AE9" w:rsidRPr="00F21AA1" w:rsidRDefault="00107AE9" w:rsidP="00676E05">
            <w:pPr>
              <w:spacing w:line="240" w:lineRule="auto"/>
              <w:ind w:left="113" w:right="113"/>
              <w:rPr>
                <w:rFonts w:ascii="Times New Roman" w:eastAsia="Times New Roman" w:hAnsi="Times New Roman"/>
                <w:color w:val="000000"/>
                <w:sz w:val="24"/>
                <w:szCs w:val="24"/>
                <w:lang w:eastAsia="pl-PL"/>
              </w:rPr>
            </w:pPr>
            <w:r w:rsidRPr="00F21AA1">
              <w:rPr>
                <w:rFonts w:ascii="Times New Roman" w:hAnsi="Times New Roman"/>
                <w:sz w:val="24"/>
                <w:szCs w:val="24"/>
                <w:lang w:val="en-US"/>
              </w:rPr>
              <w:t>valine</w:t>
            </w:r>
          </w:p>
        </w:tc>
      </w:tr>
      <w:tr w:rsidR="00107AE9" w:rsidRPr="00F21AA1" w:rsidTr="00107AE9">
        <w:trPr>
          <w:trHeight w:val="300"/>
        </w:trPr>
        <w:tc>
          <w:tcPr>
            <w:tcW w:w="2263" w:type="dxa"/>
            <w:shd w:val="clear" w:color="auto" w:fill="auto"/>
            <w:noWrap/>
            <w:hideMark/>
          </w:tcPr>
          <w:p w:rsidR="00107AE9" w:rsidRPr="00F21AA1" w:rsidRDefault="00107AE9" w:rsidP="00676E05">
            <w:pPr>
              <w:spacing w:line="240" w:lineRule="auto"/>
              <w:rPr>
                <w:rFonts w:ascii="Times New Roman" w:hAnsi="Times New Roman"/>
                <w:sz w:val="24"/>
                <w:szCs w:val="24"/>
              </w:rPr>
            </w:pPr>
            <w:proofErr w:type="spellStart"/>
            <w:r w:rsidRPr="00F21AA1">
              <w:rPr>
                <w:rFonts w:ascii="Times New Roman" w:hAnsi="Times New Roman"/>
                <w:sz w:val="24"/>
                <w:szCs w:val="24"/>
              </w:rPr>
              <w:t>Zhou</w:t>
            </w:r>
            <w:proofErr w:type="spellEnd"/>
            <w:r w:rsidRPr="00F21AA1">
              <w:rPr>
                <w:rFonts w:ascii="Times New Roman" w:hAnsi="Times New Roman"/>
                <w:sz w:val="24"/>
                <w:szCs w:val="24"/>
              </w:rPr>
              <w:t xml:space="preserve"> et al. (2010) </w:t>
            </w:r>
            <w:r w:rsidRPr="00F21AA1">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"DOI" : "10.1158/1055-9965.EPI-10-0126", "ISSN" : "1055-9965", "PMID" : "20699376", "abstract" : "BACKGROUND Ovarian cancer diagnosis is problematic because the disease is typically asymptomatic, especially at the early stages of progression and/or recurrence. We report here the integration of a new mass spectrometric technology with a novel support vector machine computational method for use in cancer diagnostics, and describe the application of the method to ovarian cancer. METHODS We coupled a high-throughput ambient ionization technique for mass spectrometry (direct analysis in real-time mass spectrometry) to profile relative metabolite levels in sera from 44 women diagnosed with serous papillary ovarian cancer (stages I-IV) and 50 healthy women or women with benign conditions. The profiles were input to a customized functional support vector machine-based machine-learning algorithm for diagnostic classification. Performance was evaluated through a 64-30 split validation test and with a stringent series of leave-one-out cross-validations. RESULTS The assay distinguished between the cancer and control groups with an unprecedented 99% to 100% accuracy (100% sensitivity and 100% specificity by the 64-30 split validation test; 100% sensitivity and 98% specificity by leave-one-out cross-validations). CONCLUSION The method has significant clinical potential as a cancer diagnostic tool. Because of the extremely low prevalence of ovarian cancer in the general population (approximately 0.04%), extensive prospective testing will be required to evaluate the test's potential utility in general screening applications. However, more immediate applications might be as a diagnostic tool in higher-risk groups or to monitor cancer recurrence after therapeutic treatment. IMPACT The ability to accurately and inexpensively diagnose ovarian cancer will have a significant positive effect on ovarian cancer treatment and outcome.", "author" : [ { "dropping-particle" : "", "family" : "Zhou", "given" : "M.", "non-dropping-particle" : "", "parse-names" : false, "suffix" : "" }, { "dropping-particle" : "", "family" : "Guan", "given" : "W.", "non-dropping-particle" : "", "parse-names" : false, "suffix" : "" }, { "dropping-particle" : "", "family" : "Walker", "given" : "L. D.", "non-dropping-particle" : "", "parse-names" : false, "suffix" : "" }, { "dropping-particle" : "", "family" : "Mezencev", "given" : "R.", "non-dropping-particle" : "", "parse-names" : false, "suffix" : "" }, { "dropping-particle" : "", "family" : "Benigno", "given" : "B. B.", "non-dropping-particle" : "", "parse-names" : false, "suffix" : "" }, { "dropping-particle" : "", "family" : "Gray", "given" : "A.", "non-dropping-particle" : "", "parse-names" : false, "suffix" : "" }, { "dropping-particle" : "", "family" : "Fernandez", "given" : "F. M.", "non-dropping-particle" : "", "parse-names" : false, "suffix" : "" }, { "dropping-particle" : "", "family" : "McDonald", "given" : "J. F.", "non-dropping-particle" : "", "parse-names" : false, "suffix" : "" } ], "container-title" : "Cancer Epidemiology Biomarkers &amp; Prevention", "id" : "ITEM-1", "issue" : "9", "issued" : { "date-parts" : [ [ "2010", "9", "1" ] ] }, "page" : "2262-2271", "title" : "Rapid Mass Spectrometric Metabolic Profiling of Blood Sera Detects Ovarian Cancer with High Accuracy", "type" : "article-journal", "volume" : "19" }, "uris" : [ "http://www.mendeley.com/documents/?uuid=359adaed-fec7-3300-ac1a-69cde944b7b4" ] } ], "mendeley" : { "formattedCitation" : "(15)", "plainTextFormattedCitation" : "(15)", "previouslyFormattedCitation" : "[18]" }, "properties" : { "noteIndex" : 0 }, "schema" : "https://github.com/citation-style-language/schema/raw/master/csl-citation.json" }</w:instrText>
            </w:r>
            <w:r w:rsidRPr="00F21AA1">
              <w:rPr>
                <w:rFonts w:ascii="Times New Roman" w:hAnsi="Times New Roman"/>
                <w:sz w:val="24"/>
                <w:szCs w:val="24"/>
              </w:rPr>
              <w:fldChar w:fldCharType="separate"/>
            </w:r>
            <w:r w:rsidRPr="00EC7AF5">
              <w:rPr>
                <w:rFonts w:ascii="Times New Roman" w:hAnsi="Times New Roman"/>
                <w:noProof/>
                <w:sz w:val="24"/>
                <w:szCs w:val="24"/>
              </w:rPr>
              <w:t>(15)</w:t>
            </w:r>
            <w:r w:rsidRPr="00F21AA1">
              <w:rPr>
                <w:rFonts w:ascii="Times New Roman" w:hAnsi="Times New Roman"/>
                <w:sz w:val="24"/>
                <w:szCs w:val="24"/>
              </w:rPr>
              <w:fldChar w:fldCharType="end"/>
            </w:r>
          </w:p>
        </w:tc>
        <w:tc>
          <w:tcPr>
            <w:tcW w:w="992" w:type="dxa"/>
            <w:shd w:val="clear" w:color="auto" w:fill="auto"/>
          </w:tcPr>
          <w:p w:rsidR="00107AE9" w:rsidRPr="00F21AA1" w:rsidRDefault="00107AE9" w:rsidP="00676E05">
            <w:pPr>
              <w:spacing w:line="240" w:lineRule="auto"/>
              <w:rPr>
                <w:rFonts w:ascii="Times New Roman" w:hAnsi="Times New Roman"/>
                <w:sz w:val="24"/>
                <w:szCs w:val="24"/>
              </w:rPr>
            </w:pPr>
            <w:r w:rsidRPr="00F21AA1">
              <w:rPr>
                <w:rFonts w:ascii="Times New Roman" w:hAnsi="Times New Roman"/>
                <w:sz w:val="24"/>
                <w:szCs w:val="24"/>
              </w:rPr>
              <w:t>serum</w:t>
            </w:r>
          </w:p>
        </w:tc>
        <w:tc>
          <w:tcPr>
            <w:tcW w:w="3119"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OC vs benign ovarian tumor and healthy controls</w:t>
            </w:r>
          </w:p>
        </w:tc>
        <w:tc>
          <w:tcPr>
            <w:tcW w:w="385" w:type="dxa"/>
          </w:tcPr>
          <w:p w:rsidR="00107AE9" w:rsidRPr="00F21AA1" w:rsidRDefault="00107AE9" w:rsidP="00676E05">
            <w:pPr>
              <w:spacing w:line="240" w:lineRule="auto"/>
              <w:rPr>
                <w:rFonts w:ascii="Times New Roman" w:hAnsi="Times New Roman"/>
                <w:sz w:val="24"/>
                <w:szCs w:val="24"/>
              </w:rPr>
            </w:pPr>
            <w:r w:rsidRPr="00F21AA1">
              <w:rPr>
                <w:rFonts w:ascii="Times New Roman" w:hAnsi="Times New Roman"/>
                <w:sz w:val="24"/>
                <w:szCs w:val="24"/>
              </w:rPr>
              <w:t>↑</w:t>
            </w: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r w:rsidRPr="00F21AA1">
              <w:rPr>
                <w:rFonts w:ascii="Times New Roman" w:hAnsi="Times New Roman"/>
                <w:sz w:val="24"/>
                <w:szCs w:val="24"/>
              </w:rPr>
              <w:t>↑</w:t>
            </w: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r w:rsidRPr="00F21AA1">
              <w:rPr>
                <w:rFonts w:ascii="Times New Roman" w:hAnsi="Times New Roman"/>
                <w:sz w:val="24"/>
                <w:szCs w:val="24"/>
              </w:rPr>
              <w:t>↑</w:t>
            </w: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r w:rsidRPr="00F21AA1">
              <w:rPr>
                <w:rFonts w:ascii="Times New Roman" w:hAnsi="Times New Roman"/>
                <w:sz w:val="24"/>
                <w:szCs w:val="24"/>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r w:rsidRPr="00F21AA1">
              <w:rPr>
                <w:rFonts w:ascii="Times New Roman" w:hAnsi="Times New Roman"/>
                <w:sz w:val="24"/>
                <w:szCs w:val="24"/>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r>
      <w:tr w:rsidR="00107AE9" w:rsidRPr="00B40F2F" w:rsidTr="00107AE9">
        <w:trPr>
          <w:trHeight w:val="300"/>
        </w:trPr>
        <w:tc>
          <w:tcPr>
            <w:tcW w:w="2263" w:type="dxa"/>
            <w:shd w:val="clear" w:color="auto" w:fill="auto"/>
            <w:noWrap/>
          </w:tcPr>
          <w:p w:rsidR="00107AE9" w:rsidRPr="00F21AA1" w:rsidRDefault="00107AE9" w:rsidP="00676E05">
            <w:pPr>
              <w:spacing w:line="240" w:lineRule="auto"/>
              <w:rPr>
                <w:rFonts w:ascii="Times New Roman" w:hAnsi="Times New Roman"/>
                <w:sz w:val="24"/>
                <w:szCs w:val="24"/>
                <w:lang w:val="en-US"/>
              </w:rPr>
            </w:pPr>
            <w:proofErr w:type="spellStart"/>
            <w:r w:rsidRPr="00F21AA1">
              <w:rPr>
                <w:rFonts w:ascii="Times New Roman" w:hAnsi="Times New Roman"/>
                <w:sz w:val="24"/>
                <w:szCs w:val="24"/>
              </w:rPr>
              <w:t>Hilvo</w:t>
            </w:r>
            <w:proofErr w:type="spellEnd"/>
            <w:r w:rsidRPr="00F21AA1">
              <w:rPr>
                <w:rFonts w:ascii="Times New Roman" w:hAnsi="Times New Roman"/>
                <w:sz w:val="24"/>
                <w:szCs w:val="24"/>
              </w:rPr>
              <w:t xml:space="preserve"> et al. (2015) </w:t>
            </w:r>
            <w:r w:rsidRPr="00F21AA1">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"DOI" : "10.1158/0008-5472.CAN-15-2298", "ISSN" : "0008-5472", "PMID" : "26685161", "abstract" : "Ovarian cancer is a heterogeneous disease of low prevalence, but poor survival. Early diagnosis is critical for survival, but it is often challenging because the symptoms of ovarian cancer are subtle and become apparent only during advanced stages of the disease. Therefore, the identification of robust biomarkers of early disease is a clinical priority. Metabolomic profiling is an emerging diagnostic tool enabling the detection of biomarkers reflecting alterations in tumor metabolism, a hallmark of cancer. In this study, we performed metabolomic profiling of serum and tumor tissue from 158 patients with high-grade serous ovarian cancer (HGSOC) and 100 control patients with benign or non-neoplastic lesions. We report metabolites of hydroxybutyric acid (HBA) as novel diagnostic and prognostic biomarkers associated with tumor burden and patient survival. The accumulation of HBA metabolites caused by HGSOC was also associated with reduced expression of succinic semialdehyde dehydrogenase (encoded by ALDH5A1), and with the presence of an epithelial-to-mesenchymal transition gene signature, implying a role for these metabolic alterations in cancer cell migration and invasion. In conclusion, our findings represent the first comprehensive metabolomics analysis in HGSOC and propose a new set of metabolites as biomarkers of disease with diagnostic and prognostic capabilities.", "author" : [ { "dropping-particle" : "", "family" : "Hilvo", "given" : "M.", "non-dropping-particle" : "", "parse-names" : false, "suffix" : "" }, { "dropping-particle" : "", "family" : "Santiago", "given" : "I.", "non-dropping-particle" : "de", "parse-names" : false, "suffix" : "" }, { "dropping-particle" : "", "family" : "Gopalacharyulu", "given" : "P.", "non-dropping-particle" : "", "parse-names" : false, "suffix" : "" }, { "dropping-particle" : "", "family" : "Schmitt", "given" : "W. D.", "non-dropping-particle" : "", "parse-names" : false, "suffix" : "" }, { "dropping-particle" : "", "family" : "Budczies", "given" : "J.", "non-dropping-particle" : "", "parse-names" : false, "suffix" : "" }, { "dropping-particle" : "", "family" : "Kuhberg", "given" : "M.", "non-dropping-particle" : "", "parse-names" : false, "suffix" : "" }, { "dropping-particle" : "", "family" : "Dietel", "given" : "M.", "non-dropping-particle" : "", "parse-names" : false, "suffix" : "" }, { "dropping-particle" : "", "family" : "Aittokallio", "given" : "T.", "non-dropping-particle" : "", "parse-names" : false, "suffix" : "" }, { "dropping-particle"</w:instrText>
            </w:r>
            <w:r w:rsidRPr="00EC7AF5">
              <w:rPr>
                <w:rFonts w:ascii="Times New Roman" w:hAnsi="Times New Roman"/>
                <w:sz w:val="24"/>
                <w:szCs w:val="24"/>
                <w:lang w:val="en-US"/>
              </w:rPr>
              <w:instrText xml:space="preserve"> : "", "family" : "Markowetz", "given" : "F.", "non-dropping-particle" : "", "parse-names" : false, "suffix" : "" }, { "dropping-particle" : "", "family" : "Denkert", "given" : "C.", "non-dropping-particle" : "", "parse-names" : false, "suffix" : "" }, { "dropping-particle" : "", "family" : "Sehouli", "given" : "J.", "non-dropping-particle" : "", "parse-names" : false, "suffix" : "" }, { "dropping-particle" : "", "family" : "Frezza", "given" : "C.", "non-dropping-particle" : "", "parse-names" : false, "suffix" : "" }, { "dropping-particle" : "", "family" : "Darb-Esfahani", "given" : "S.", "non-dropping-particle" : "", "parse-names" : false, "suffix" : "" }, { "dropping-particle" : "", "family" : "Braicu", "given" : "E. I.", "non-dropping-particle" : "", "parse-names" : false, "suffix" : "" } ], "container-title" : "Cancer Research", "id" : "ITEM-1", "issue" : "4", "issued" : { "date-parts" : [ [ "2016", "2", "15" ] ] }, "page" : "796-804", "title" : "Accumulated Metabolites of Hydroxybutyric Acid Serve as Diagnostic and Prognostic Biomarkers of Ovarian High-Grade Serous Carcinomas", "type" : "article-journal", "volume" : "76" }, "uris" : [ "http://www.mendeley.com/documents/?uuid=7fe980b1-94d2-3949-9cea-255577b47c1b" ] } ], "mendeley" : { "formattedCitation" : "(16)", "plainTextFormattedCitation" : "(16)", "previouslyFormattedCitation" : "[19]" }, "properties" : { "noteIndex" : 0 }, "schema" : "https://github.com/citation-style-language/schema/raw/master/csl-citation.json" }</w:instrText>
            </w:r>
            <w:r w:rsidRPr="00F21AA1">
              <w:rPr>
                <w:rFonts w:ascii="Times New Roman" w:hAnsi="Times New Roman"/>
                <w:sz w:val="24"/>
                <w:szCs w:val="24"/>
              </w:rPr>
              <w:fldChar w:fldCharType="separate"/>
            </w:r>
            <w:r w:rsidRPr="00EC7AF5">
              <w:rPr>
                <w:rFonts w:ascii="Times New Roman" w:hAnsi="Times New Roman"/>
                <w:noProof/>
                <w:sz w:val="24"/>
                <w:szCs w:val="24"/>
                <w:lang w:val="en-US"/>
              </w:rPr>
              <w:t>(16)</w:t>
            </w:r>
            <w:r w:rsidRPr="00F21AA1">
              <w:rPr>
                <w:rFonts w:ascii="Times New Roman" w:hAnsi="Times New Roman"/>
                <w:sz w:val="24"/>
                <w:szCs w:val="24"/>
              </w:rPr>
              <w:fldChar w:fldCharType="end"/>
            </w:r>
          </w:p>
        </w:tc>
        <w:tc>
          <w:tcPr>
            <w:tcW w:w="992"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color w:val="000000"/>
                <w:sz w:val="24"/>
                <w:szCs w:val="24"/>
                <w:shd w:val="clear" w:color="auto" w:fill="FFFFFF"/>
                <w:lang w:val="en-US"/>
              </w:rPr>
              <w:t xml:space="preserve">serum </w:t>
            </w:r>
          </w:p>
        </w:tc>
        <w:tc>
          <w:tcPr>
            <w:tcW w:w="3119"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lang w:val="en-US"/>
              </w:rPr>
              <w:t xml:space="preserve">OC (high grade) vs BOT </w:t>
            </w:r>
            <w:r w:rsidRPr="00F21AA1">
              <w:rPr>
                <w:rFonts w:ascii="Times New Roman" w:hAnsi="Times New Roman"/>
                <w:sz w:val="24"/>
                <w:szCs w:val="24"/>
                <w:lang w:val="en-US"/>
              </w:rPr>
              <w:t>and healthy controls</w:t>
            </w: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r>
      <w:tr w:rsidR="00107AE9" w:rsidRPr="00B40F2F" w:rsidTr="00107AE9">
        <w:trPr>
          <w:trHeight w:val="300"/>
        </w:trPr>
        <w:tc>
          <w:tcPr>
            <w:tcW w:w="2263" w:type="dxa"/>
            <w:shd w:val="clear" w:color="auto" w:fill="auto"/>
            <w:noWrap/>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 xml:space="preserve">Garcia et al. (2011) </w:t>
            </w:r>
            <w:r w:rsidRPr="00F21AA1">
              <w:rPr>
                <w:rFonts w:ascii="Times New Roman" w:hAnsi="Times New Roman"/>
                <w:sz w:val="24"/>
                <w:szCs w:val="24"/>
              </w:rPr>
              <w:fldChar w:fldCharType="begin" w:fldLock="1"/>
            </w:r>
            <w:r>
              <w:rPr>
                <w:rFonts w:ascii="Times New Roman" w:hAnsi="Times New Roman"/>
                <w:sz w:val="24"/>
                <w:szCs w:val="24"/>
                <w:lang w:val="en-US"/>
              </w:rPr>
              <w:instrText>ADDIN CSL_CITATION { "citationItems" : [ { "id" : "ITEM-1", "itemData" : { "DOI" : "10.1021/pr101050d", "ISSN" : "1535-3893", "PMID" : "21218854", "abstract" : "We show that (1)H NMR based metabonomicsof serum allows the diagnosis of early stage I/II epithelial ovarian cancer (EOC) required for successful treatment. Because patient specimens are highly precious, we conducted an exploratory study using a microflow probe requiring only 20 \u03bcL of serum. By use of logistic regression on principal components (PCs) of the NMR profiles, we built a 4-variable model for early stage EOC prediction (training set: 69 EOC specimens, 84 healthy controls; test set: 40 EOC, 44 controls) with operating characteristics estimated for the test set at 80% specificity [95% confidence interval (CI): 65-90%], 63% sensitivity (95% CI: 46-77%), and an area under the Receiver Operator Characteristic Curve (AUC) of 0.796. Independent validation (50 EOC, 50 controls) of the model yielded 95% specificity (95% CI: 86-99.5%), 68% sensitivity (95% CI: 53-80%) and an AUC of 0.949. A test on cancer type specificity showed that women diseased with renal cell carcinoma were not incorrectly diagnosed with EOC, indicating that metabonomics bears significant potential for cancer type-specific diagnosis. Our model can potentially be applied for women at high risk for EOC, and our study promises to contribute to developing a screening protocol for the general population.", "author" : [ { "dropping-particle" : "", "family" : "Garcia", "given" : "Erwin", "non-dropping-particle" : "", "parse-names" : false, "suffix" : "" }, { "dropping-particle" : "", "family" : "Andrews", "given" : "Chris", "non-dropping-particle" : "", "parse-names" : false, "suffix" : "" }, { "dropping-particle" : "", "family" : "Hua", "given" : "Jia", "non-dropping-particle" : "", "parse-names" : false, "suffix" : "" }, { "dropping-particle" : "", "family" : "Kim", "given" : "Hyung L.", "non-dropping-particle" : "", "parse-names" : false, "suffix" : "" }, { "dropping-particle" : "", "family" : "Sukumaran", "given" : "Dinesh K.", "non-dropping-particle" : "", "parse-names" : false, "suffix" : "" }, { "dropping-particle" : "", "family" : "Szyperski", "given" : "Thomas", "non-dropping-particle" : "", "parse-names" : false, "suffix" : "" }, { "dropping-particle" : "", "family" : "Odunsi", "given" : "Kunle", "non-dropping-particle" : "", "parse-names" : false, "suffix" : "" } ], "container-title" : "Journal of Proteome Research", "id" : "ITEM-1", "issue" : "4", "issued" : { "date-parts" : [ [ "2011", "4", "1" ] ] }, "page" : "1765-1771", "title" : "Diagnosis of Early Stage Ovarian Cancer by &lt;sup&gt;1&lt;/sup&gt; H NMR Metabonomics of Serum Explored by Use of a Microflow NMR Probe", "type" : "article-journal", "volume" : "10" }, "uris" : [ "http://www.mendeley.com/documents/?uuid=733ff300-0300-326c-835f-ee88fc89a87a" ] } ], "mendeley" : { "formattedCitation" : "(17)", "plainTextFormattedCitation" : "(17)", "previouslyFormattedCitation" : "[20]" }, "properties" : { "noteIndex" : 0 }, "schema" : "https://github.com/citation-style-language/schema/raw/master/csl-citation.json" }</w:instrText>
            </w:r>
            <w:r w:rsidRPr="00F21AA1">
              <w:rPr>
                <w:rFonts w:ascii="Times New Roman" w:hAnsi="Times New Roman"/>
                <w:sz w:val="24"/>
                <w:szCs w:val="24"/>
              </w:rPr>
              <w:fldChar w:fldCharType="separate"/>
            </w:r>
            <w:r w:rsidRPr="00EC7AF5">
              <w:rPr>
                <w:rFonts w:ascii="Times New Roman" w:hAnsi="Times New Roman"/>
                <w:noProof/>
                <w:sz w:val="24"/>
                <w:szCs w:val="24"/>
                <w:lang w:val="en-US"/>
              </w:rPr>
              <w:t>(17)</w:t>
            </w:r>
            <w:r w:rsidRPr="00F21AA1">
              <w:rPr>
                <w:rFonts w:ascii="Times New Roman" w:hAnsi="Times New Roman"/>
                <w:sz w:val="24"/>
                <w:szCs w:val="24"/>
              </w:rPr>
              <w:fldChar w:fldCharType="end"/>
            </w:r>
          </w:p>
        </w:tc>
        <w:tc>
          <w:tcPr>
            <w:tcW w:w="992"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serum</w:t>
            </w:r>
          </w:p>
        </w:tc>
        <w:tc>
          <w:tcPr>
            <w:tcW w:w="3119"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color w:val="000000"/>
                <w:sz w:val="24"/>
                <w:szCs w:val="20"/>
                <w:shd w:val="clear" w:color="auto" w:fill="FFFFFF"/>
                <w:lang w:val="en-US"/>
              </w:rPr>
              <w:t>OC (early stage FIGO I/II) vs healthy controls </w:t>
            </w: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r>
      <w:tr w:rsidR="00107AE9" w:rsidRPr="00F21AA1" w:rsidTr="00107AE9">
        <w:trPr>
          <w:trHeight w:val="300"/>
        </w:trPr>
        <w:tc>
          <w:tcPr>
            <w:tcW w:w="2263" w:type="dxa"/>
            <w:shd w:val="clear" w:color="auto" w:fill="auto"/>
            <w:noWrap/>
          </w:tcPr>
          <w:p w:rsidR="00107AE9" w:rsidRPr="00F21AA1" w:rsidRDefault="00107AE9" w:rsidP="00676E05">
            <w:pPr>
              <w:spacing w:line="240" w:lineRule="auto"/>
              <w:rPr>
                <w:rFonts w:ascii="Times New Roman" w:hAnsi="Times New Roman"/>
                <w:sz w:val="24"/>
                <w:szCs w:val="24"/>
              </w:rPr>
            </w:pPr>
            <w:proofErr w:type="spellStart"/>
            <w:r w:rsidRPr="00F21AA1">
              <w:rPr>
                <w:rFonts w:ascii="Times New Roman" w:hAnsi="Times New Roman"/>
                <w:sz w:val="24"/>
                <w:szCs w:val="24"/>
                <w:lang w:val="en-US"/>
              </w:rPr>
              <w:t>Bachmayr-Heyda</w:t>
            </w:r>
            <w:proofErr w:type="spellEnd"/>
            <w:r w:rsidRPr="00F21AA1">
              <w:rPr>
                <w:rFonts w:ascii="Times New Roman" w:hAnsi="Times New Roman"/>
                <w:sz w:val="24"/>
                <w:szCs w:val="24"/>
                <w:lang w:val="en-US"/>
              </w:rPr>
              <w:t xml:space="preserve"> 2017 </w:t>
            </w:r>
            <w:r w:rsidRPr="00F21AA1">
              <w:rPr>
                <w:rFonts w:ascii="Times New Roman" w:hAnsi="Times New Roman"/>
                <w:sz w:val="24"/>
                <w:szCs w:val="24"/>
              </w:rPr>
              <w:fldChar w:fldCharType="begin" w:fldLock="1"/>
            </w:r>
            <w:r>
              <w:rPr>
                <w:rFonts w:ascii="Times New Roman" w:hAnsi="Times New Roman"/>
                <w:sz w:val="24"/>
                <w:szCs w:val="24"/>
                <w:lang w:val="en-US"/>
              </w:rPr>
              <w:instrText>ADDIN CSL_CITATION { "citationItems" : [ { "id" : "ITEM-1", "itemData" : { "author" : [ { "dropping-particle" : "", "family" : "Bachmayr-Heyda", "given" : "Anna", "non-dropping-particle" : "", "parse-names" : false, "suffix" : "" }, { "dropping-particle" : "", "family" : "Aust", "given" : "Stefanie", "non-dropping-particle" : "", "parse-names" : false, "suffix" : "" }, { "dropping-particle" : "", "family" : "Auer", "given" : "Katharina", "non-dropping-particle" : "", "parse-names" : false, "suffix" : "" }, { "dropping-particle" : "", "family" : "Meier", "given" : "Samuel M.", "non-dropping-particle" : "", "parse-names" : false, "suffix" : "" }, { "dropping-particle" : "", "family" : "Schmetterer", "given" : "Klaus G.", "non-dropping-particle" : "", "parse-names" : false, "suffix" : "" }, { "dropping-particle" : "", "family" : "Dekan", "given" : "Sabine", "non-dropping-particle" : "", "parse-names" : false, "suffix" : "" }, { "dropping-particle" : "", "family" : "Gerner", "given" : "Christopher", "non-dropping-particle" : "", "parse-names" : false, "suffix" : "" }, { "dropping-particle" : "", "family" : "Pils", "given" : "Dietmar", "non-dropping-particle" : "", "parse-names" : false, "suffix" : "" } ], "container-title" : "Clinical Cancer Research", "id" : "ITEM-1", "issued" : { "date-parts" : [ [ "2017" ] ] }, "title" : "Integrative Systemic and Local Metabolomics with Impact on Survival in High-Grade Serous Ovarian Cancer", "type" : "article-journal" }, "uris" : [ "http://www.mendeley.com/documents/?uuid=c2ba46b0-741d-3de4-b84c-c6c50d9dfcc1" ] } ], "mendeley" : { "formattedCitation" : "(18)", "plainTextFormattedCitation" : "(18)", "previouslyFormattedCitation" : "[21]" }, "properties" : { "noteIndex" : 0 }, "schema" : "https://github.com/citation-style-language/schema/raw/master/csl-citation.json" }</w:instrText>
            </w:r>
            <w:r w:rsidRPr="00F21AA1">
              <w:rPr>
                <w:rFonts w:ascii="Times New Roman" w:hAnsi="Times New Roman"/>
                <w:sz w:val="24"/>
                <w:szCs w:val="24"/>
              </w:rPr>
              <w:fldChar w:fldCharType="separate"/>
            </w:r>
            <w:r w:rsidRPr="00EC7AF5">
              <w:rPr>
                <w:rFonts w:ascii="Times New Roman" w:hAnsi="Times New Roman"/>
                <w:noProof/>
                <w:sz w:val="24"/>
                <w:szCs w:val="24"/>
              </w:rPr>
              <w:t>(18)</w:t>
            </w:r>
            <w:r w:rsidRPr="00F21AA1">
              <w:rPr>
                <w:rFonts w:ascii="Times New Roman" w:hAnsi="Times New Roman"/>
                <w:sz w:val="24"/>
                <w:szCs w:val="24"/>
              </w:rPr>
              <w:fldChar w:fldCharType="end"/>
            </w:r>
          </w:p>
        </w:tc>
        <w:tc>
          <w:tcPr>
            <w:tcW w:w="992" w:type="dxa"/>
            <w:shd w:val="clear" w:color="auto" w:fill="auto"/>
          </w:tcPr>
          <w:p w:rsidR="00107AE9" w:rsidRPr="00F21AA1" w:rsidRDefault="00107AE9" w:rsidP="00676E05">
            <w:pPr>
              <w:spacing w:line="240" w:lineRule="auto"/>
              <w:rPr>
                <w:rFonts w:ascii="Times New Roman" w:hAnsi="Times New Roman"/>
                <w:sz w:val="24"/>
                <w:szCs w:val="24"/>
              </w:rPr>
            </w:pPr>
            <w:r w:rsidRPr="00F21AA1">
              <w:rPr>
                <w:rFonts w:ascii="Times New Roman" w:hAnsi="Times New Roman"/>
                <w:sz w:val="24"/>
                <w:szCs w:val="24"/>
              </w:rPr>
              <w:t>serum</w:t>
            </w:r>
          </w:p>
        </w:tc>
        <w:tc>
          <w:tcPr>
            <w:tcW w:w="3119"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OC ( high-grade serous) vs  healthy controls</w:t>
            </w: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rPr>
            </w:pPr>
            <w:r w:rsidRPr="00F21AA1">
              <w:rPr>
                <w:rFonts w:ascii="Times New Roman" w:hAnsi="Times New Roman"/>
                <w:sz w:val="24"/>
                <w:szCs w:val="24"/>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r w:rsidRPr="00F21AA1">
              <w:rPr>
                <w:rFonts w:ascii="Times New Roman" w:hAnsi="Times New Roman"/>
                <w:sz w:val="24"/>
                <w:szCs w:val="24"/>
              </w:rPr>
              <w:t>↓</w:t>
            </w: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r w:rsidRPr="00F21AA1">
              <w:rPr>
                <w:rFonts w:ascii="Times New Roman" w:hAnsi="Times New Roman"/>
                <w:sz w:val="24"/>
                <w:szCs w:val="24"/>
              </w:rPr>
              <w:t>↓</w:t>
            </w: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r w:rsidRPr="00F21AA1">
              <w:rPr>
                <w:rFonts w:ascii="Times New Roman" w:hAnsi="Times New Roman"/>
                <w:sz w:val="24"/>
                <w:szCs w:val="24"/>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r w:rsidRPr="00F21AA1">
              <w:rPr>
                <w:rFonts w:ascii="Times New Roman" w:hAnsi="Times New Roman"/>
                <w:sz w:val="24"/>
                <w:szCs w:val="24"/>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r>
      <w:tr w:rsidR="00107AE9" w:rsidRPr="00F21AA1" w:rsidTr="00107AE9">
        <w:trPr>
          <w:trHeight w:val="300"/>
        </w:trPr>
        <w:tc>
          <w:tcPr>
            <w:tcW w:w="2263" w:type="dxa"/>
            <w:shd w:val="clear" w:color="auto" w:fill="auto"/>
            <w:noWrap/>
          </w:tcPr>
          <w:p w:rsidR="00107AE9" w:rsidRPr="00F21AA1" w:rsidRDefault="00107AE9" w:rsidP="00676E05">
            <w:pPr>
              <w:spacing w:line="240" w:lineRule="auto"/>
              <w:rPr>
                <w:rFonts w:ascii="Times New Roman" w:hAnsi="Times New Roman"/>
                <w:sz w:val="24"/>
                <w:szCs w:val="24"/>
              </w:rPr>
            </w:pPr>
            <w:proofErr w:type="spellStart"/>
            <w:r w:rsidRPr="00F21AA1">
              <w:rPr>
                <w:rFonts w:ascii="Times New Roman" w:hAnsi="Times New Roman"/>
                <w:sz w:val="24"/>
                <w:szCs w:val="24"/>
              </w:rPr>
              <w:t>Buas</w:t>
            </w:r>
            <w:proofErr w:type="spellEnd"/>
            <w:r w:rsidRPr="00F21AA1">
              <w:rPr>
                <w:rFonts w:ascii="Times New Roman" w:hAnsi="Times New Roman"/>
                <w:sz w:val="24"/>
                <w:szCs w:val="24"/>
              </w:rPr>
              <w:t xml:space="preserve"> et al. (2016) </w:t>
            </w:r>
            <w:r w:rsidRPr="00F21AA1">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"DOI" : "10.1016/j.ygyno.2015.10.021", "ISSN" : "00908258", "PMID" : "26521694", "abstract" : "OBJECTIVE Serous ovarian carcinoma (OC) represents a leading cause of cancer-related death among U.S. women. Non-invasive tools have recently emerged for discriminating benign from malignant ovarian masses, but evaluation remains ongoing, without widespread implementation. In the last decade, metabolomics has matured into a new avenue for cancer biomarker development. Here, we sought to identify novel plasma metabolite biomarkers to distinguish serous ovarian carcinoma and benign serous ovarian tumor. METHODS Using liquid chromatography-mass spectrometry, we conducted global and targeted metabolite profiling of plasma isolated at the time of surgery from 50 serous OC cases and 50 serous benign controls. RESULTS Global lipidomics analysis identified 34 metabolites (of 372 assessed) differing significantly (P&lt;0.05) between cases and controls in both training and testing sets, with 17 candidates satisfying FDR q&lt;0.05, and two reaching Bonferroni significance. Targeted profiling of ~150 aqueous metabolites identified a single amino acid, alanine, as differentially abundant (P&lt;0.05). A multivariate classification model built using the top four lipid metabolites achieved an estimated AUC of 0.85 (SD=0.07) based on Monte Carlo cross validation. Evaluation of a hybrid model incorporating both CA125 and lipid metabolites was suggestive of increased classification accuracy (AUC=0.91, SD=0.05) relative to CA125 alone (AUC=0.87, SD=0.07), particularly at high fixed levels of sensitivity, without reaching significance. CONCLUSIONS Our results provide insight into metabolic changes potentially correlated with the presence of serous OC versus benign ovarian tumor and suggest that plasma metabolites may help differentiate these two conditions.", "author" : [ { "dropping-particle" : "", "family" : "Buas", "given" : "Matthew F.", "non-dropping-particle" : "", "parse-names" : false, "suffix" : "" }, { "dropping-particle" : "", "family" : "Gu", "given" : "Haiwei", "non-dropping-particle" : "", "parse-names" : false, "suffix" : "" }, { "dropping-particle" : "", "family" : "Djukovic", "given" : "Danijel", "non-dropping-particle" : "", "parse-names" : false, "suffix" : "" }, { "dropping-particle" : "", "family" : "Zhu", "given" : "Jiangjiang", "non-dropping-particle" : "", "parse-names" : false, "suffix" : "" }, { "dropping-particle" : "", "family" : "Drescher", "given" : "Charles W.", "non-dropping-particle" : "", "parse-names" : false, "suffix" : "" }, { "dropping-particle" : "", "family" : "Urban", "given" : "Nicole", "non-dropping-particle" : "", "parse-names" : false, "suffix" : "" }, { "dropping-particle" : "", "family" : "Raftery", "given" : "Daniel", "non-dropping-particle" : "", "parse-names" : false, "suffix" : "" }, { "dropping-particle" : "", "family" : "Li", "given" : "Christopher I.", "non-dropping-particle" : "", "parse-names" : false, "suffix" : "" } ], "container-title" : "Gynecologic Oncology", "id" : "ITEM-1", "issue" : "1", "issued" : { "date-parts" : [ [ "2016", "1" ] ] }, "page" : "138-144", "title" : "Identification of novel candidate plasma metabolite biomarkers for distinguishing serous ovarian carcinoma and benign serous ovarian tumors", "type" : "article-journal", "volume" : "140" }, "uris" : [ "http://www.mendeley.com/documents/?uuid=8597b451-3734-3ac6-80c9-9b39929964c3" ] } ], "mendeley" : { "formattedCitation" : "(19)", "plainTextFormattedCitation" : "(19)", "previouslyFormattedCitation" : "[22]" }, "properties" : { "noteIndex" : 0 }, "schema" : "https://github.com/citation-style-language/schema/raw/master/csl-citation.json" }</w:instrText>
            </w:r>
            <w:r w:rsidRPr="00F21AA1">
              <w:rPr>
                <w:rFonts w:ascii="Times New Roman" w:hAnsi="Times New Roman"/>
                <w:sz w:val="24"/>
                <w:szCs w:val="24"/>
              </w:rPr>
              <w:fldChar w:fldCharType="separate"/>
            </w:r>
            <w:r w:rsidRPr="00EC7AF5">
              <w:rPr>
                <w:rFonts w:ascii="Times New Roman" w:hAnsi="Times New Roman"/>
                <w:noProof/>
                <w:sz w:val="24"/>
                <w:szCs w:val="24"/>
              </w:rPr>
              <w:t>(19)</w:t>
            </w:r>
            <w:r w:rsidRPr="00F21AA1">
              <w:rPr>
                <w:rFonts w:ascii="Times New Roman" w:hAnsi="Times New Roman"/>
                <w:sz w:val="24"/>
                <w:szCs w:val="24"/>
              </w:rPr>
              <w:fldChar w:fldCharType="end"/>
            </w:r>
          </w:p>
        </w:tc>
        <w:tc>
          <w:tcPr>
            <w:tcW w:w="992" w:type="dxa"/>
            <w:shd w:val="clear" w:color="auto" w:fill="auto"/>
          </w:tcPr>
          <w:p w:rsidR="00107AE9" w:rsidRPr="00F21AA1" w:rsidRDefault="00107AE9" w:rsidP="00676E05">
            <w:pPr>
              <w:spacing w:line="240" w:lineRule="auto"/>
              <w:rPr>
                <w:rFonts w:ascii="Times New Roman" w:hAnsi="Times New Roman"/>
                <w:sz w:val="24"/>
                <w:szCs w:val="24"/>
              </w:rPr>
            </w:pPr>
            <w:proofErr w:type="spellStart"/>
            <w:r w:rsidRPr="00F21AA1">
              <w:rPr>
                <w:rFonts w:ascii="Times New Roman" w:hAnsi="Times New Roman"/>
                <w:sz w:val="24"/>
                <w:szCs w:val="24"/>
              </w:rPr>
              <w:t>plasma</w:t>
            </w:r>
            <w:proofErr w:type="spellEnd"/>
          </w:p>
        </w:tc>
        <w:tc>
          <w:tcPr>
            <w:tcW w:w="3119"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OC (serous) vs BOT (serous)</w:t>
            </w:r>
          </w:p>
        </w:tc>
        <w:tc>
          <w:tcPr>
            <w:tcW w:w="385" w:type="dxa"/>
          </w:tcPr>
          <w:p w:rsidR="00107AE9" w:rsidRPr="00F21AA1" w:rsidRDefault="00107AE9" w:rsidP="00676E05">
            <w:pPr>
              <w:spacing w:line="240" w:lineRule="auto"/>
              <w:rPr>
                <w:rFonts w:ascii="Times New Roman" w:hAnsi="Times New Roman"/>
                <w:sz w:val="24"/>
                <w:szCs w:val="24"/>
              </w:rPr>
            </w:pPr>
            <w:r w:rsidRPr="00F21AA1">
              <w:rPr>
                <w:rFonts w:ascii="Times New Roman" w:hAnsi="Times New Roman"/>
                <w:sz w:val="24"/>
                <w:szCs w:val="24"/>
              </w:rPr>
              <w:t>↓</w:t>
            </w: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rPr>
            </w:pPr>
          </w:p>
        </w:tc>
        <w:tc>
          <w:tcPr>
            <w:tcW w:w="385" w:type="dxa"/>
          </w:tcPr>
          <w:p w:rsidR="00107AE9" w:rsidRPr="00F21AA1" w:rsidRDefault="00107AE9" w:rsidP="00676E05">
            <w:pPr>
              <w:spacing w:line="240" w:lineRule="auto"/>
              <w:rPr>
                <w:rFonts w:ascii="Times New Roman" w:hAnsi="Times New Roman"/>
                <w:sz w:val="24"/>
                <w:szCs w:val="24"/>
              </w:rPr>
            </w:pPr>
          </w:p>
        </w:tc>
      </w:tr>
      <w:tr w:rsidR="00107AE9" w:rsidRPr="00F21AA1" w:rsidTr="00107AE9">
        <w:trPr>
          <w:trHeight w:val="300"/>
        </w:trPr>
        <w:tc>
          <w:tcPr>
            <w:tcW w:w="2263" w:type="dxa"/>
            <w:shd w:val="clear" w:color="auto" w:fill="auto"/>
            <w:noWrap/>
          </w:tcPr>
          <w:p w:rsidR="00107AE9" w:rsidRPr="00F21AA1" w:rsidRDefault="00107AE9" w:rsidP="00676E05">
            <w:pPr>
              <w:spacing w:line="240" w:lineRule="auto"/>
              <w:rPr>
                <w:rFonts w:ascii="Times New Roman" w:hAnsi="Times New Roman"/>
                <w:sz w:val="24"/>
                <w:szCs w:val="24"/>
                <w:lang w:val="en-US"/>
              </w:rPr>
            </w:pPr>
            <w:proofErr w:type="spellStart"/>
            <w:r w:rsidRPr="00F21AA1">
              <w:rPr>
                <w:rFonts w:ascii="Times New Roman" w:hAnsi="Times New Roman"/>
                <w:sz w:val="24"/>
                <w:szCs w:val="24"/>
              </w:rPr>
              <w:t>Ke</w:t>
            </w:r>
            <w:proofErr w:type="spellEnd"/>
            <w:r w:rsidRPr="00F21AA1">
              <w:rPr>
                <w:rFonts w:ascii="Times New Roman" w:hAnsi="Times New Roman"/>
                <w:sz w:val="24"/>
                <w:szCs w:val="24"/>
              </w:rPr>
              <w:t xml:space="preserve"> et al. (2015) </w:t>
            </w:r>
            <w:r w:rsidRPr="00F21AA1">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"DOI" : "10.1002/ijc.29010", "ISSN" : "00207136", "PMID" : "24895217", "abstract" : "Ovarian cancer is the leading cause of death in gynecologic malignancies. Profiling of endogenous metabolites has potential to identify changes caused by cancer and provide inspiring insights into cancer metabolism. To systematically investigate ovarian cancer metabolism, we performed metabolic profiling of 448 plasma samples related to epithelial ovarian cancer (EOC) based on ultra-performance liquid chromatography mass spectrometry in both positive and negative modes. These unbiased metabolomic profiles could well distinguish EOC from benign ovarian tumor (BOT) and uterine fibroid (UF). Fifty-three metabolites were identified as specific biomarkers for EOC, and this is the first report of piperine, 3-indolepropionic acid, 5-hydroxyindoleacetaldehyde and hydroxyphenyllactate as metabolic biomarkers of EOC. The AUC values of these metabolites for discriminating EOC from BOT/UF and early-stage EOC from BOT/UF were 0.9100/0.9428 and 0.8385/0.8624, respectively. Meanwhile, our metabolites were able to distinguish early-stage EOC from late-stage EOC with an AUC of 0.8801. Importantly, analysis of dysregulated metabolic pathways extends our current understanding of EOC metabolism. Metabolic pathways in EOC patients are mainly characterized by abnormal phospholipid metabolism, altered l-tryptophan catabolism, aggressive fatty acid \u03b2-oxidation and aberrant metabolism of piperidine derivatives. Together, these metabolic pathways provide a foundation to support cancer development and progression. In conclusion, our large-scale plasma metabolomics study yielded fundamental insights into dysregulated metabolism in ovarian cancer, which could facilitate clinical diagnosis, therapy, prognosis and shed new lights on ovarian cancer pathogenesis.", "author" : [ { "dropping-particle" : "", "family" : "Ke", "given" : "Chaofu", "non-dropping-particle" : "", "parse-names" : false, "suffix" : "" }, { "dropping-particle" : "", "family" : "Hou", "given" : "Yan", "non-dropping-particle" : "", "parse-names" : false, "suffix" : "" }, { "dropping-particle" : "", "family" : "Zhang", "given" : "Haiyu", "non-dropping-particle" : "", "parse-names" : false, "suffix" : "" }, { "dropping-particle" : "", "family" : "Fan", "given" : "Lijun", "non-dropping-particle" : "", "parse-names" : false, "suffix" : "" }, { "dropping-particle" : "", "family" : "Ge", "given" : "Tingting", "non-dropping-particle" : "", "parse-names" : false, "suffix" : "" }, { "dropping-particle" : "", "family" : "Guo", "given" : "Bing", "non-dropping-particle" : "", "parse-names" : false, "suffix" : "" }, { "dropping-particle" : "", "family" : "Zhang", "given" : "Fan", "non-dropping-particle" : "", "parse-names" : false, "suffix" : "" }, { "dropping-particle" : "", "family" : "Yang", "given" : "Kai", "non-dropping-particle" : "", "parse-names" : false, "suffix" : "" }, { "dropping-particle" : "", "family" : "Wang", "given" : "Jingtao", "non-dropping-particle" : "", "parse-names" : false, "suffix" : "" }, { "dropping-particle" : "", "family" : "Lou", "given" : "Ge", "non-dropping-particle" : "", "parse-names" : false, "suffix" : "" }, { "dropping-particle" : "", "family" : "Li", "given" : "Kang", "non-dropping-particle" : "", "parse-names" : false, "suffix" : "" } ], "container-title" : "International Journal of Cancer", "id" : "ITEM-1", "issue" : "3", "issued" : { "date-parts" : [ [ "2014", "6", "1" ] ] }, "page" : "n/a-n/a", "title" : "Large-scale profiling of metabolic dysregulation in ovarian cancer", "type" : "article-journal", "volume" : "136" }, "uris" : [ "http://www.mendeley.com/documents/?uuid=1a98df1c-d660-3db7-929a-6d947fcbf4f3" ] } ], "mendeley" : { "formattedCitation" : "(20)", "plainTextFormattedCitation" : "(20)", "previouslyFormattedCitation" : "[23]" }, "properties" : { "noteIndex" : 0 }, "schema" : "https://github.com/citation-style-language/schema/raw/master/csl-citation.json" }</w:instrText>
            </w:r>
            <w:r w:rsidRPr="00F21AA1">
              <w:rPr>
                <w:rFonts w:ascii="Times New Roman" w:hAnsi="Times New Roman"/>
                <w:sz w:val="24"/>
                <w:szCs w:val="24"/>
              </w:rPr>
              <w:fldChar w:fldCharType="separate"/>
            </w:r>
            <w:r w:rsidRPr="00EC7AF5">
              <w:rPr>
                <w:rFonts w:ascii="Times New Roman" w:hAnsi="Times New Roman"/>
                <w:noProof/>
                <w:sz w:val="24"/>
                <w:szCs w:val="24"/>
                <w:lang w:val="en-US"/>
              </w:rPr>
              <w:t>(20)</w:t>
            </w:r>
            <w:r w:rsidRPr="00F21AA1">
              <w:rPr>
                <w:rFonts w:ascii="Times New Roman" w:hAnsi="Times New Roman"/>
                <w:sz w:val="24"/>
                <w:szCs w:val="24"/>
              </w:rPr>
              <w:fldChar w:fldCharType="end"/>
            </w:r>
          </w:p>
        </w:tc>
        <w:tc>
          <w:tcPr>
            <w:tcW w:w="992"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plasma</w:t>
            </w:r>
          </w:p>
        </w:tc>
        <w:tc>
          <w:tcPr>
            <w:tcW w:w="3119"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OC vs BOT/uterine fibromas</w:t>
            </w: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r>
      <w:tr w:rsidR="00107AE9" w:rsidRPr="00F21AA1" w:rsidTr="00107AE9">
        <w:trPr>
          <w:trHeight w:val="300"/>
        </w:trPr>
        <w:tc>
          <w:tcPr>
            <w:tcW w:w="2263" w:type="dxa"/>
            <w:shd w:val="clear" w:color="auto" w:fill="auto"/>
            <w:noWrap/>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 xml:space="preserve">Miyagi et al. 2017 </w:t>
            </w:r>
            <w:r w:rsidRPr="00F21AA1">
              <w:rPr>
                <w:rFonts w:ascii="Times New Roman" w:hAnsi="Times New Roman"/>
                <w:sz w:val="24"/>
                <w:szCs w:val="24"/>
                <w:lang w:val="en-US"/>
              </w:rPr>
              <w:fldChar w:fldCharType="begin" w:fldLock="1"/>
            </w:r>
            <w:r>
              <w:rPr>
                <w:rFonts w:ascii="Times New Roman" w:hAnsi="Times New Roman"/>
                <w:sz w:val="24"/>
                <w:szCs w:val="24"/>
                <w:lang w:val="en-US"/>
              </w:rPr>
              <w:instrText>ADDIN CSL_CITATION { "citationItems" : [ { "id" : "ITEM-1", "itemData" : { "DOI" : "10.1007/s10147-016-1035-4", "ISSN" : "1341-9625", "PMID" : "27623814", "abstract" : "BACKGROUND We previously developed a new plasma amino acid profile-based index (API) to detect ovarian, cervical, and endometrial cancers. Here, we compared API to serum cancer antigen 125 (CA125) for distinguishing epithelial ovarian malignant tumors from benign growths. METHODS API and CA125 were measured preoperatively in patients with ovarian tumors, which were later classified into 59 epithelial ovarian cancers, 21 epithelial borderline malignant tumors, and 97 benign tumors including 40 endometriotic cysts. The diagnostic accuracy and cutoff points of API were evaluated using receiver operating characteristic (ROC) curves. RESULTS The area under the ROC curves showed the equivalent performance of API and CA125 to discriminate between malignant/borderline malignant and benign tumors (both 0.77), and API was superior to CA125 for discrimination between malignant/borderline malignant lesions and endometriotic cysts (API, 0.75 vs. CA125, 0.59; p\u00a0&lt;\u00a00.05). At the API cutoff level of 6.0, API and CA125 had equal positive rates of detecting cancers and borderline malignancies (API, 0.71 vs. CA125, 0.74; p\u00a0=\u00a00.84) or cancers alone (API, 0.73 vs. CA125, 0.85; p\u00a0=\u00a00.12). However, API had a significantly lower detection rate of benign endometriotic cysts (0.35; 95\u00a0% CI, 0.21-0.52) compared with that of CA125 (0.65; 95\u00a0% CI, 0.48-0.79) (p\u00a0&lt;\u00a00.05). CONCLUSIONS API is an effective new tumor marker to detect ovarian cancers and borderline malignancies with a low false-positive rate for endometriosis. A large-scale prospective clinical study using the cutoff value of API determined in this study is warranted to validate API for practical clinical use.", "author" : [ { "dropping-particle" : "", "family" : "Miyagi", "given" : "Etsuko", "non-dropping-particle" : "", "parse-names" : false, "suffix" : "" }, { "dropping-particle" : "", "family" : "Maruyama", "given" : "Yasuyo", "non-dropping-particle" : "", "parse-names" : false, "suffix" : "" }, { "dropping-particle" : "", "family" : "Mogami", "given" : "Tae", "non-dropping-particle" : "", "parse-names" : false, "suffix" : "" }, { "dropping-particle" : "", "family" : "Numazaki", "given" : "Reiko", "non-dropping-particle" : "", "parse-names" : false, "suffix" : "" }, { "dropping-particle" : "", "family" : "Ikeda", "given" : "Atsuko", "non-dropping-particle" : "", "parse-names" : false, "suffix" : "" }, { "dropping-particle" : "", "family" : "Yamamoto", "given" : "Hiroshi", "non-dropping-particle" : "", "parse-names" : false, "suffix" : "" }, { "dropping-particle" : "", "family" : "Hirahara", "given" : "Fumiki", "non-dropping-particle" : "", "parse-names" : false, "suffix" : "" } ], "container-title" : "International Journal of Clinical Oncology", "id" : "ITEM-1", "issue" : "1", "issued" : { "date-parts" : [ [ "2017", "2", "13" ] ] }, "page" : "118-125", "title" : "Comparison of plasma amino acid profile-based index and CA125 in the diagnosis of epithelial ovarian cancers and borderline malignant tumors", "type" : "article-journal", "volume" : "22" }, "uris" : [ "http://www.mendeley.com/documents/?uuid=180fb7e9-fa30-3155-b09e-02805a061e23" ] } ], "mendeley" : { "formattedCitation" : "(21)", "plainTextFormattedCitation" : "(21)", "previouslyFormattedCitation" : "[24]" }, "properties" : { "noteIndex" : 0 }, "schema" : "https://github.com/citation-style-language/schema/raw/master/csl-citation.json" }</w:instrText>
            </w:r>
            <w:r w:rsidRPr="00F21AA1">
              <w:rPr>
                <w:rFonts w:ascii="Times New Roman" w:hAnsi="Times New Roman"/>
                <w:sz w:val="24"/>
                <w:szCs w:val="24"/>
                <w:lang w:val="en-US"/>
              </w:rPr>
              <w:fldChar w:fldCharType="separate"/>
            </w:r>
            <w:r w:rsidRPr="00EC7AF5">
              <w:rPr>
                <w:rFonts w:ascii="Times New Roman" w:hAnsi="Times New Roman"/>
                <w:noProof/>
                <w:sz w:val="24"/>
                <w:szCs w:val="24"/>
                <w:lang w:val="en-US"/>
              </w:rPr>
              <w:t>(21)</w:t>
            </w:r>
            <w:r w:rsidRPr="00F21AA1">
              <w:rPr>
                <w:rFonts w:ascii="Times New Roman" w:hAnsi="Times New Roman"/>
                <w:sz w:val="24"/>
                <w:szCs w:val="24"/>
                <w:lang w:val="en-US"/>
              </w:rPr>
              <w:fldChar w:fldCharType="end"/>
            </w:r>
          </w:p>
        </w:tc>
        <w:tc>
          <w:tcPr>
            <w:tcW w:w="992"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plasma</w:t>
            </w:r>
          </w:p>
        </w:tc>
        <w:tc>
          <w:tcPr>
            <w:tcW w:w="3119" w:type="dxa"/>
          </w:tcPr>
          <w:p w:rsidR="00107AE9" w:rsidRPr="00F21AA1" w:rsidRDefault="00107AE9" w:rsidP="00676E05">
            <w:pPr>
              <w:spacing w:line="240" w:lineRule="auto"/>
              <w:rPr>
                <w:rFonts w:ascii="Times New Roman" w:hAnsi="Times New Roman"/>
                <w:sz w:val="24"/>
                <w:szCs w:val="24"/>
                <w:lang w:val="en-US"/>
              </w:rPr>
            </w:pPr>
            <w:proofErr w:type="spellStart"/>
            <w:r w:rsidRPr="00F21AA1">
              <w:rPr>
                <w:rFonts w:ascii="Times New Roman" w:hAnsi="Times New Roman"/>
                <w:lang w:val="en-US"/>
              </w:rPr>
              <w:t>OC+borderline</w:t>
            </w:r>
            <w:proofErr w:type="spellEnd"/>
            <w:r w:rsidRPr="00F21AA1">
              <w:rPr>
                <w:rFonts w:ascii="Times New Roman" w:hAnsi="Times New Roman"/>
                <w:lang w:val="en-US"/>
              </w:rPr>
              <w:t xml:space="preserve"> tumors vs BOT</w:t>
            </w: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r>
      <w:tr w:rsidR="00107AE9" w:rsidRPr="00B40F2F" w:rsidTr="00107AE9">
        <w:trPr>
          <w:trHeight w:val="300"/>
        </w:trPr>
        <w:tc>
          <w:tcPr>
            <w:tcW w:w="2263" w:type="dxa"/>
            <w:shd w:val="clear" w:color="auto" w:fill="auto"/>
            <w:noWrap/>
            <w:hideMark/>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 xml:space="preserve">Zhang et al. 2012 </w:t>
            </w:r>
            <w:r w:rsidRPr="00F21AA1">
              <w:rPr>
                <w:rFonts w:ascii="Times New Roman" w:hAnsi="Times New Roman"/>
                <w:sz w:val="24"/>
                <w:szCs w:val="24"/>
              </w:rPr>
              <w:fldChar w:fldCharType="begin" w:fldLock="1"/>
            </w:r>
            <w:r>
              <w:rPr>
                <w:rFonts w:ascii="Times New Roman" w:hAnsi="Times New Roman"/>
                <w:sz w:val="24"/>
                <w:szCs w:val="24"/>
                <w:lang w:val="en-US"/>
              </w:rPr>
              <w:instrText>ADDIN CSL_CITATION { "citationItems" : [ { "id" : "ITEM-1", "itemData" : { "DOI" : "10.1016/j.cca.2012.01.026", "ISSN" : "00098981", "PMID" : "22309680", "abstract" : "BACKGROUND Discrimination between epithelial ovarian cancer (EOC) and benign ovarian tumor (BOT) has always been difficult in clinical practice. We investigated the application of metabolomics in distinguishing EOC and BOT and tried to discover valuable biomarkers. METHODS Plasma metabolomic profiling was performed using ultra-performance liquid chromatography mass spectrometry (UPLC/MS). Partial least-squares discriminant analysis was employed to classify EOC and BOT, and reveal their metabolic differences. The area under the receiver-operating characteristic curve (AUC) was utilized to evaluate the predictive performance of the metabolic profiles for external validation set. RESULTS The metabolomic profiles consisting of 535 metabolites revealed a clear separation between EOC and BOT, with AUC of 0.86 for the external validation set. 6 metabolic biomarkers were identified, and the plasma concentrations of the 4 ascertained biomarkers (L-tryptophan, LysoPC(18:3), LysoPC(14:0), and 2-Piperidinone) were lower in EOC patients than those in BOT patients. Among them, tryptophan and LysoPC have been suspected to participate in cancer progression, and 2-Piperidinone might be a novel biomarker for EOC. CONCLUSIONS Metabolomics could be used to discriminate EOC from BOT in clinical practice, and the identified metabolic biomarkers might be important on investigating the biological mechanisms of EOC.", "author" : [ { "dropping-particle" : "", "family" : "Zhang", "given" : "Tao", "non-dropping-particle" : "", "parse-names" : false, "suffix" : "" }, { "dropping-particle" : "", "family" : "Wu", "given" : "Xiaoyan", "non-dropping-particle" : "", "parse-names" : false, "suffix" : "" }, { "dropping-particle" : "", "family" : "Yin", "given" : "Mingzhu", "non-dropping-particle" : "", "parse-names" : false, "suffix" : "" }, { "dropping-particle" : "", "family" : "Fan", "given" : "Lijun", "non-dropping-particle" : "", "parse-names" : false, "suffix" : "" }, { "dropping-particle" : "", "family" : "Zhang", "given" : "Haiyu", "non-dropping-particle" : "", "parse-names" : false, "suffix" : "" }, { "dropping-particle" : "", "family" : "Zhao", "given" : "Falin", "non-dropping-particle" : "", "parse-names" : false, "suffix" : "" }, { "dropping-particle" : "", "family" : "Zhang", "given" : "Wang", "non-dropping-particle" : "", "parse-names" : false, "suffix" : "" }, { "dropping-particle" : "", "family" : "Ke", "given" : "Chaofu", "non-dropping-particle" : "", "parse-names" : false, "suffix" : "" }, { "dropping-particle" : "", "family" : "Zhang", "given" : "Guangming", "non-dropping-particle" : "", "parse-names" : false, "suffix" : "" }, { "dropping-particle" : "", "family" : "Hou", "given" : "Yan", "non-dropping-particle" : "", "parse-names" : false, "suffix" : "" }, { "dropping-particle" : "", "family" : "Zhou", "given" : "Xiaohua", "non-dropping-particle" : "", "parse-names" : false, "suffix" : "" }, { "dropping-particle" : "", "family" : "Lou", "given" : "Ge", "non-dropping-particle" : "", "parse-names" : false, "suffix" : "" }, { "dropping-particle" : "", "family" : "Li", "given" : "Kang", "non-dropping-particle" : "", "parse-names" : false, "suffix" : "" } ], "container-title" : "Clinica Chimica Acta", "id" : "ITEM-1", "issue" : "9-10", "issued" : { "date-parts" : [ [ "2012", "5", "18" ] ] }, "page" : "861-868", "title" : "Discrimination between malignant and benign ovarian tumors by plasma metabolomic profiling using ultra performance liquid chromatography/mass spectrometry", "type" : "article-journal", "volume" : "413" }, "uris" : [ "http://www.mendeley.com/documents/?uuid=645cf273-6db4-37fe-b197-4aaa81cfd025" ] } ], "mendeley" : { "formattedCitation" : "(22)", "plainTextFormattedCitation" : "(22)", "previouslyFormattedCitation" : "[25]" }, "properties" : { "noteIndex" : 0 }, "schema" : "https://github.com/citation-style-language/schema/raw/master/csl-citation.json" }</w:instrText>
            </w:r>
            <w:r w:rsidRPr="00F21AA1">
              <w:rPr>
                <w:rFonts w:ascii="Times New Roman" w:hAnsi="Times New Roman"/>
                <w:sz w:val="24"/>
                <w:szCs w:val="24"/>
              </w:rPr>
              <w:fldChar w:fldCharType="separate"/>
            </w:r>
            <w:r w:rsidRPr="00EC7AF5">
              <w:rPr>
                <w:rFonts w:ascii="Times New Roman" w:hAnsi="Times New Roman"/>
                <w:noProof/>
                <w:sz w:val="24"/>
                <w:szCs w:val="24"/>
                <w:lang w:val="en-US"/>
              </w:rPr>
              <w:t>(22)</w:t>
            </w:r>
            <w:r w:rsidRPr="00F21AA1">
              <w:rPr>
                <w:rFonts w:ascii="Times New Roman" w:hAnsi="Times New Roman"/>
                <w:sz w:val="24"/>
                <w:szCs w:val="24"/>
              </w:rPr>
              <w:fldChar w:fldCharType="end"/>
            </w:r>
          </w:p>
        </w:tc>
        <w:tc>
          <w:tcPr>
            <w:tcW w:w="992"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plasma</w:t>
            </w:r>
          </w:p>
        </w:tc>
        <w:tc>
          <w:tcPr>
            <w:tcW w:w="3119" w:type="dxa"/>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OC vs BOT</w:t>
            </w: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shd w:val="clear" w:color="auto" w:fill="auto"/>
          </w:tcPr>
          <w:p w:rsidR="00107AE9" w:rsidRPr="00F21AA1" w:rsidRDefault="00107AE9" w:rsidP="00676E05">
            <w:pPr>
              <w:spacing w:line="240" w:lineRule="auto"/>
              <w:rPr>
                <w:rFonts w:ascii="Times New Roman" w:hAnsi="Times New Roman"/>
                <w:sz w:val="24"/>
                <w:szCs w:val="24"/>
                <w:lang w:val="en-US"/>
              </w:rPr>
            </w:pPr>
          </w:p>
        </w:tc>
        <w:tc>
          <w:tcPr>
            <w:tcW w:w="385" w:type="dxa"/>
          </w:tcPr>
          <w:p w:rsidR="00107AE9" w:rsidRPr="00F21AA1" w:rsidRDefault="00107AE9" w:rsidP="00676E05">
            <w:pPr>
              <w:spacing w:line="240" w:lineRule="auto"/>
              <w:rPr>
                <w:rFonts w:ascii="Times New Roman" w:hAnsi="Times New Roman"/>
                <w:sz w:val="24"/>
                <w:szCs w:val="24"/>
                <w:lang w:val="en-US"/>
              </w:rPr>
            </w:pPr>
          </w:p>
        </w:tc>
      </w:tr>
      <w:tr w:rsidR="00107AE9" w:rsidRPr="00B40F2F" w:rsidTr="00107AE9">
        <w:trPr>
          <w:trHeight w:val="300"/>
        </w:trPr>
        <w:tc>
          <w:tcPr>
            <w:tcW w:w="2263" w:type="dxa"/>
            <w:shd w:val="clear" w:color="auto" w:fill="D9D9D9" w:themeFill="background1" w:themeFillShade="D9"/>
            <w:noWrap/>
          </w:tcPr>
          <w:p w:rsidR="00107AE9" w:rsidRPr="00F21AA1" w:rsidRDefault="00107AE9" w:rsidP="00676E05">
            <w:pPr>
              <w:spacing w:line="240" w:lineRule="auto"/>
              <w:rPr>
                <w:rFonts w:ascii="Times New Roman" w:hAnsi="Times New Roman"/>
                <w:b/>
                <w:sz w:val="24"/>
                <w:szCs w:val="24"/>
                <w:lang w:val="en-US"/>
              </w:rPr>
            </w:pPr>
            <w:r w:rsidRPr="00F21AA1">
              <w:rPr>
                <w:rFonts w:ascii="Times New Roman" w:hAnsi="Times New Roman"/>
                <w:b/>
                <w:sz w:val="24"/>
                <w:szCs w:val="24"/>
                <w:lang w:val="en-US"/>
              </w:rPr>
              <w:t>Our study</w:t>
            </w:r>
          </w:p>
        </w:tc>
        <w:tc>
          <w:tcPr>
            <w:tcW w:w="992"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r w:rsidRPr="00F21AA1">
              <w:rPr>
                <w:rFonts w:ascii="Times New Roman" w:hAnsi="Times New Roman"/>
                <w:b/>
                <w:sz w:val="24"/>
                <w:szCs w:val="24"/>
                <w:lang w:val="en-US"/>
              </w:rPr>
              <w:t>serum</w:t>
            </w:r>
          </w:p>
        </w:tc>
        <w:tc>
          <w:tcPr>
            <w:tcW w:w="3119"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proofErr w:type="spellStart"/>
            <w:r w:rsidRPr="00F21AA1">
              <w:rPr>
                <w:rFonts w:ascii="Times New Roman" w:hAnsi="Times New Roman"/>
                <w:b/>
                <w:sz w:val="24"/>
                <w:szCs w:val="24"/>
                <w:lang w:val="en-US"/>
              </w:rPr>
              <w:t>OC+borderline</w:t>
            </w:r>
            <w:proofErr w:type="spellEnd"/>
            <w:r w:rsidRPr="00F21AA1">
              <w:rPr>
                <w:rFonts w:ascii="Times New Roman" w:hAnsi="Times New Roman"/>
                <w:b/>
                <w:sz w:val="24"/>
                <w:szCs w:val="24"/>
                <w:lang w:val="en-US"/>
              </w:rPr>
              <w:t xml:space="preserve"> tumors vs BOT</w:t>
            </w: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r w:rsidRPr="00F21AA1">
              <w:rPr>
                <w:rFonts w:ascii="Times New Roman" w:hAnsi="Times New Roman"/>
                <w:sz w:val="24"/>
                <w:szCs w:val="24"/>
                <w:lang w:val="en-US"/>
              </w:rPr>
              <w:t>↓</w:t>
            </w: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r w:rsidRPr="00F21AA1">
              <w:rPr>
                <w:rFonts w:ascii="Times New Roman" w:hAnsi="Times New Roman"/>
                <w:sz w:val="24"/>
                <w:szCs w:val="24"/>
                <w:lang w:val="en-US"/>
              </w:rPr>
              <w:t>↓</w:t>
            </w: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r w:rsidRPr="00F21AA1">
              <w:rPr>
                <w:rFonts w:ascii="Times New Roman" w:hAnsi="Times New Roman"/>
                <w:sz w:val="24"/>
                <w:szCs w:val="24"/>
                <w:lang w:val="en-US"/>
              </w:rPr>
              <w:t>↑</w:t>
            </w: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r w:rsidRPr="00F21AA1">
              <w:rPr>
                <w:rFonts w:ascii="Times New Roman" w:hAnsi="Times New Roman"/>
                <w:sz w:val="24"/>
                <w:szCs w:val="24"/>
                <w:lang w:val="en-US"/>
              </w:rPr>
              <w:t>↓</w:t>
            </w: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sz w:val="24"/>
                <w:szCs w:val="24"/>
                <w:lang w:val="en-US"/>
              </w:rPr>
            </w:pPr>
            <w:r w:rsidRPr="00F21AA1">
              <w:rPr>
                <w:rFonts w:ascii="Times New Roman" w:hAnsi="Times New Roman"/>
                <w:sz w:val="24"/>
                <w:szCs w:val="24"/>
                <w:lang w:val="en-US"/>
              </w:rPr>
              <w:t>↓</w:t>
            </w: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r w:rsidRPr="00F21AA1">
              <w:rPr>
                <w:rFonts w:ascii="Times New Roman" w:hAnsi="Times New Roman"/>
                <w:sz w:val="24"/>
                <w:szCs w:val="24"/>
                <w:lang w:val="en-US"/>
              </w:rPr>
              <w:t>↑</w:t>
            </w: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r w:rsidRPr="00F21AA1">
              <w:rPr>
                <w:rFonts w:ascii="Times New Roman" w:hAnsi="Times New Roman"/>
                <w:sz w:val="24"/>
                <w:szCs w:val="24"/>
                <w:lang w:val="en-US"/>
              </w:rPr>
              <w:t>↑</w:t>
            </w: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r w:rsidRPr="00F21AA1">
              <w:rPr>
                <w:rFonts w:ascii="Times New Roman" w:hAnsi="Times New Roman"/>
                <w:sz w:val="24"/>
                <w:szCs w:val="24"/>
                <w:lang w:val="en-US"/>
              </w:rPr>
              <w:t>↑</w:t>
            </w: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r w:rsidRPr="00F21AA1">
              <w:rPr>
                <w:rFonts w:ascii="Times New Roman" w:hAnsi="Times New Roman"/>
                <w:sz w:val="24"/>
                <w:szCs w:val="24"/>
                <w:lang w:val="en-US"/>
              </w:rPr>
              <w:t>↓</w:t>
            </w: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r w:rsidRPr="00F21AA1">
              <w:rPr>
                <w:rFonts w:ascii="Times New Roman" w:hAnsi="Times New Roman"/>
                <w:sz w:val="24"/>
                <w:szCs w:val="24"/>
                <w:lang w:val="en-US"/>
              </w:rPr>
              <w:t>↓</w:t>
            </w: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b/>
                <w:sz w:val="24"/>
                <w:szCs w:val="24"/>
                <w:lang w:val="en-US"/>
              </w:rPr>
            </w:pPr>
          </w:p>
        </w:tc>
        <w:tc>
          <w:tcPr>
            <w:tcW w:w="385" w:type="dxa"/>
            <w:shd w:val="clear" w:color="auto" w:fill="D9D9D9" w:themeFill="background1" w:themeFillShade="D9"/>
          </w:tcPr>
          <w:p w:rsidR="00107AE9" w:rsidRPr="00F21AA1" w:rsidRDefault="00107AE9" w:rsidP="00676E05">
            <w:pPr>
              <w:spacing w:line="240" w:lineRule="auto"/>
              <w:rPr>
                <w:rFonts w:ascii="Times New Roman" w:hAnsi="Times New Roman"/>
                <w:sz w:val="24"/>
                <w:szCs w:val="24"/>
                <w:lang w:val="en-US"/>
              </w:rPr>
            </w:pPr>
          </w:p>
        </w:tc>
      </w:tr>
    </w:tbl>
    <w:p w:rsidR="00151548" w:rsidRPr="00107AE9" w:rsidRDefault="00151548">
      <w:pPr>
        <w:rPr>
          <w:lang w:val="en-US"/>
        </w:rPr>
      </w:pPr>
    </w:p>
    <w:sectPr w:rsidR="00151548" w:rsidRPr="00107AE9" w:rsidSect="00107AE9">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AE9"/>
    <w:rsid w:val="00107AE9"/>
    <w:rsid w:val="00151548"/>
    <w:rsid w:val="004F6C69"/>
    <w:rsid w:val="00B40F2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39AEEE-4496-4CF3-AFEF-31894AF2B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rsid w:val="00107AE9"/>
    <w:pPr>
      <w:suppressAutoHyphens/>
      <w:autoSpaceDN w:val="0"/>
      <w:spacing w:line="244" w:lineRule="auto"/>
      <w:textAlignment w:val="baseline"/>
    </w:pPr>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107AE9"/>
    <w:pPr>
      <w:autoSpaceDN w:val="0"/>
      <w:spacing w:after="0" w:line="240" w:lineRule="auto"/>
      <w:textAlignment w:val="baseline"/>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4254</Words>
  <Characters>25524</Characters>
  <Application>Microsoft Office Word</Application>
  <DocSecurity>0</DocSecurity>
  <Lines>212</Lines>
  <Paragraphs>59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Lemańska</dc:creator>
  <cp:keywords/>
  <dc:description/>
  <cp:lastModifiedBy>Agnieszka Lemańska</cp:lastModifiedBy>
  <cp:revision>2</cp:revision>
  <dcterms:created xsi:type="dcterms:W3CDTF">2020-11-13T11:42:00Z</dcterms:created>
  <dcterms:modified xsi:type="dcterms:W3CDTF">2020-11-13T11:47:00Z</dcterms:modified>
</cp:coreProperties>
</file>