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823EA" w14:textId="2A95739E" w:rsidR="00F515FB" w:rsidRPr="006517EA" w:rsidRDefault="00F515FB" w:rsidP="00F515FB">
      <w:pPr>
        <w:jc w:val="center"/>
        <w:rPr>
          <w:b/>
          <w:sz w:val="28"/>
          <w:szCs w:val="32"/>
        </w:rPr>
      </w:pPr>
      <w:r w:rsidRPr="006517EA">
        <w:rPr>
          <w:b/>
          <w:i/>
          <w:sz w:val="28"/>
          <w:szCs w:val="32"/>
        </w:rPr>
        <w:t>Science</w:t>
      </w:r>
      <w:r w:rsidRPr="006517EA">
        <w:rPr>
          <w:b/>
          <w:sz w:val="28"/>
          <w:szCs w:val="32"/>
        </w:rPr>
        <w:t xml:space="preserve"> </w:t>
      </w:r>
      <w:r>
        <w:rPr>
          <w:b/>
          <w:sz w:val="28"/>
          <w:szCs w:val="32"/>
        </w:rPr>
        <w:t>Supplementary Materials</w:t>
      </w:r>
    </w:p>
    <w:p w14:paraId="52B2DE14" w14:textId="77777777" w:rsidR="008218C4" w:rsidRDefault="008218C4" w:rsidP="004779CB">
      <w:pPr>
        <w:rPr>
          <w:szCs w:val="24"/>
        </w:rPr>
      </w:pPr>
    </w:p>
    <w:p w14:paraId="466E6909" w14:textId="77777777" w:rsidR="00F125EE" w:rsidRDefault="00F125EE" w:rsidP="00FA1481">
      <w:pPr>
        <w:jc w:val="center"/>
        <w:rPr>
          <w:sz w:val="36"/>
          <w:szCs w:val="36"/>
        </w:rPr>
        <w:sectPr w:rsidR="00F125EE" w:rsidSect="00E853D5">
          <w:headerReference w:type="default" r:id="rId7"/>
          <w:footerReference w:type="even" r:id="rId8"/>
          <w:footerReference w:type="default" r:id="rId9"/>
          <w:footerReference w:type="first" r:id="rId10"/>
          <w:pgSz w:w="12240" w:h="15840"/>
          <w:pgMar w:top="1440" w:right="1440" w:bottom="1440" w:left="1440" w:header="720" w:footer="720" w:gutter="0"/>
          <w:pgNumType w:start="1"/>
          <w:cols w:space="720"/>
          <w:docGrid w:linePitch="360"/>
        </w:sectPr>
      </w:pPr>
    </w:p>
    <w:p w14:paraId="14C05F61" w14:textId="22EF8EC4" w:rsidR="00FA1481" w:rsidRDefault="00F515FB" w:rsidP="00FA1481">
      <w:pPr>
        <w:jc w:val="center"/>
        <w:rPr>
          <w:sz w:val="36"/>
          <w:szCs w:val="36"/>
        </w:rPr>
      </w:pPr>
      <w:r>
        <w:rPr>
          <w:noProof/>
          <w:sz w:val="36"/>
          <w:szCs w:val="36"/>
        </w:rPr>
        <w:lastRenderedPageBreak/>
        <w:drawing>
          <wp:inline distT="0" distB="0" distL="0" distR="0" wp14:anchorId="47C9ED88" wp14:editId="5C49EB57">
            <wp:extent cx="1839250" cy="80467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ience-AAAS-stacked-colo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39250" cy="804672"/>
                    </a:xfrm>
                    <a:prstGeom prst="rect">
                      <a:avLst/>
                    </a:prstGeom>
                  </pic:spPr>
                </pic:pic>
              </a:graphicData>
            </a:graphic>
          </wp:inline>
        </w:drawing>
      </w:r>
    </w:p>
    <w:p w14:paraId="3317CF4D" w14:textId="77777777" w:rsidR="00EC7C85" w:rsidRDefault="00EC7C85" w:rsidP="00F125EE">
      <w:pPr>
        <w:rPr>
          <w:sz w:val="36"/>
          <w:szCs w:val="36"/>
        </w:rPr>
      </w:pPr>
    </w:p>
    <w:p w14:paraId="33788641" w14:textId="77777777" w:rsidR="00F125EE" w:rsidRDefault="00F125EE" w:rsidP="00FA1481">
      <w:pPr>
        <w:jc w:val="center"/>
        <w:rPr>
          <w:sz w:val="36"/>
          <w:szCs w:val="36"/>
        </w:rPr>
      </w:pPr>
    </w:p>
    <w:p w14:paraId="31C337D1" w14:textId="77777777" w:rsidR="00D04BCF" w:rsidRPr="003B40E6" w:rsidRDefault="00BB2D2A" w:rsidP="00FA1481">
      <w:pPr>
        <w:jc w:val="center"/>
        <w:rPr>
          <w:sz w:val="36"/>
          <w:szCs w:val="36"/>
        </w:rPr>
      </w:pPr>
      <w:r>
        <w:rPr>
          <w:sz w:val="36"/>
          <w:szCs w:val="36"/>
        </w:rPr>
        <w:t>Supplementary Materials</w:t>
      </w:r>
      <w:r w:rsidR="009743A9">
        <w:rPr>
          <w:sz w:val="36"/>
          <w:szCs w:val="36"/>
        </w:rPr>
        <w:t xml:space="preserve"> for</w:t>
      </w:r>
    </w:p>
    <w:p w14:paraId="29411C5A" w14:textId="77777777" w:rsidR="005001AC" w:rsidRDefault="005001AC"/>
    <w:p w14:paraId="339B31F7" w14:textId="21F5D34A" w:rsidR="00015F74" w:rsidRPr="007108F5" w:rsidRDefault="001D0636" w:rsidP="003B40E6">
      <w:pPr>
        <w:jc w:val="center"/>
        <w:rPr>
          <w:sz w:val="28"/>
          <w:szCs w:val="28"/>
        </w:rPr>
      </w:pPr>
      <w:r w:rsidRPr="001D0636">
        <w:rPr>
          <w:b/>
          <w:bCs/>
          <w:sz w:val="28"/>
          <w:szCs w:val="28"/>
        </w:rPr>
        <w:t xml:space="preserve">Volumetric characterization of CNS Extracellular Space using thick </w:t>
      </w:r>
      <w:r w:rsidR="00271844">
        <w:rPr>
          <w:b/>
          <w:bCs/>
          <w:sz w:val="28"/>
          <w:szCs w:val="28"/>
        </w:rPr>
        <w:t xml:space="preserve">Undehydrated </w:t>
      </w:r>
      <w:r w:rsidRPr="001D0636">
        <w:rPr>
          <w:b/>
          <w:bCs/>
          <w:sz w:val="28"/>
          <w:szCs w:val="28"/>
        </w:rPr>
        <w:t>Hippocampal tissue cryosections</w:t>
      </w:r>
    </w:p>
    <w:p w14:paraId="3DB3BF92" w14:textId="77777777" w:rsidR="001D0636" w:rsidRPr="001D0636" w:rsidRDefault="001D0636" w:rsidP="001D0636">
      <w:pPr>
        <w:rPr>
          <w:b/>
          <w:bCs/>
          <w:szCs w:val="24"/>
        </w:rPr>
      </w:pPr>
      <w:r w:rsidRPr="001D0636">
        <w:rPr>
          <w:b/>
          <w:bCs/>
          <w:szCs w:val="24"/>
        </w:rPr>
        <w:t>Authors: Jesus A Trejos</w:t>
      </w:r>
      <w:r w:rsidRPr="001D0636">
        <w:rPr>
          <w:b/>
          <w:bCs/>
          <w:szCs w:val="24"/>
          <w:vertAlign w:val="superscript"/>
        </w:rPr>
        <w:t>1*</w:t>
      </w:r>
      <w:r w:rsidRPr="001D0636">
        <w:rPr>
          <w:b/>
          <w:bCs/>
          <w:szCs w:val="24"/>
        </w:rPr>
        <w:t>, Francis A. X. Schanne</w:t>
      </w:r>
      <w:r w:rsidRPr="001D0636">
        <w:rPr>
          <w:b/>
          <w:bCs/>
          <w:szCs w:val="24"/>
          <w:vertAlign w:val="superscript"/>
        </w:rPr>
        <w:t>2</w:t>
      </w:r>
      <w:r w:rsidRPr="001D0636">
        <w:rPr>
          <w:b/>
          <w:bCs/>
          <w:szCs w:val="24"/>
        </w:rPr>
        <w:t xml:space="preserve"> </w:t>
      </w:r>
    </w:p>
    <w:p w14:paraId="33C924EC" w14:textId="77777777" w:rsidR="001D0636" w:rsidRPr="001D0636" w:rsidRDefault="001D0636" w:rsidP="001D0636">
      <w:pPr>
        <w:rPr>
          <w:b/>
          <w:szCs w:val="24"/>
        </w:rPr>
      </w:pPr>
      <w:r w:rsidRPr="001D0636">
        <w:rPr>
          <w:b/>
          <w:szCs w:val="24"/>
        </w:rPr>
        <w:t>Affiliations:</w:t>
      </w:r>
      <w:r w:rsidRPr="001D0636">
        <w:rPr>
          <w:b/>
          <w:szCs w:val="24"/>
        </w:rPr>
        <w:tab/>
      </w:r>
    </w:p>
    <w:p w14:paraId="469A4641" w14:textId="77777777" w:rsidR="001D0636" w:rsidRPr="001D0636" w:rsidRDefault="001D0636" w:rsidP="001D0636">
      <w:pPr>
        <w:rPr>
          <w:szCs w:val="24"/>
        </w:rPr>
      </w:pPr>
      <w:r w:rsidRPr="001D0636">
        <w:rPr>
          <w:szCs w:val="24"/>
          <w:vertAlign w:val="superscript"/>
        </w:rPr>
        <w:t>1</w:t>
      </w:r>
      <w:r w:rsidRPr="001D0636">
        <w:rPr>
          <w:szCs w:val="24"/>
        </w:rPr>
        <w:t xml:space="preserve">Regeneron Pharmaceuticals </w:t>
      </w:r>
    </w:p>
    <w:p w14:paraId="27860142" w14:textId="77777777" w:rsidR="001D0636" w:rsidRPr="001D0636" w:rsidRDefault="001D0636" w:rsidP="001D0636">
      <w:pPr>
        <w:rPr>
          <w:szCs w:val="24"/>
        </w:rPr>
      </w:pPr>
      <w:r w:rsidRPr="001D0636">
        <w:rPr>
          <w:szCs w:val="24"/>
          <w:vertAlign w:val="superscript"/>
        </w:rPr>
        <w:t>2</w:t>
      </w:r>
      <w:r w:rsidRPr="001D0636">
        <w:rPr>
          <w:szCs w:val="24"/>
        </w:rPr>
        <w:t xml:space="preserve"> St </w:t>
      </w:r>
      <w:proofErr w:type="spellStart"/>
      <w:r w:rsidRPr="001D0636">
        <w:rPr>
          <w:szCs w:val="24"/>
        </w:rPr>
        <w:t>Johns</w:t>
      </w:r>
      <w:proofErr w:type="spellEnd"/>
      <w:r w:rsidRPr="001D0636">
        <w:rPr>
          <w:szCs w:val="24"/>
        </w:rPr>
        <w:t xml:space="preserve"> University </w:t>
      </w:r>
    </w:p>
    <w:p w14:paraId="5AEB0C0E" w14:textId="77777777" w:rsidR="001D0636" w:rsidRPr="001D0636" w:rsidRDefault="001D0636" w:rsidP="001D0636">
      <w:pPr>
        <w:rPr>
          <w:szCs w:val="24"/>
        </w:rPr>
      </w:pPr>
      <w:bookmarkStart w:id="0" w:name="_Hlk62201618"/>
      <w:r w:rsidRPr="001D0636">
        <w:rPr>
          <w:szCs w:val="24"/>
          <w:vertAlign w:val="superscript"/>
        </w:rPr>
        <w:t>3</w:t>
      </w:r>
      <w:r w:rsidRPr="001D0636">
        <w:rPr>
          <w:szCs w:val="24"/>
        </w:rPr>
        <w:t>For large groups, use the name of the group or consortium and include a full list of the authors and affiliations at the end of the main manuscript or in the Supplementary Materials.</w:t>
      </w:r>
    </w:p>
    <w:p w14:paraId="063A4F14" w14:textId="77777777" w:rsidR="001D0636" w:rsidRPr="001D0636" w:rsidRDefault="001D0636" w:rsidP="001D0636">
      <w:pPr>
        <w:rPr>
          <w:szCs w:val="24"/>
        </w:rPr>
      </w:pPr>
      <w:bookmarkStart w:id="1" w:name="_Hlk62201654"/>
      <w:bookmarkEnd w:id="0"/>
      <w:r w:rsidRPr="001D0636">
        <w:rPr>
          <w:szCs w:val="24"/>
        </w:rPr>
        <w:t>*Corresponding author. Email: jesus.antonio.trejos@gmail.com</w:t>
      </w:r>
    </w:p>
    <w:bookmarkEnd w:id="1"/>
    <w:p w14:paraId="223EBBEB" w14:textId="77777777" w:rsidR="002C030F" w:rsidRDefault="002C030F"/>
    <w:p w14:paraId="5BBBF32C" w14:textId="77777777" w:rsidR="00015F74" w:rsidRDefault="00015F74">
      <w:pPr>
        <w:rPr>
          <w:b/>
        </w:rPr>
      </w:pPr>
    </w:p>
    <w:p w14:paraId="546CBFCA" w14:textId="4FE42C5F" w:rsidR="002C030F" w:rsidRPr="00262D72" w:rsidRDefault="009743A9">
      <w:pPr>
        <w:rPr>
          <w:b/>
        </w:rPr>
      </w:pPr>
      <w:r>
        <w:rPr>
          <w:b/>
        </w:rPr>
        <w:t>Th</w:t>
      </w:r>
      <w:r w:rsidR="006B024D">
        <w:rPr>
          <w:b/>
        </w:rPr>
        <w:t>e</w:t>
      </w:r>
      <w:r>
        <w:rPr>
          <w:b/>
        </w:rPr>
        <w:t xml:space="preserve"> PDF file </w:t>
      </w:r>
      <w:r w:rsidR="002C030F" w:rsidRPr="00262D72">
        <w:rPr>
          <w:b/>
        </w:rPr>
        <w:t>includes:</w:t>
      </w:r>
    </w:p>
    <w:p w14:paraId="6B069C4B" w14:textId="77777777" w:rsidR="002C030F" w:rsidRDefault="002C030F"/>
    <w:p w14:paraId="77A6E95F" w14:textId="77777777" w:rsidR="002C030F" w:rsidRDefault="002C030F" w:rsidP="00262D72">
      <w:pPr>
        <w:ind w:left="720"/>
      </w:pPr>
      <w:r>
        <w:t>Materials and Methods</w:t>
      </w:r>
    </w:p>
    <w:p w14:paraId="4D8BE593" w14:textId="77777777" w:rsidR="00C35570" w:rsidRPr="00C35570" w:rsidRDefault="00C35570" w:rsidP="00C35570">
      <w:pPr>
        <w:spacing w:after="160" w:line="256" w:lineRule="auto"/>
      </w:pPr>
      <w:bookmarkStart w:id="2" w:name="_Toc162436400"/>
      <w:r w:rsidRPr="00C35570">
        <w:t>Tissue treatment with spot tox and slice immersion:</w:t>
      </w:r>
      <w:bookmarkEnd w:id="2"/>
      <w:r w:rsidRPr="00C35570">
        <w:t xml:space="preserve"> </w:t>
      </w:r>
    </w:p>
    <w:p w14:paraId="0AF310AC" w14:textId="5F5200B7" w:rsidR="00C35570" w:rsidRPr="00C35570" w:rsidRDefault="00C35570" w:rsidP="00C35570">
      <w:pPr>
        <w:spacing w:after="160" w:line="256" w:lineRule="auto"/>
      </w:pPr>
      <w:r w:rsidRPr="00C35570">
        <w:t xml:space="preserve">Treatment with Mercury or a combination cyanide/2-deoxy-glucose consisted of a “spot tox” within the CA3 region of the hippocampal slice; this was delivered as an aliquot of 180 nanoliters (using a micropipette calibrated to go down to 100 nanoliters); control slices were exposed to vehicle solvent used for both toxicants (PBS).  The well-understood mechanisms of these 2 toxicants render them as </w:t>
      </w:r>
      <w:proofErr w:type="spellStart"/>
      <w:r w:rsidRPr="00C35570">
        <w:t>pharmacotoxicants</w:t>
      </w:r>
      <w:proofErr w:type="spellEnd"/>
      <w:r w:rsidRPr="00C35570">
        <w:t xml:space="preserve"> and will be described as such (full results of this study are in published thesis </w:t>
      </w:r>
      <w:r w:rsidRPr="00C35570">
        <w:fldChar w:fldCharType="begin"/>
      </w:r>
      <w:r w:rsidRPr="00C35570">
        <w:instrText xml:space="preserve"> ADDIN EN.CITE &lt;EndNote&gt;&lt;Cite&gt;&lt;Author&gt;Jesus Antonio Trejos MS&lt;/Author&gt;&lt;Year&gt;2024&lt;/Year&gt;&lt;RecNum&gt;47&lt;/RecNum&gt;&lt;DisplayText&gt;(&lt;style face="italic"&gt;4&lt;/style&gt;)&lt;/DisplayText&gt;&lt;record&gt;&lt;rec-number&gt;47&lt;/rec-number&gt;&lt;foreign-keys&gt;&lt;key app="EN" db-id="p5r52ew0r9ea2tetfxzxprznadwrxwp2srrs" timestamp="1781549152"&gt;47&lt;/key&gt;&lt;/foreign-keys&gt;&lt;ref-type name="Thesis"&gt;32&lt;/ref-type&gt;&lt;contributors&gt;&lt;authors&gt;&lt;author&gt;Jesus Antonio Trejos MS, PhD&lt;/author&gt;&lt;/authors&gt;&lt;tertiary-authors&gt;&lt;author&gt;Dr Francis X. Schanne&lt;/author&gt;&lt;/tertiary-authors&gt;&lt;/contributors&gt;&lt;titles&gt;&lt;title&gt;EVALUATION OF MICROGLIA’S STRUCTURAL VARIATIONS WITHIN AN ORGANOTYPIC HIPPOCAMPAL SLICE MODEL AFTER REGIONALIZED TOXIC INJURY; IN ADDITION, SPATIAL CONSIDERATIONS OF ITS SURROUNDING CNS VOLUME (Chapters 2 and 3).&lt;/title&gt;&lt;short-title&gt;Microglia srtructures and CNS volumetric assessements using thick cryosections&lt;/short-title&gt;&lt;/titles&gt;&lt;volume&gt;PhD&lt;/volume&gt;&lt;dates&gt;&lt;year&gt;2024&lt;/year&gt;&lt;pub-dates&gt;&lt;date&gt;2024&lt;/date&gt;&lt;/pub-dates&gt;&lt;/dates&gt;&lt;publisher&gt;St John&amp;apos;s University&lt;/publisher&gt;&lt;urls&gt;&lt;related-urls&gt;&lt;url&gt;https://scholar.stjohns.edu/theses_dissertations/819/&lt;/url&gt;&lt;/related-urls&gt;&lt;/urls&gt;&lt;electronic-resource-num&gt;https://scholar.stjohns.edu/theses_dissertations/819/&lt;/electronic-resource-num&gt;&lt;/record&gt;&lt;/Cite&gt;&lt;/EndNote&gt;</w:instrText>
      </w:r>
      <w:r w:rsidRPr="00C35570">
        <w:fldChar w:fldCharType="separate"/>
      </w:r>
      <w:r w:rsidRPr="00C35570">
        <w:t>(</w:t>
      </w:r>
      <w:r w:rsidRPr="00C35570">
        <w:rPr>
          <w:i/>
        </w:rPr>
        <w:t>4</w:t>
      </w:r>
      <w:r w:rsidRPr="00C35570">
        <w:t>)</w:t>
      </w:r>
      <w:r w:rsidRPr="00C35570">
        <w:fldChar w:fldCharType="end"/>
      </w:r>
      <w:r w:rsidRPr="00C35570">
        <w:t xml:space="preserve">). Pushing the 180 </w:t>
      </w:r>
      <w:proofErr w:type="spellStart"/>
      <w:r w:rsidRPr="00C35570">
        <w:t>nL</w:t>
      </w:r>
      <w:proofErr w:type="spellEnd"/>
      <w:r w:rsidRPr="00C35570">
        <w:t xml:space="preserve"> </w:t>
      </w:r>
      <w:proofErr w:type="gramStart"/>
      <w:r w:rsidRPr="00C35570">
        <w:t>droplet</w:t>
      </w:r>
      <w:proofErr w:type="gramEnd"/>
      <w:r w:rsidRPr="00C35570">
        <w:t xml:space="preserve"> out of the micropipette tip and </w:t>
      </w:r>
      <w:proofErr w:type="gramStart"/>
      <w:r w:rsidRPr="00C35570">
        <w:t>placing</w:t>
      </w:r>
      <w:proofErr w:type="gramEnd"/>
      <w:r w:rsidRPr="00C35570">
        <w:t xml:space="preserve"> on top of the CA3 region will allow the drop to dollop on top of that tissue region, eventually this dollop will be absorbed into the tissue.  The Dentate Gyrus region was not treated </w:t>
      </w:r>
      <w:proofErr w:type="gramStart"/>
      <w:r w:rsidRPr="00C35570">
        <w:t>in order to</w:t>
      </w:r>
      <w:proofErr w:type="gramEnd"/>
      <w:r w:rsidRPr="00C35570">
        <w:t xml:space="preserve"> have </w:t>
      </w:r>
      <w:proofErr w:type="gramStart"/>
      <w:r w:rsidRPr="00C35570">
        <w:t>a healthy</w:t>
      </w:r>
      <w:proofErr w:type="gramEnd"/>
      <w:r w:rsidRPr="00C35570">
        <w:t xml:space="preserve"> tissue control within the slice. To enable an effective contrast of what MG/CD11+ cells look like within untreated and thus healthier regions versus what they look like in regions in and around the spot tox’s unhealthy tissue.  This enables not just contrast but also a gradation of changes in the space in between healthy and injured cells.  MG cells and injury regions were evaluated 2 hours after spot tox. </w:t>
      </w:r>
      <w:r w:rsidR="001D0636" w:rsidRPr="001D0636">
        <w:t>In addition, slices fully immersed in media</w:t>
      </w:r>
      <w:r w:rsidR="001D0636">
        <w:t xml:space="preserve"> (without semiporous membrane)</w:t>
      </w:r>
      <w:r w:rsidR="001D0636" w:rsidRPr="001D0636">
        <w:t xml:space="preserve"> with several concentrations of toxicants (also for 2 hours) </w:t>
      </w:r>
      <w:proofErr w:type="gramStart"/>
      <w:r w:rsidR="001D0636" w:rsidRPr="001D0636">
        <w:t>was</w:t>
      </w:r>
      <w:proofErr w:type="gramEnd"/>
      <w:r w:rsidR="001D0636" w:rsidRPr="001D0636">
        <w:t xml:space="preserve"> done to better understand the tissue slice’s holistic toxic dose response and MG morphology in liquid.</w:t>
      </w:r>
    </w:p>
    <w:p w14:paraId="0543559D" w14:textId="77777777" w:rsidR="00C35570" w:rsidRPr="00C35570" w:rsidRDefault="00C35570" w:rsidP="00C35570">
      <w:pPr>
        <w:spacing w:after="160" w:line="256" w:lineRule="auto"/>
        <w:rPr>
          <w:rFonts w:ascii="Aptos" w:eastAsia="Aptos" w:hAnsi="Aptos"/>
          <w:sz w:val="22"/>
          <w:szCs w:val="22"/>
        </w:rPr>
      </w:pPr>
    </w:p>
    <w:p w14:paraId="19AF8BD6" w14:textId="29C2258F" w:rsidR="00C35570" w:rsidRPr="00C35570" w:rsidRDefault="001D0636" w:rsidP="00C35570">
      <w:pPr>
        <w:spacing w:after="160" w:line="256" w:lineRule="auto"/>
        <w:rPr>
          <w:rFonts w:ascii="Aptos" w:eastAsia="Aptos" w:hAnsi="Aptos"/>
          <w:sz w:val="22"/>
          <w:szCs w:val="22"/>
        </w:rPr>
      </w:pPr>
      <w:r>
        <w:rPr>
          <w:rFonts w:ascii="Aptos" w:eastAsia="Aptos" w:hAnsi="Aptos"/>
          <w:sz w:val="22"/>
          <w:szCs w:val="22"/>
        </w:rPr>
        <w:t>Supplemental Figures</w:t>
      </w:r>
    </w:p>
    <w:p w14:paraId="7E9441D2" w14:textId="77777777" w:rsidR="00C35570" w:rsidRPr="00C35570" w:rsidRDefault="00C35570" w:rsidP="00C35570">
      <w:pPr>
        <w:spacing w:after="160" w:line="256" w:lineRule="auto"/>
        <w:rPr>
          <w:rFonts w:eastAsia="Calibri"/>
          <w:color w:val="000000"/>
          <w:kern w:val="24"/>
          <w:szCs w:val="24"/>
        </w:rPr>
      </w:pPr>
      <w:r w:rsidRPr="00C35570">
        <w:rPr>
          <w:rFonts w:eastAsia="Calibri"/>
          <w:noProof/>
          <w:color w:val="000000"/>
          <w:kern w:val="24"/>
          <w:szCs w:val="24"/>
        </w:rPr>
        <w:lastRenderedPageBreak/>
        <w:drawing>
          <wp:inline distT="0" distB="0" distL="0" distR="0" wp14:anchorId="58240308" wp14:editId="789529A9">
            <wp:extent cx="5479085" cy="3081665"/>
            <wp:effectExtent l="0" t="0" r="7620" b="4445"/>
            <wp:docPr id="960195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766" cy="3085985"/>
                    </a:xfrm>
                    <a:prstGeom prst="rect">
                      <a:avLst/>
                    </a:prstGeom>
                    <a:noFill/>
                  </pic:spPr>
                </pic:pic>
              </a:graphicData>
            </a:graphic>
          </wp:inline>
        </w:drawing>
      </w:r>
    </w:p>
    <w:p w14:paraId="18AE0529" w14:textId="651C9CE7" w:rsidR="00C35570" w:rsidRPr="00C35570" w:rsidRDefault="00C35570" w:rsidP="00C35570">
      <w:pPr>
        <w:spacing w:after="160" w:line="256" w:lineRule="auto"/>
        <w:rPr>
          <w:rFonts w:eastAsia="Calibri"/>
          <w:i/>
          <w:iCs/>
          <w:color w:val="000000"/>
          <w:kern w:val="24"/>
          <w:szCs w:val="24"/>
        </w:rPr>
      </w:pPr>
      <w:r w:rsidRPr="00C35570">
        <w:rPr>
          <w:rFonts w:eastAsia="Calibri"/>
          <w:i/>
          <w:iCs/>
          <w:color w:val="000000"/>
          <w:kern w:val="24"/>
          <w:szCs w:val="24"/>
        </w:rPr>
        <w:t xml:space="preserve">Supplemental </w:t>
      </w:r>
      <w:r>
        <w:rPr>
          <w:rFonts w:eastAsia="Calibri"/>
          <w:i/>
          <w:iCs/>
          <w:color w:val="000000"/>
          <w:kern w:val="24"/>
          <w:szCs w:val="24"/>
        </w:rPr>
        <w:t xml:space="preserve">Figure </w:t>
      </w:r>
      <w:r w:rsidRPr="00C35570">
        <w:rPr>
          <w:rFonts w:eastAsia="Calibri"/>
          <w:i/>
          <w:iCs/>
          <w:color w:val="000000"/>
          <w:kern w:val="24"/>
          <w:szCs w:val="24"/>
        </w:rPr>
        <w:t xml:space="preserve">1: Proposed mechanism of biodistribution of 180 </w:t>
      </w:r>
      <w:proofErr w:type="spellStart"/>
      <w:r w:rsidRPr="00C35570">
        <w:rPr>
          <w:rFonts w:eastAsia="Calibri"/>
          <w:i/>
          <w:iCs/>
          <w:color w:val="000000"/>
          <w:kern w:val="24"/>
          <w:szCs w:val="24"/>
        </w:rPr>
        <w:t>nL</w:t>
      </w:r>
      <w:proofErr w:type="spellEnd"/>
      <w:r w:rsidRPr="00C35570">
        <w:rPr>
          <w:rFonts w:eastAsia="Calibri"/>
          <w:i/>
          <w:iCs/>
          <w:color w:val="000000"/>
          <w:kern w:val="24"/>
          <w:szCs w:val="24"/>
        </w:rPr>
        <w:t xml:space="preserve"> aliquot of toxicant at high and low doses compared to control. </w:t>
      </w:r>
    </w:p>
    <w:p w14:paraId="6708B0B6" w14:textId="77777777" w:rsidR="00C35570" w:rsidRPr="00C35570" w:rsidRDefault="00C35570" w:rsidP="00C35570">
      <w:pPr>
        <w:spacing w:after="160" w:line="259" w:lineRule="auto"/>
        <w:rPr>
          <w:color w:val="000000"/>
          <w:kern w:val="24"/>
          <w:szCs w:val="24"/>
        </w:rPr>
      </w:pPr>
      <w:r w:rsidRPr="00C35570">
        <w:rPr>
          <w:rFonts w:eastAsia="Calibri"/>
          <w:i/>
          <w:iCs/>
          <w:color w:val="000000"/>
          <w:kern w:val="24"/>
          <w:szCs w:val="24"/>
        </w:rPr>
        <w:t>Lower doses of toxicants cannot reach the bottom of the slice likely due to activated MG obstructing passage of toxic fluid to the bottom portion of the slice and thus are protected from toxic insult. At high doses, likely due to osmotic pressure gradients and induced toxicity the MG barrier is lost, and the bottom portion of the slice is exposed to toxic insult.</w:t>
      </w:r>
    </w:p>
    <w:p w14:paraId="53702682" w14:textId="77777777" w:rsidR="00C35570" w:rsidRPr="00C35570" w:rsidRDefault="00C35570" w:rsidP="00C35570">
      <w:pPr>
        <w:spacing w:after="160" w:line="256" w:lineRule="auto"/>
        <w:rPr>
          <w:color w:val="000000"/>
          <w:kern w:val="24"/>
          <w:szCs w:val="24"/>
        </w:rPr>
      </w:pPr>
    </w:p>
    <w:p w14:paraId="108234C0" w14:textId="77777777" w:rsidR="00C35570" w:rsidRPr="00C35570" w:rsidRDefault="00C35570" w:rsidP="00C35570">
      <w:pPr>
        <w:spacing w:after="160" w:line="256" w:lineRule="auto"/>
        <w:rPr>
          <w:color w:val="000000"/>
          <w:kern w:val="24"/>
          <w:szCs w:val="24"/>
        </w:rPr>
      </w:pPr>
    </w:p>
    <w:p w14:paraId="6E2E7653" w14:textId="77777777" w:rsidR="00C35570" w:rsidRPr="00C35570" w:rsidRDefault="00C35570" w:rsidP="00C35570">
      <w:pPr>
        <w:spacing w:after="160" w:line="256" w:lineRule="auto"/>
        <w:rPr>
          <w:color w:val="000000"/>
          <w:kern w:val="24"/>
          <w:szCs w:val="24"/>
        </w:rPr>
      </w:pPr>
    </w:p>
    <w:p w14:paraId="077E406C" w14:textId="77777777" w:rsidR="00C35570" w:rsidRPr="00C35570" w:rsidRDefault="00C35570" w:rsidP="00C35570">
      <w:pPr>
        <w:spacing w:after="160" w:line="256" w:lineRule="auto"/>
        <w:rPr>
          <w:color w:val="000000"/>
          <w:kern w:val="24"/>
          <w:szCs w:val="24"/>
        </w:rPr>
      </w:pPr>
    </w:p>
    <w:p w14:paraId="117A22DD" w14:textId="77777777" w:rsidR="00C35570" w:rsidRPr="00C35570" w:rsidRDefault="00C35570" w:rsidP="00C35570">
      <w:pPr>
        <w:spacing w:after="160" w:line="256" w:lineRule="auto"/>
        <w:rPr>
          <w:color w:val="000000"/>
          <w:kern w:val="24"/>
          <w:szCs w:val="24"/>
        </w:rPr>
      </w:pPr>
    </w:p>
    <w:p w14:paraId="15983189" w14:textId="77777777" w:rsidR="00C35570" w:rsidRPr="00C35570" w:rsidRDefault="00C35570" w:rsidP="00C35570">
      <w:pPr>
        <w:spacing w:after="160" w:line="256" w:lineRule="auto"/>
        <w:rPr>
          <w:color w:val="000000"/>
          <w:kern w:val="24"/>
          <w:szCs w:val="24"/>
        </w:rPr>
      </w:pPr>
    </w:p>
    <w:p w14:paraId="0AB0FF8F" w14:textId="77777777" w:rsidR="00C35570" w:rsidRPr="00C35570" w:rsidRDefault="00C35570" w:rsidP="00C35570">
      <w:pPr>
        <w:spacing w:after="160" w:line="256" w:lineRule="auto"/>
        <w:rPr>
          <w:color w:val="000000"/>
          <w:kern w:val="24"/>
          <w:szCs w:val="24"/>
        </w:rPr>
      </w:pPr>
    </w:p>
    <w:p w14:paraId="4348B98F" w14:textId="77777777" w:rsidR="00C35570" w:rsidRPr="00C35570" w:rsidRDefault="00C35570" w:rsidP="00C35570">
      <w:pPr>
        <w:spacing w:after="160" w:line="256" w:lineRule="auto"/>
        <w:rPr>
          <w:color w:val="000000"/>
          <w:kern w:val="24"/>
          <w:szCs w:val="24"/>
        </w:rPr>
      </w:pPr>
    </w:p>
    <w:p w14:paraId="58038E05" w14:textId="77777777" w:rsidR="00C35570" w:rsidRPr="00C35570" w:rsidRDefault="00C35570" w:rsidP="00C35570">
      <w:pPr>
        <w:spacing w:after="160" w:line="256" w:lineRule="auto"/>
        <w:rPr>
          <w:color w:val="000000"/>
          <w:kern w:val="24"/>
          <w:szCs w:val="24"/>
        </w:rPr>
      </w:pPr>
    </w:p>
    <w:p w14:paraId="1B6C4550" w14:textId="77777777" w:rsidR="00C35570" w:rsidRPr="00C35570" w:rsidRDefault="00C35570" w:rsidP="00C35570">
      <w:pPr>
        <w:spacing w:after="160" w:line="256" w:lineRule="auto"/>
        <w:rPr>
          <w:color w:val="000000"/>
          <w:kern w:val="24"/>
          <w:szCs w:val="24"/>
        </w:rPr>
      </w:pPr>
    </w:p>
    <w:p w14:paraId="23ABCC54" w14:textId="77777777" w:rsidR="00C35570" w:rsidRPr="00C35570" w:rsidRDefault="00C35570" w:rsidP="00C35570">
      <w:pPr>
        <w:spacing w:after="160" w:line="256" w:lineRule="auto"/>
        <w:rPr>
          <w:color w:val="000000"/>
          <w:kern w:val="24"/>
          <w:szCs w:val="24"/>
        </w:rPr>
      </w:pPr>
    </w:p>
    <w:p w14:paraId="10CA8A2F" w14:textId="77777777" w:rsidR="00C35570" w:rsidRDefault="00C35570" w:rsidP="00C35570">
      <w:pPr>
        <w:spacing w:after="160" w:line="256" w:lineRule="auto"/>
        <w:rPr>
          <w:color w:val="000000"/>
          <w:kern w:val="24"/>
          <w:szCs w:val="24"/>
        </w:rPr>
      </w:pPr>
    </w:p>
    <w:p w14:paraId="427D0F0A" w14:textId="77777777" w:rsidR="00C35570" w:rsidRDefault="00C35570" w:rsidP="00C35570">
      <w:pPr>
        <w:spacing w:after="160" w:line="256" w:lineRule="auto"/>
        <w:rPr>
          <w:color w:val="000000"/>
          <w:kern w:val="24"/>
          <w:szCs w:val="24"/>
        </w:rPr>
      </w:pPr>
    </w:p>
    <w:p w14:paraId="4B617D86" w14:textId="77777777" w:rsidR="00C35570" w:rsidRDefault="00C35570" w:rsidP="00C35570">
      <w:pPr>
        <w:spacing w:after="160" w:line="256" w:lineRule="auto"/>
        <w:rPr>
          <w:color w:val="000000"/>
          <w:kern w:val="24"/>
          <w:szCs w:val="24"/>
        </w:rPr>
      </w:pPr>
    </w:p>
    <w:p w14:paraId="44F49E5A" w14:textId="77777777" w:rsidR="00C35570" w:rsidRDefault="00C35570" w:rsidP="00C35570">
      <w:pPr>
        <w:spacing w:after="160" w:line="256" w:lineRule="auto"/>
        <w:rPr>
          <w:color w:val="000000"/>
          <w:kern w:val="24"/>
          <w:szCs w:val="24"/>
        </w:rPr>
      </w:pPr>
    </w:p>
    <w:p w14:paraId="79EAB3EC" w14:textId="77777777" w:rsidR="00C35570" w:rsidRPr="00C35570" w:rsidRDefault="00C35570" w:rsidP="00C35570">
      <w:pPr>
        <w:spacing w:after="160" w:line="256" w:lineRule="auto"/>
        <w:rPr>
          <w:color w:val="000000"/>
          <w:kern w:val="24"/>
          <w:szCs w:val="24"/>
        </w:rPr>
      </w:pPr>
    </w:p>
    <w:p w14:paraId="4523F47B" w14:textId="77777777" w:rsidR="00C35570" w:rsidRPr="00C35570" w:rsidRDefault="00C35570" w:rsidP="00C35570">
      <w:pPr>
        <w:spacing w:after="160" w:line="256" w:lineRule="auto"/>
        <w:rPr>
          <w:color w:val="000000"/>
          <w:kern w:val="24"/>
          <w:szCs w:val="24"/>
        </w:rPr>
      </w:pPr>
    </w:p>
    <w:p w14:paraId="0F66F07F" w14:textId="77777777" w:rsidR="00C35570" w:rsidRPr="00C35570" w:rsidRDefault="00C35570" w:rsidP="00C35570">
      <w:pPr>
        <w:spacing w:after="160" w:line="256" w:lineRule="auto"/>
        <w:rPr>
          <w:color w:val="000000"/>
          <w:kern w:val="24"/>
          <w:szCs w:val="24"/>
        </w:rPr>
      </w:pPr>
    </w:p>
    <w:p w14:paraId="7B24FB7E" w14:textId="77777777" w:rsidR="00C35570" w:rsidRPr="00C35570" w:rsidRDefault="00C35570" w:rsidP="00C35570">
      <w:pPr>
        <w:spacing w:after="160" w:line="256" w:lineRule="auto"/>
        <w:rPr>
          <w:color w:val="000000"/>
          <w:kern w:val="24"/>
          <w:szCs w:val="24"/>
        </w:rPr>
      </w:pPr>
      <w:r w:rsidRPr="00C35570">
        <w:rPr>
          <w:noProof/>
          <w:color w:val="000000"/>
          <w:kern w:val="24"/>
          <w:szCs w:val="24"/>
        </w:rPr>
        <w:drawing>
          <wp:inline distT="0" distB="0" distL="0" distR="0" wp14:anchorId="0D6C3DD8" wp14:editId="0C8D4E48">
            <wp:extent cx="5980430" cy="2103120"/>
            <wp:effectExtent l="0" t="0" r="1270" b="0"/>
            <wp:docPr id="11089060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0430" cy="2103120"/>
                    </a:xfrm>
                    <a:prstGeom prst="rect">
                      <a:avLst/>
                    </a:prstGeom>
                    <a:noFill/>
                  </pic:spPr>
                </pic:pic>
              </a:graphicData>
            </a:graphic>
          </wp:inline>
        </w:drawing>
      </w:r>
    </w:p>
    <w:p w14:paraId="54D11C4A" w14:textId="517431DC" w:rsidR="00C35570" w:rsidRPr="00C35570" w:rsidRDefault="00C35570" w:rsidP="00C35570">
      <w:pPr>
        <w:spacing w:after="200"/>
        <w:rPr>
          <w:rFonts w:eastAsia="Aptos"/>
          <w:i/>
          <w:iCs/>
          <w:color w:val="0E2841"/>
          <w:szCs w:val="24"/>
        </w:rPr>
      </w:pPr>
      <w:bookmarkStart w:id="3" w:name="_Toc162532605"/>
      <w:bookmarkStart w:id="4" w:name="_Toc159850129"/>
      <w:r w:rsidRPr="00C35570">
        <w:rPr>
          <w:rFonts w:eastAsia="Aptos"/>
          <w:i/>
          <w:iCs/>
          <w:color w:val="0E2841"/>
          <w:szCs w:val="24"/>
        </w:rPr>
        <w:t>Supplemental</w:t>
      </w:r>
      <w:r>
        <w:rPr>
          <w:rFonts w:eastAsia="Aptos"/>
          <w:i/>
          <w:iCs/>
          <w:color w:val="0E2841"/>
          <w:szCs w:val="24"/>
        </w:rPr>
        <w:t xml:space="preserve"> Figure</w:t>
      </w:r>
      <w:r w:rsidRPr="00C35570">
        <w:rPr>
          <w:rFonts w:eastAsia="Aptos"/>
          <w:i/>
          <w:iCs/>
          <w:color w:val="0E2841"/>
          <w:szCs w:val="24"/>
        </w:rPr>
        <w:t xml:space="preserve"> 2: Loss of fluid permeability during whole slice immersion into media with toxicant (Hg).</w:t>
      </w:r>
      <w:bookmarkEnd w:id="3"/>
      <w:r w:rsidRPr="00C35570">
        <w:rPr>
          <w:rFonts w:eastAsia="Aptos"/>
          <w:i/>
          <w:iCs/>
          <w:color w:val="0E2841"/>
          <w:szCs w:val="24"/>
        </w:rPr>
        <w:t xml:space="preserve"> </w:t>
      </w:r>
    </w:p>
    <w:p w14:paraId="7537251C" w14:textId="77777777" w:rsidR="00C35570" w:rsidRPr="00C35570" w:rsidRDefault="00C35570" w:rsidP="00C35570">
      <w:pPr>
        <w:spacing w:after="200"/>
        <w:rPr>
          <w:rFonts w:eastAsia="Aptos"/>
          <w:i/>
          <w:iCs/>
          <w:noProof/>
          <w:color w:val="0E2841"/>
          <w:szCs w:val="24"/>
        </w:rPr>
      </w:pPr>
      <w:r w:rsidRPr="00C35570">
        <w:rPr>
          <w:rFonts w:eastAsia="Aptos"/>
          <w:i/>
          <w:iCs/>
          <w:color w:val="0E2841"/>
          <w:szCs w:val="24"/>
        </w:rPr>
        <w:t xml:space="preserve">Control slices have sporadic dead cells that, however by in </w:t>
      </w:r>
      <w:proofErr w:type="gramStart"/>
      <w:r w:rsidRPr="00C35570">
        <w:rPr>
          <w:rFonts w:eastAsia="Aptos"/>
          <w:i/>
          <w:iCs/>
          <w:color w:val="0E2841"/>
          <w:szCs w:val="24"/>
        </w:rPr>
        <w:t>large most cells are</w:t>
      </w:r>
      <w:proofErr w:type="gramEnd"/>
      <w:r w:rsidRPr="00C35570">
        <w:rPr>
          <w:rFonts w:eastAsia="Aptos"/>
          <w:i/>
          <w:iCs/>
          <w:color w:val="0E2841"/>
          <w:szCs w:val="24"/>
        </w:rPr>
        <w:t xml:space="preserve"> excluding PI dye. High doses of toxicant (mercury) the entire slice turns red not just due to PI infiltration into the cell but also due to leakage of nucleic contents into the extracellular space that also interact with PI. During low doses only the outer portion of the slice turn </w:t>
      </w:r>
      <w:proofErr w:type="gramStart"/>
      <w:r w:rsidRPr="00C35570">
        <w:rPr>
          <w:rFonts w:eastAsia="Aptos"/>
          <w:i/>
          <w:iCs/>
          <w:color w:val="0E2841"/>
          <w:szCs w:val="24"/>
        </w:rPr>
        <w:t>red</w:t>
      </w:r>
      <w:proofErr w:type="gramEnd"/>
      <w:r w:rsidRPr="00C35570">
        <w:rPr>
          <w:rFonts w:eastAsia="Aptos"/>
          <w:i/>
          <w:iCs/>
          <w:color w:val="0E2841"/>
          <w:szCs w:val="24"/>
        </w:rPr>
        <w:t xml:space="preserve"> indicating toxicity in only that portion of the slice; this indicated that the inner portion of the slice is protected by some factor that impedes access of toxic fluid into that compartment of the slice, likely activated MG.</w:t>
      </w:r>
      <w:bookmarkEnd w:id="4"/>
    </w:p>
    <w:p w14:paraId="10BF7DE9" w14:textId="577530ED" w:rsidR="00B9440A" w:rsidRPr="00B75CD1" w:rsidRDefault="00C35570" w:rsidP="00B75CD1">
      <w:pPr>
        <w:spacing w:after="160" w:line="259" w:lineRule="auto"/>
        <w:rPr>
          <w:color w:val="000000"/>
          <w:kern w:val="24"/>
          <w:szCs w:val="24"/>
        </w:rPr>
      </w:pPr>
      <w:r w:rsidRPr="00C35570">
        <w:rPr>
          <w:color w:val="000000"/>
          <w:kern w:val="24"/>
          <w:szCs w:val="24"/>
        </w:rPr>
        <w:br w:type="page"/>
      </w:r>
    </w:p>
    <w:sectPr w:rsidR="00B9440A" w:rsidRPr="00B75CD1" w:rsidSect="00E853D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B1A63" w14:textId="77777777" w:rsidR="00352BA3" w:rsidRDefault="00352BA3">
      <w:r>
        <w:separator/>
      </w:r>
    </w:p>
  </w:endnote>
  <w:endnote w:type="continuationSeparator" w:id="0">
    <w:p w14:paraId="69E0D3D8" w14:textId="77777777" w:rsidR="00352BA3" w:rsidRDefault="00352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48D6" w14:textId="6DE53F56" w:rsidR="001D0636" w:rsidRDefault="001D0636">
    <w:pPr>
      <w:pStyle w:val="Footer"/>
    </w:pPr>
    <w:r>
      <w:rPr>
        <w:noProof/>
      </w:rPr>
      <mc:AlternateContent>
        <mc:Choice Requires="wps">
          <w:drawing>
            <wp:anchor distT="0" distB="0" distL="0" distR="0" simplePos="0" relativeHeight="251659264" behindDoc="0" locked="0" layoutInCell="1" allowOverlap="1" wp14:anchorId="0EBBBD62" wp14:editId="3A9DC50C">
              <wp:simplePos x="635" y="635"/>
              <wp:positionH relativeFrom="page">
                <wp:align>center</wp:align>
              </wp:positionH>
              <wp:positionV relativeFrom="page">
                <wp:align>bottom</wp:align>
              </wp:positionV>
              <wp:extent cx="1332865" cy="376555"/>
              <wp:effectExtent l="0" t="0" r="635" b="0"/>
              <wp:wrapNone/>
              <wp:docPr id="877125127" name="Text Box 2" descr="Regener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2865" cy="376555"/>
                      </a:xfrm>
                      <a:prstGeom prst="rect">
                        <a:avLst/>
                      </a:prstGeom>
                      <a:noFill/>
                      <a:ln>
                        <a:noFill/>
                      </a:ln>
                    </wps:spPr>
                    <wps:txbx>
                      <w:txbxContent>
                        <w:p w14:paraId="08521714" w14:textId="504C0486" w:rsidR="001D0636" w:rsidRPr="001D0636" w:rsidRDefault="001D0636" w:rsidP="001D0636">
                          <w:pPr>
                            <w:rPr>
                              <w:rFonts w:ascii="Aptos" w:eastAsia="Aptos" w:hAnsi="Aptos" w:cs="Aptos"/>
                              <w:noProof/>
                              <w:color w:val="898989"/>
                              <w:szCs w:val="24"/>
                            </w:rPr>
                          </w:pPr>
                          <w:r w:rsidRPr="001D0636">
                            <w:rPr>
                              <w:rFonts w:ascii="Aptos" w:eastAsia="Aptos" w:hAnsi="Aptos" w:cs="Aptos"/>
                              <w:noProof/>
                              <w:color w:val="898989"/>
                              <w:szCs w:val="24"/>
                            </w:rPr>
                            <w:t>Regeneron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BBBD62" id="_x0000_t202" coordsize="21600,21600" o:spt="202" path="m,l,21600r21600,l21600,xe">
              <v:stroke joinstyle="miter"/>
              <v:path gradientshapeok="t" o:connecttype="rect"/>
            </v:shapetype>
            <v:shape id="Text Box 2" o:spid="_x0000_s1026" type="#_x0000_t202" alt="Regeneron - Internal" style="position:absolute;margin-left:0;margin-top:0;width:104.95pt;height:29.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" filled="f" stroked="f">
              <v:fill o:detectmouseclick="t"/>
              <v:textbox style="mso-fit-shape-to-text:t" inset="0,0,0,15pt">
                <w:txbxContent>
                  <w:p w14:paraId="08521714" w14:textId="504C0486" w:rsidR="001D0636" w:rsidRPr="001D0636" w:rsidRDefault="001D0636" w:rsidP="001D0636">
                    <w:pPr>
                      <w:rPr>
                        <w:rFonts w:ascii="Aptos" w:eastAsia="Aptos" w:hAnsi="Aptos" w:cs="Aptos"/>
                        <w:noProof/>
                        <w:color w:val="898989"/>
                        <w:szCs w:val="24"/>
                      </w:rPr>
                    </w:pPr>
                    <w:r w:rsidRPr="001D0636">
                      <w:rPr>
                        <w:rFonts w:ascii="Aptos" w:eastAsia="Aptos" w:hAnsi="Aptos" w:cs="Aptos"/>
                        <w:noProof/>
                        <w:color w:val="898989"/>
                        <w:szCs w:val="24"/>
                      </w:rPr>
                      <w:t>Regeneron -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13FA3821" w:rsidR="00F125EE" w:rsidRDefault="001D0636">
    <w:pPr>
      <w:pStyle w:val="Footer"/>
      <w:jc w:val="right"/>
    </w:pPr>
    <w:r>
      <w:rPr>
        <w:noProof/>
      </w:rPr>
      <mc:AlternateContent>
        <mc:Choice Requires="wps">
          <w:drawing>
            <wp:anchor distT="0" distB="0" distL="0" distR="0" simplePos="0" relativeHeight="251660288" behindDoc="0" locked="0" layoutInCell="1" allowOverlap="1" wp14:anchorId="014809D5" wp14:editId="5DDED608">
              <wp:simplePos x="914400" y="9248775"/>
              <wp:positionH relativeFrom="page">
                <wp:align>center</wp:align>
              </wp:positionH>
              <wp:positionV relativeFrom="page">
                <wp:align>bottom</wp:align>
              </wp:positionV>
              <wp:extent cx="1332865" cy="376555"/>
              <wp:effectExtent l="0" t="0" r="635" b="0"/>
              <wp:wrapNone/>
              <wp:docPr id="380923128" name="Text Box 3" descr="Regener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2865" cy="376555"/>
                      </a:xfrm>
                      <a:prstGeom prst="rect">
                        <a:avLst/>
                      </a:prstGeom>
                      <a:noFill/>
                      <a:ln>
                        <a:noFill/>
                      </a:ln>
                    </wps:spPr>
                    <wps:txbx>
                      <w:txbxContent>
                        <w:p w14:paraId="37DEE3D8" w14:textId="7CD7BA18" w:rsidR="001D0636" w:rsidRPr="001D0636" w:rsidRDefault="001D0636" w:rsidP="001D0636">
                          <w:pPr>
                            <w:rPr>
                              <w:rFonts w:ascii="Aptos" w:eastAsia="Aptos" w:hAnsi="Aptos" w:cs="Aptos"/>
                              <w:noProof/>
                              <w:color w:val="898989"/>
                              <w:szCs w:val="24"/>
                            </w:rPr>
                          </w:pPr>
                          <w:r w:rsidRPr="001D0636">
                            <w:rPr>
                              <w:rFonts w:ascii="Aptos" w:eastAsia="Aptos" w:hAnsi="Aptos" w:cs="Aptos"/>
                              <w:noProof/>
                              <w:color w:val="898989"/>
                              <w:szCs w:val="24"/>
                            </w:rPr>
                            <w:t>Regeneron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4809D5" id="_x0000_t202" coordsize="21600,21600" o:spt="202" path="m,l,21600r21600,l21600,xe">
              <v:stroke joinstyle="miter"/>
              <v:path gradientshapeok="t" o:connecttype="rect"/>
            </v:shapetype>
            <v:shape id="Text Box 3" o:spid="_x0000_s1027" type="#_x0000_t202" alt="Regeneron - Internal" style="position:absolute;left:0;text-align:left;margin-left:0;margin-top:0;width:104.95pt;height:29.6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" filled="f" stroked="f">
              <v:fill o:detectmouseclick="t"/>
              <v:textbox style="mso-fit-shape-to-text:t" inset="0,0,0,15pt">
                <w:txbxContent>
                  <w:p w14:paraId="37DEE3D8" w14:textId="7CD7BA18" w:rsidR="001D0636" w:rsidRPr="001D0636" w:rsidRDefault="001D0636" w:rsidP="001D0636">
                    <w:pPr>
                      <w:rPr>
                        <w:rFonts w:ascii="Aptos" w:eastAsia="Aptos" w:hAnsi="Aptos" w:cs="Aptos"/>
                        <w:noProof/>
                        <w:color w:val="898989"/>
                        <w:szCs w:val="24"/>
                      </w:rPr>
                    </w:pPr>
                    <w:r w:rsidRPr="001D0636">
                      <w:rPr>
                        <w:rFonts w:ascii="Aptos" w:eastAsia="Aptos" w:hAnsi="Aptos" w:cs="Aptos"/>
                        <w:noProof/>
                        <w:color w:val="898989"/>
                        <w:szCs w:val="24"/>
                      </w:rPr>
                      <w:t>Regeneron - Internal</w:t>
                    </w:r>
                  </w:p>
                </w:txbxContent>
              </v:textbox>
              <w10:wrap anchorx="page" anchory="page"/>
            </v:shape>
          </w:pict>
        </mc:Fallback>
      </mc:AlternateContent>
    </w:r>
    <w:r w:rsidR="00114193">
      <w:fldChar w:fldCharType="begin"/>
    </w:r>
    <w:r w:rsidR="00114193">
      <w:instrText xml:space="preserve"> PAGE   \* MERGEFORMAT </w:instrText>
    </w:r>
    <w:r w:rsidR="00114193">
      <w:fldChar w:fldCharType="separate"/>
    </w:r>
    <w:r w:rsidR="00C92B22">
      <w:rPr>
        <w:noProof/>
      </w:rPr>
      <w:t>3</w:t>
    </w:r>
    <w:r w:rsidR="00114193">
      <w:fldChar w:fldCharType="end"/>
    </w:r>
  </w:p>
  <w:p w14:paraId="211F3547" w14:textId="77777777" w:rsidR="00F125EE" w:rsidRDefault="00F125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8D1F" w14:textId="30330ADD" w:rsidR="001D0636" w:rsidRDefault="001D0636">
    <w:pPr>
      <w:pStyle w:val="Footer"/>
    </w:pPr>
    <w:r>
      <w:rPr>
        <w:noProof/>
      </w:rPr>
      <mc:AlternateContent>
        <mc:Choice Requires="wps">
          <w:drawing>
            <wp:anchor distT="0" distB="0" distL="0" distR="0" simplePos="0" relativeHeight="251658240" behindDoc="0" locked="0" layoutInCell="1" allowOverlap="1" wp14:anchorId="3134818D" wp14:editId="22B8D7F3">
              <wp:simplePos x="635" y="635"/>
              <wp:positionH relativeFrom="page">
                <wp:align>center</wp:align>
              </wp:positionH>
              <wp:positionV relativeFrom="page">
                <wp:align>bottom</wp:align>
              </wp:positionV>
              <wp:extent cx="1332865" cy="376555"/>
              <wp:effectExtent l="0" t="0" r="635" b="0"/>
              <wp:wrapNone/>
              <wp:docPr id="28143036" name="Text Box 1" descr="Regeneron -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32865" cy="376555"/>
                      </a:xfrm>
                      <a:prstGeom prst="rect">
                        <a:avLst/>
                      </a:prstGeom>
                      <a:noFill/>
                      <a:ln>
                        <a:noFill/>
                      </a:ln>
                    </wps:spPr>
                    <wps:txbx>
                      <w:txbxContent>
                        <w:p w14:paraId="33367BB8" w14:textId="4C3511CB" w:rsidR="001D0636" w:rsidRPr="001D0636" w:rsidRDefault="001D0636" w:rsidP="001D0636">
                          <w:pPr>
                            <w:rPr>
                              <w:rFonts w:ascii="Aptos" w:eastAsia="Aptos" w:hAnsi="Aptos" w:cs="Aptos"/>
                              <w:noProof/>
                              <w:color w:val="898989"/>
                              <w:szCs w:val="24"/>
                            </w:rPr>
                          </w:pPr>
                          <w:r w:rsidRPr="001D0636">
                            <w:rPr>
                              <w:rFonts w:ascii="Aptos" w:eastAsia="Aptos" w:hAnsi="Aptos" w:cs="Aptos"/>
                              <w:noProof/>
                              <w:color w:val="898989"/>
                              <w:szCs w:val="24"/>
                            </w:rPr>
                            <w:t>Regeneron -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4818D" id="_x0000_t202" coordsize="21600,21600" o:spt="202" path="m,l,21600r21600,l21600,xe">
              <v:stroke joinstyle="miter"/>
              <v:path gradientshapeok="t" o:connecttype="rect"/>
            </v:shapetype>
            <v:shape id="Text Box 1" o:spid="_x0000_s1028" type="#_x0000_t202" alt="Regeneron - Internal" style="position:absolute;margin-left:0;margin-top:0;width:104.95pt;height:29.6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" filled="f" stroked="f">
              <v:fill o:detectmouseclick="t"/>
              <v:textbox style="mso-fit-shape-to-text:t" inset="0,0,0,15pt">
                <w:txbxContent>
                  <w:p w14:paraId="33367BB8" w14:textId="4C3511CB" w:rsidR="001D0636" w:rsidRPr="001D0636" w:rsidRDefault="001D0636" w:rsidP="001D0636">
                    <w:pPr>
                      <w:rPr>
                        <w:rFonts w:ascii="Aptos" w:eastAsia="Aptos" w:hAnsi="Aptos" w:cs="Aptos"/>
                        <w:noProof/>
                        <w:color w:val="898989"/>
                        <w:szCs w:val="24"/>
                      </w:rPr>
                    </w:pPr>
                    <w:r w:rsidRPr="001D0636">
                      <w:rPr>
                        <w:rFonts w:ascii="Aptos" w:eastAsia="Aptos" w:hAnsi="Aptos" w:cs="Aptos"/>
                        <w:noProof/>
                        <w:color w:val="898989"/>
                        <w:szCs w:val="24"/>
                      </w:rPr>
                      <w:t>Regeneron -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8E41" w14:textId="77777777" w:rsidR="00352BA3" w:rsidRDefault="00352BA3">
      <w:r>
        <w:separator/>
      </w:r>
    </w:p>
  </w:footnote>
  <w:footnote w:type="continuationSeparator" w:id="0">
    <w:p w14:paraId="541439E0" w14:textId="77777777" w:rsidR="00352BA3" w:rsidRDefault="00352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176F7"/>
    <w:rsid w:val="00031282"/>
    <w:rsid w:val="00054136"/>
    <w:rsid w:val="00065EBD"/>
    <w:rsid w:val="00083B44"/>
    <w:rsid w:val="000850DC"/>
    <w:rsid w:val="000C2771"/>
    <w:rsid w:val="000D46F4"/>
    <w:rsid w:val="000F0DCE"/>
    <w:rsid w:val="000F6BE3"/>
    <w:rsid w:val="00112C5B"/>
    <w:rsid w:val="00114193"/>
    <w:rsid w:val="00115A38"/>
    <w:rsid w:val="0011687B"/>
    <w:rsid w:val="00124F82"/>
    <w:rsid w:val="0016337A"/>
    <w:rsid w:val="00164269"/>
    <w:rsid w:val="0016563A"/>
    <w:rsid w:val="00183330"/>
    <w:rsid w:val="001A1BDE"/>
    <w:rsid w:val="001B06DB"/>
    <w:rsid w:val="001B1632"/>
    <w:rsid w:val="001D0636"/>
    <w:rsid w:val="001F0876"/>
    <w:rsid w:val="001F167C"/>
    <w:rsid w:val="001F5E91"/>
    <w:rsid w:val="002077B9"/>
    <w:rsid w:val="00243238"/>
    <w:rsid w:val="00262D72"/>
    <w:rsid w:val="00271844"/>
    <w:rsid w:val="00287F61"/>
    <w:rsid w:val="00294FBB"/>
    <w:rsid w:val="002B5804"/>
    <w:rsid w:val="002C030F"/>
    <w:rsid w:val="003227A1"/>
    <w:rsid w:val="00331D75"/>
    <w:rsid w:val="00352BA3"/>
    <w:rsid w:val="00355362"/>
    <w:rsid w:val="00363E44"/>
    <w:rsid w:val="00395E86"/>
    <w:rsid w:val="003A2FD8"/>
    <w:rsid w:val="003B40E6"/>
    <w:rsid w:val="003E74FB"/>
    <w:rsid w:val="003F6E14"/>
    <w:rsid w:val="00402F48"/>
    <w:rsid w:val="00403D2C"/>
    <w:rsid w:val="00405336"/>
    <w:rsid w:val="004571D5"/>
    <w:rsid w:val="00461D81"/>
    <w:rsid w:val="0046356B"/>
    <w:rsid w:val="00477182"/>
    <w:rsid w:val="004779CB"/>
    <w:rsid w:val="00491E47"/>
    <w:rsid w:val="004E42D8"/>
    <w:rsid w:val="004E7BA2"/>
    <w:rsid w:val="004F7EDF"/>
    <w:rsid w:val="005001AC"/>
    <w:rsid w:val="00513B03"/>
    <w:rsid w:val="00525289"/>
    <w:rsid w:val="00527D71"/>
    <w:rsid w:val="005520A8"/>
    <w:rsid w:val="005607DD"/>
    <w:rsid w:val="005902AD"/>
    <w:rsid w:val="005A558C"/>
    <w:rsid w:val="005C1377"/>
    <w:rsid w:val="005E28F8"/>
    <w:rsid w:val="005E43AA"/>
    <w:rsid w:val="005E6513"/>
    <w:rsid w:val="00630499"/>
    <w:rsid w:val="006357F6"/>
    <w:rsid w:val="0065089D"/>
    <w:rsid w:val="00651114"/>
    <w:rsid w:val="00653672"/>
    <w:rsid w:val="00664560"/>
    <w:rsid w:val="00670299"/>
    <w:rsid w:val="00691985"/>
    <w:rsid w:val="006A1B64"/>
    <w:rsid w:val="006A4AE1"/>
    <w:rsid w:val="006B024D"/>
    <w:rsid w:val="006B268C"/>
    <w:rsid w:val="007108F5"/>
    <w:rsid w:val="00713E5B"/>
    <w:rsid w:val="007402FC"/>
    <w:rsid w:val="007411A1"/>
    <w:rsid w:val="00784E98"/>
    <w:rsid w:val="00793072"/>
    <w:rsid w:val="007C5F1F"/>
    <w:rsid w:val="007F33C1"/>
    <w:rsid w:val="00807D35"/>
    <w:rsid w:val="008218C4"/>
    <w:rsid w:val="0083457E"/>
    <w:rsid w:val="00835778"/>
    <w:rsid w:val="00867A98"/>
    <w:rsid w:val="00870867"/>
    <w:rsid w:val="00885C9B"/>
    <w:rsid w:val="008D0D35"/>
    <w:rsid w:val="008D5D2A"/>
    <w:rsid w:val="00914B63"/>
    <w:rsid w:val="0092651C"/>
    <w:rsid w:val="009354F3"/>
    <w:rsid w:val="009447DC"/>
    <w:rsid w:val="00961BA5"/>
    <w:rsid w:val="009743A9"/>
    <w:rsid w:val="009A5287"/>
    <w:rsid w:val="009B194D"/>
    <w:rsid w:val="009B2AC5"/>
    <w:rsid w:val="009B7984"/>
    <w:rsid w:val="009F4BED"/>
    <w:rsid w:val="009F7D93"/>
    <w:rsid w:val="00A3403B"/>
    <w:rsid w:val="00A51A12"/>
    <w:rsid w:val="00A627D4"/>
    <w:rsid w:val="00A74DA2"/>
    <w:rsid w:val="00AB399E"/>
    <w:rsid w:val="00AC59D0"/>
    <w:rsid w:val="00AD16B1"/>
    <w:rsid w:val="00AD499C"/>
    <w:rsid w:val="00B0071D"/>
    <w:rsid w:val="00B27BA9"/>
    <w:rsid w:val="00B3186E"/>
    <w:rsid w:val="00B36869"/>
    <w:rsid w:val="00B43B31"/>
    <w:rsid w:val="00B47CFA"/>
    <w:rsid w:val="00B57F00"/>
    <w:rsid w:val="00B75CD1"/>
    <w:rsid w:val="00B77B2A"/>
    <w:rsid w:val="00B82C22"/>
    <w:rsid w:val="00B93DBA"/>
    <w:rsid w:val="00B9440A"/>
    <w:rsid w:val="00BB2D2A"/>
    <w:rsid w:val="00BC3E04"/>
    <w:rsid w:val="00BD58CF"/>
    <w:rsid w:val="00BF0C92"/>
    <w:rsid w:val="00C04CC1"/>
    <w:rsid w:val="00C35570"/>
    <w:rsid w:val="00C4096C"/>
    <w:rsid w:val="00C50C6D"/>
    <w:rsid w:val="00C600D9"/>
    <w:rsid w:val="00C63E81"/>
    <w:rsid w:val="00C92B22"/>
    <w:rsid w:val="00CC1384"/>
    <w:rsid w:val="00CD3720"/>
    <w:rsid w:val="00CF1848"/>
    <w:rsid w:val="00CF5C2F"/>
    <w:rsid w:val="00D039FD"/>
    <w:rsid w:val="00D04BCF"/>
    <w:rsid w:val="00D143D9"/>
    <w:rsid w:val="00D1544C"/>
    <w:rsid w:val="00D32950"/>
    <w:rsid w:val="00D5511B"/>
    <w:rsid w:val="00D766F1"/>
    <w:rsid w:val="00DA7151"/>
    <w:rsid w:val="00E01559"/>
    <w:rsid w:val="00E146A7"/>
    <w:rsid w:val="00E257C8"/>
    <w:rsid w:val="00E41512"/>
    <w:rsid w:val="00E4519A"/>
    <w:rsid w:val="00E853D5"/>
    <w:rsid w:val="00E97215"/>
    <w:rsid w:val="00E9773B"/>
    <w:rsid w:val="00EA1E18"/>
    <w:rsid w:val="00EA6F42"/>
    <w:rsid w:val="00EC13A3"/>
    <w:rsid w:val="00EC6E9D"/>
    <w:rsid w:val="00EC7C85"/>
    <w:rsid w:val="00EF4E57"/>
    <w:rsid w:val="00F125EE"/>
    <w:rsid w:val="00F12E98"/>
    <w:rsid w:val="00F22029"/>
    <w:rsid w:val="00F4427B"/>
    <w:rsid w:val="00F515FB"/>
    <w:rsid w:val="00F630EA"/>
    <w:rsid w:val="00F7007E"/>
    <w:rsid w:val="00F73193"/>
    <w:rsid w:val="00F74F95"/>
    <w:rsid w:val="00F80705"/>
    <w:rsid w:val="00F84BD9"/>
    <w:rsid w:val="00FA1481"/>
    <w:rsid w:val="00FF0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link w:val="Heading1"/>
    <w:semiHidden/>
    <w:rsid w:val="00FF04E3"/>
    <w:rPr>
      <w:b/>
      <w:bCs/>
      <w:kern w:val="32"/>
      <w:sz w:val="24"/>
      <w:szCs w:val="24"/>
    </w:rPr>
  </w:style>
  <w:style w:type="character" w:customStyle="1" w:styleId="Heading2Char">
    <w:name w:val="Heading 2 Char"/>
    <w:link w:val="Heading2"/>
    <w:semiHidden/>
    <w:rsid w:val="00FF04E3"/>
    <w:rPr>
      <w:rFonts w:ascii="Cambria" w:hAnsi="Cambria"/>
      <w:b/>
      <w:bCs/>
      <w:i/>
      <w:iCs/>
      <w:sz w:val="28"/>
      <w:szCs w:val="28"/>
    </w:rPr>
  </w:style>
  <w:style w:type="character" w:customStyle="1" w:styleId="Heading5Char">
    <w:name w:val="Heading 5 Char"/>
    <w:link w:val="Heading5"/>
    <w:semiHidden/>
    <w:rsid w:val="00FF04E3"/>
    <w:rPr>
      <w:rFonts w:ascii="Calibri" w:hAnsi="Calibri"/>
      <w:b/>
      <w:bCs/>
      <w:i/>
      <w:iCs/>
      <w:sz w:val="26"/>
      <w:szCs w:val="26"/>
    </w:rPr>
  </w:style>
  <w:style w:type="character" w:customStyle="1" w:styleId="Heading6Char">
    <w:name w:val="Heading 6 Char"/>
    <w:link w:val="Heading6"/>
    <w:semiHidden/>
    <w:rsid w:val="00FF04E3"/>
    <w:rPr>
      <w:rFonts w:ascii="Calibri" w:hAnsi="Calibri"/>
      <w:b/>
      <w:bCs/>
      <w:sz w:val="22"/>
      <w:szCs w:val="22"/>
    </w:rPr>
  </w:style>
  <w:style w:type="character" w:customStyle="1" w:styleId="Heading7Char">
    <w:name w:val="Heading 7 Char"/>
    <w:link w:val="Heading7"/>
    <w:semiHidden/>
    <w:rsid w:val="00FF04E3"/>
    <w:rPr>
      <w:rFonts w:ascii="Calibri" w:hAnsi="Calibri"/>
      <w:sz w:val="24"/>
      <w:szCs w:val="24"/>
    </w:rPr>
  </w:style>
  <w:style w:type="character" w:customStyle="1" w:styleId="Heading8Char">
    <w:name w:val="Heading 8 Char"/>
    <w:link w:val="Heading8"/>
    <w:semiHidden/>
    <w:rsid w:val="00FF04E3"/>
    <w:rPr>
      <w:rFonts w:ascii="Calibri" w:hAnsi="Calibri"/>
      <w:i/>
      <w:iCs/>
      <w:sz w:val="24"/>
      <w:szCs w:val="24"/>
    </w:rPr>
  </w:style>
  <w:style w:type="character" w:customStyle="1" w:styleId="Heading9Char">
    <w:name w:val="Heading 9 Char"/>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semiHidden/>
    <w:rsid w:val="007402FC"/>
    <w:rPr>
      <w:color w:val="0000FF"/>
      <w:u w:val="single"/>
    </w:rPr>
  </w:style>
  <w:style w:type="character" w:styleId="FollowedHyperlink">
    <w:name w:val="FollowedHyperlink"/>
    <w:semiHidden/>
    <w:unhideWhenUsed/>
    <w:rsid w:val="00793072"/>
    <w:rPr>
      <w:color w:val="800080"/>
      <w:u w:val="single"/>
    </w:rPr>
  </w:style>
  <w:style w:type="character" w:styleId="CommentReference">
    <w:name w:val="annotation reference"/>
    <w:semiHidden/>
    <w:unhideWhenUsed/>
    <w:rsid w:val="00793072"/>
    <w:rPr>
      <w:sz w:val="16"/>
      <w:szCs w:val="16"/>
    </w:rPr>
  </w:style>
  <w:style w:type="character" w:styleId="UnresolvedMention">
    <w:name w:val="Unresolved Mention"/>
    <w:basedOn w:val="DefaultParagraphFont"/>
    <w:uiPriority w:val="99"/>
    <w:semiHidden/>
    <w:unhideWhenUsed/>
    <w:rsid w:val="008218C4"/>
    <w:rPr>
      <w:color w:val="808080"/>
      <w:shd w:val="clear" w:color="auto" w:fill="E6E6E6"/>
    </w:rPr>
  </w:style>
  <w:style w:type="paragraph" w:styleId="Revision">
    <w:name w:val="Revision"/>
    <w:hidden/>
    <w:uiPriority w:val="99"/>
    <w:semiHidden/>
    <w:rsid w:val="003227A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630</Words>
  <Characters>3950</Characters>
  <Application>Microsoft Office Word</Application>
  <DocSecurity>0</DocSecurity>
  <Lines>188</Lines>
  <Paragraphs>130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4450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Jesus Trejos</cp:lastModifiedBy>
  <cp:revision>5</cp:revision>
  <cp:lastPrinted>2018-01-11T19:53:00Z</cp:lastPrinted>
  <dcterms:created xsi:type="dcterms:W3CDTF">2026-07-30T16:33:00Z</dcterms:created>
  <dcterms:modified xsi:type="dcterms:W3CDTF">2026-08-31T18:15:00Z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1ad6dbc,3447de07,16b46cf8</vt:lpwstr>
  </property>
  <property fmtid="{D5CDD505-2E9C-101B-9397-08002B2CF9AE}" pid="3" name="ClassificationContentMarkingFooterFontProps">
    <vt:lpwstr>#898989,12,Aptos</vt:lpwstr>
  </property>
  <property fmtid="{D5CDD505-2E9C-101B-9397-08002B2CF9AE}" pid="4" name="ClassificationContentMarkingFooterText">
    <vt:lpwstr>Regeneron - Internal</vt:lpwstr>
  </property>
  <property fmtid="{D5CDD505-2E9C-101B-9397-08002B2CF9AE}" pid="5" name="MSIP_Label_2da9790f-e5c1-4030-9332-9cdee48e94a8_Enabled">
    <vt:lpwstr>true</vt:lpwstr>
  </property>
  <property fmtid="{D5CDD505-2E9C-101B-9397-08002B2CF9AE}" pid="6" name="MSIP_Label_2da9790f-e5c1-4030-9332-9cdee48e94a8_SetDate">
    <vt:lpwstr>2026-07-30T16:33:28Z</vt:lpwstr>
  </property>
  <property fmtid="{D5CDD505-2E9C-101B-9397-08002B2CF9AE}" pid="7" name="MSIP_Label_2da9790f-e5c1-4030-9332-9cdee48e94a8_Method">
    <vt:lpwstr>Standard</vt:lpwstr>
  </property>
  <property fmtid="{D5CDD505-2E9C-101B-9397-08002B2CF9AE}" pid="8" name="MSIP_Label_2da9790f-e5c1-4030-9332-9cdee48e94a8_Name">
    <vt:lpwstr>Internal</vt:lpwstr>
  </property>
  <property fmtid="{D5CDD505-2E9C-101B-9397-08002B2CF9AE}" pid="9" name="MSIP_Label_2da9790f-e5c1-4030-9332-9cdee48e94a8_SiteId">
    <vt:lpwstr>3e9aadf8-6a16-490f-8dcd-c68860caae0b</vt:lpwstr>
  </property>
  <property fmtid="{D5CDD505-2E9C-101B-9397-08002B2CF9AE}" pid="10" name="MSIP_Label_2da9790f-e5c1-4030-9332-9cdee48e94a8_ActionId">
    <vt:lpwstr>73fbc3cc-6f32-4b95-b670-954c8979b45f</vt:lpwstr>
  </property>
  <property fmtid="{D5CDD505-2E9C-101B-9397-08002B2CF9AE}" pid="11" name="MSIP_Label_2da9790f-e5c1-4030-9332-9cdee48e94a8_ContentBits">
    <vt:lpwstr>2</vt:lpwstr>
  </property>
  <property fmtid="{D5CDD505-2E9C-101B-9397-08002B2CF9AE}" pid="12" name="MSIP_Label_2da9790f-e5c1-4030-9332-9cdee48e94a8_Tag">
    <vt:lpwstr>10, 3, 0, 1</vt:lpwstr>
  </property>
</Properties>
</file>