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377E7" w:rsidP="7C63EBD9" w:rsidRDefault="00E377E7" w14:paraId="607D233E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3BBDE9D3" w14:textId="77777777">
      <w:pPr>
        <w:jc w:val="center"/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>Supplementary of articles : “Genetic associations with drinking initiation and cessation in African ancestry populations”</w:t>
      </w:r>
    </w:p>
    <w:p w:rsidR="00E377E7" w:rsidP="7C63EBD9" w:rsidRDefault="00000000" w14:paraId="7FC0177E" w14:textId="77777777">
      <w:pPr>
        <w:jc w:val="center"/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>Jean-Tristan Brandenburg</w:t>
      </w:r>
    </w:p>
    <w:p w:rsidR="00E377E7" w:rsidP="7C63EBD9" w:rsidRDefault="00E377E7" w14:paraId="075246CC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7A72A38C" w14:textId="77777777">
      <w:pPr>
        <w:rPr>
          <w:rFonts w:ascii="Calibri" w:hAnsi="Calibri" w:eastAsia="Calibri" w:cs="Calibri"/>
          <w:sz w:val="24"/>
          <w:szCs w:val="24"/>
        </w:rPr>
      </w:pPr>
      <w:r w:rsidRPr="7C63EBD9">
        <w:rPr>
          <w:rFonts w:ascii="Calibri" w:hAnsi="Calibri" w:eastAsia="Calibri" w:cs="Calibri"/>
          <w:sz w:val="24"/>
          <w:szCs w:val="24"/>
        </w:rPr>
        <w:br w:type="page"/>
      </w:r>
    </w:p>
    <w:p w:rsidR="00E377E7" w:rsidP="7C63EBD9" w:rsidRDefault="00E377E7" w14:paraId="1AF92ED8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6486C70B" w14:textId="77777777">
      <w:pPr>
        <w:keepNext w:val="1"/>
        <w:keepLines w:val="1"/>
        <w:rPr>
          <w:rFonts w:ascii="Calibri" w:hAnsi="Calibri" w:eastAsia="Calibri" w:cs="Calibri"/>
          <w:sz w:val="24"/>
          <w:szCs w:val="24"/>
        </w:rPr>
      </w:pPr>
      <w:r w:rsidR="32D5E6FF">
        <w:drawing>
          <wp:inline wp14:editId="4FD968A1" wp14:anchorId="26F28B83">
            <wp:extent cx="4400550" cy="5943600"/>
            <wp:effectExtent l="0" t="0" r="0" b="0"/>
            <wp:docPr id="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drawi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7E7" w:rsidP="7C63EBD9" w:rsidRDefault="00000000" w14:paraId="218EE224" w14:textId="77777777">
      <w:pPr>
        <w:keepNext w:val="1"/>
        <w:keepLines w:val="1"/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>Supplementary Figure 1: Study design showing the data sources, analysis strategy, and post-GWAS analysis approach. PCA was performed using the AWI-GEN and UK Biobank datasets with PLINK. Figure created with BioRender.</w:t>
      </w:r>
    </w:p>
    <w:p w:rsidR="00E377E7" w:rsidP="7C63EBD9" w:rsidRDefault="00E377E7" w14:paraId="01863D33" w14:textId="77777777">
      <w:pPr>
        <w:keepNext w:val="1"/>
        <w:keepLines w:val="1"/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E377E7" w14:paraId="15E670E5" w14:textId="77777777">
      <w:pPr>
        <w:keepNext w:val="1"/>
        <w:keepLines w:val="1"/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E377E7" w14:paraId="4485D0D7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5CA9B0AB" w14:textId="77777777">
      <w:pPr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 xml:space="preserve"> </w:t>
      </w:r>
      <w:r w:rsidR="32D5E6FF">
        <w:drawing>
          <wp:inline wp14:editId="2076E7DE" wp14:anchorId="5F086949">
            <wp:extent cx="6924675" cy="5372100"/>
            <wp:effectExtent l="114935" t="0" r="114300" b="635"/>
            <wp:docPr id="2" name="drawi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" name="drawing"/>
                    <pic:cNvPicPr/>
                  </pic:nvPicPr>
                  <pic:blipFill>
                    <a:blip xmlns:r="http://schemas.openxmlformats.org/officeDocument/2006/relationships" r:embed="rId5"/>
                    <a:stretch/>
                  </pic:blipFill>
                  <pic:spPr>
                    <a:xfrm rot="5400000">
                      <a:off x="0" y="0"/>
                      <a:ext cx="6924600" cy="537228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:rsidR="00E377E7" w:rsidP="7C63EBD9" w:rsidRDefault="00000000" w14:paraId="74EB6935" w14:textId="77777777">
      <w:pPr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>Supplementary Figure 2: Diagram of the overall study design. DI, drinking initiation; DC, drinking cessation; AWI-GEN, Africa Wits-INDEPTH Partnership for Genomic Studies; Uganda Genome Resource (UGR); UK Biobank African ancestry participants (UKB-AFR); JCS, Johannesburg Cancer Study; MAF, minor allele frequency; PIP, posterior inclusion probability.</w:t>
      </w:r>
    </w:p>
    <w:p w:rsidR="00E377E7" w:rsidP="7C63EBD9" w:rsidRDefault="00E377E7" w14:paraId="06301556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E377E7" w14:paraId="7DAF3A1D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E377E7" w14:paraId="46555B61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E330A0" w14:paraId="539F60D8" w14:textId="356F5BE8">
      <w:pPr>
        <w:rPr>
          <w:rFonts w:ascii="Calibri" w:hAnsi="Calibri" w:eastAsia="Calibri" w:cs="Calibri"/>
          <w:sz w:val="24"/>
          <w:szCs w:val="24"/>
        </w:rPr>
      </w:pPr>
      <w:r w:rsidR="645DAFE1">
        <w:drawing>
          <wp:inline wp14:editId="2E4C7AE0" wp14:anchorId="0C25A69B">
            <wp:extent cx="5943600" cy="2543175"/>
            <wp:effectExtent l="0" t="0" r="0" b="0"/>
            <wp:docPr id="5" name="Image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" name="Image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45DAFE1">
        <w:drawing>
          <wp:inline wp14:editId="6A10C218" wp14:anchorId="3CD43391">
            <wp:extent cx="5943600" cy="2505075"/>
            <wp:effectExtent l="0" t="0" r="0" b="0"/>
            <wp:docPr id="4" name="Image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" name="Image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7E7" w:rsidP="7C63EBD9" w:rsidRDefault="00000000" w14:paraId="245318AF" w14:textId="2EB10301">
      <w:pPr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 xml:space="preserve">Supplementary Figure 3: Manhattan plots showing the association results for </w:t>
      </w:r>
      <w:r w:rsidRPr="7C63EBD9" w:rsidR="79A3DC23">
        <w:rPr>
          <w:rFonts w:ascii="Calibri" w:hAnsi="Calibri" w:eastAsia="Calibri" w:cs="Calibri"/>
          <w:sz w:val="24"/>
          <w:szCs w:val="24"/>
        </w:rPr>
        <w:t>DI</w:t>
      </w:r>
      <w:r w:rsidRPr="7C63EBD9" w:rsidR="79A3DC23">
        <w:rPr>
          <w:rFonts w:ascii="Calibri" w:hAnsi="Calibri" w:eastAsia="Calibri" w:cs="Calibri"/>
          <w:sz w:val="24"/>
          <w:szCs w:val="24"/>
          <w:vertAlign w:val="subscript"/>
        </w:rPr>
        <w:t>SSA</w:t>
      </w:r>
      <w:r w:rsidRPr="7C63EBD9" w:rsidR="79A3DC23">
        <w:rPr>
          <w:rFonts w:ascii="Calibri" w:hAnsi="Calibri" w:eastAsia="Calibri" w:cs="Calibri"/>
          <w:sz w:val="24"/>
          <w:szCs w:val="24"/>
        </w:rPr>
        <w:t xml:space="preserve"> 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(a) and </w:t>
      </w:r>
      <w:r w:rsidRPr="7C63EBD9" w:rsidR="79A3DC23">
        <w:rPr>
          <w:rFonts w:ascii="Calibri" w:hAnsi="Calibri" w:eastAsia="Calibri" w:cs="Calibri"/>
          <w:sz w:val="24"/>
          <w:szCs w:val="24"/>
        </w:rPr>
        <w:t>DC</w:t>
      </w:r>
      <w:r w:rsidRPr="7C63EBD9" w:rsidR="79A3DC23">
        <w:rPr>
          <w:rFonts w:ascii="Calibri" w:hAnsi="Calibri" w:eastAsia="Calibri" w:cs="Calibri"/>
          <w:sz w:val="24"/>
          <w:szCs w:val="24"/>
          <w:vertAlign w:val="subscript"/>
        </w:rPr>
        <w:t>SSA</w:t>
      </w:r>
      <w:r w:rsidRPr="7C63EBD9" w:rsidR="79A3DC23">
        <w:rPr>
          <w:rFonts w:ascii="Calibri" w:hAnsi="Calibri" w:eastAsia="Calibri" w:cs="Calibri"/>
          <w:sz w:val="24"/>
          <w:szCs w:val="24"/>
        </w:rPr>
        <w:t xml:space="preserve"> 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(b). Lead SNPs reaching genome-wide significance (P &lt; 5 × 10⁻⁸) are highlighted. The red line </w:t>
      </w:r>
      <w:r w:rsidRPr="7C63EBD9" w:rsidR="32D5E6FF">
        <w:rPr>
          <w:rFonts w:ascii="Calibri" w:hAnsi="Calibri" w:eastAsia="Calibri" w:cs="Calibri"/>
          <w:sz w:val="24"/>
          <w:szCs w:val="24"/>
        </w:rPr>
        <w:t>indicates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the genome-wide significance threshold at P = 5 × 10⁻⁸, and the blue line marks the suggestive significance threshold at P = 5 × 10⁻⁶.</w:t>
      </w:r>
    </w:p>
    <w:p w:rsidR="00E377E7" w:rsidP="7C63EBD9" w:rsidRDefault="00E377E7" w14:paraId="22E6BFBA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0956075C" w14:textId="77777777">
      <w:pPr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  <w:r w:rsidR="32D5E6FF">
        <w:drawing>
          <wp:inline wp14:editId="1CD4DD98" wp14:anchorId="0D9A88C2">
            <wp:extent cx="4943475" cy="3462020"/>
            <wp:effectExtent l="0" t="0" r="0" b="0"/>
            <wp:docPr id="6" name="Image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" name="Image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7E7" w:rsidRDefault="00000000" w14:paraId="4464FE28" w14:textId="0DD931FE">
      <w:r w:rsidR="32F22850">
        <w:drawing>
          <wp:inline wp14:editId="6D149B4C" wp14:anchorId="4584B6C1">
            <wp:extent cx="5943600" cy="4162425"/>
            <wp:effectExtent l="0" t="0" r="0" b="0"/>
            <wp:docPr id="1623541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354161" name="Picture 162354161"/>
                    <pic:cNvPicPr/>
                  </pic:nvPicPr>
                  <pic:blipFill>
                    <a:blip xmlns:r="http://schemas.openxmlformats.org/officeDocument/2006/relationships" r:embed="rId6735316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7E7" w:rsidP="7C63EBD9" w:rsidRDefault="00000000" w14:paraId="71772509" w14:textId="3E45CF02">
      <w:pPr>
        <w:pStyle w:val="Normal"/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  <w:r w:rsidRPr="7C63EBD9" w:rsidR="2B739D1F">
        <w:rPr>
          <w:rFonts w:ascii="Calibri" w:hAnsi="Calibri" w:eastAsia="Calibri" w:cs="Calibri"/>
          <w:sz w:val="24"/>
          <w:szCs w:val="24"/>
        </w:rPr>
        <w:t>Supplementary  f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igure 4a–b: Regional association plots generated using </w:t>
      </w:r>
      <w:r w:rsidRPr="7C63EBD9" w:rsidR="32D5E6FF">
        <w:rPr>
          <w:rFonts w:ascii="Calibri" w:hAnsi="Calibri" w:eastAsia="Calibri" w:cs="Calibri"/>
          <w:sz w:val="24"/>
          <w:szCs w:val="24"/>
        </w:rPr>
        <w:t>LocusZoom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for the regions surrounding each sentinel SNP that reached genome-wide significance for DC</w:t>
      </w:r>
      <w:r w:rsidRPr="7C63EBD9" w:rsidR="32D5E6FF">
        <w:rPr>
          <w:rFonts w:ascii="Calibri" w:hAnsi="Calibri" w:eastAsia="Calibri" w:cs="Calibri"/>
          <w:sz w:val="24"/>
          <w:szCs w:val="24"/>
          <w:vertAlign w:val="subscript"/>
        </w:rPr>
        <w:t>SSA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(a) and DC</w:t>
      </w:r>
      <w:r w:rsidRPr="7C63EBD9" w:rsidR="32D5E6FF">
        <w:rPr>
          <w:rFonts w:ascii="Calibri" w:hAnsi="Calibri" w:eastAsia="Calibri" w:cs="Calibri"/>
          <w:sz w:val="24"/>
          <w:szCs w:val="24"/>
          <w:vertAlign w:val="subscript"/>
        </w:rPr>
        <w:t>AA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(b). </w:t>
      </w:r>
    </w:p>
    <w:p w:rsidR="00E377E7" w:rsidP="7C63EBD9" w:rsidRDefault="00E377E7" w14:paraId="02D4C8AD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E377E7" w14:paraId="382358CF" w14:textId="77777777">
      <w:pPr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3F12CD60" w14:textId="77777777">
      <w:pPr>
        <w:keepNext w:val="1"/>
        <w:keepLines w:val="1"/>
        <w:spacing w:after="0"/>
        <w:jc w:val="center"/>
        <w:rPr>
          <w:rFonts w:ascii="Calibri" w:hAnsi="Calibri" w:eastAsia="Calibri" w:cs="Calibri"/>
          <w:sz w:val="24"/>
          <w:szCs w:val="24"/>
        </w:rPr>
      </w:pPr>
      <w:r w:rsidR="32D5E6FF">
        <w:drawing>
          <wp:inline wp14:editId="4EEB9441" wp14:anchorId="4CD7E026">
            <wp:extent cx="3629025" cy="7284085"/>
            <wp:effectExtent l="0" t="0" r="0" b="0"/>
            <wp:docPr id="8" name="Image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" name="Image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3629025" cy="728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7E7" w:rsidP="7C63EBD9" w:rsidRDefault="00E377E7" w14:paraId="4F5DB3FD" w14:textId="77777777">
      <w:pPr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</w:p>
    <w:p w:rsidR="00E377E7" w:rsidP="7C63EBD9" w:rsidRDefault="00000000" w14:paraId="58CEE220" w14:textId="33241D6F">
      <w:pPr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  <w:r w:rsidRPr="7C63EBD9" w:rsidR="32D5E6FF">
        <w:rPr>
          <w:rFonts w:ascii="Calibri" w:hAnsi="Calibri" w:eastAsia="Calibri" w:cs="Calibri"/>
          <w:sz w:val="24"/>
          <w:szCs w:val="24"/>
        </w:rPr>
        <w:t xml:space="preserve">Supplementary Figure </w:t>
      </w:r>
      <w:r w:rsidRPr="7C63EBD9" w:rsidR="214D0ED2">
        <w:rPr>
          <w:rFonts w:ascii="Calibri" w:hAnsi="Calibri" w:eastAsia="Calibri" w:cs="Calibri"/>
          <w:sz w:val="24"/>
          <w:szCs w:val="24"/>
        </w:rPr>
        <w:t>5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a–d: </w:t>
      </w:r>
      <w:r w:rsidRPr="7C63EBD9" w:rsidR="32D5E6FF">
        <w:rPr>
          <w:rFonts w:ascii="Calibri" w:hAnsi="Calibri" w:eastAsia="Calibri" w:cs="Calibri"/>
          <w:sz w:val="24"/>
          <w:szCs w:val="24"/>
        </w:rPr>
        <w:t>PheWAS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plots of credible SNPs (</w:t>
      </w:r>
      <w:r w:rsidRPr="7C63EBD9" w:rsidR="32D5E6FF">
        <w:rPr>
          <w:rFonts w:ascii="Calibri" w:hAnsi="Calibri" w:eastAsia="Calibri" w:cs="Calibri"/>
          <w:sz w:val="24"/>
          <w:szCs w:val="24"/>
        </w:rPr>
        <w:t>coloured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) using each sentinel SNP and its corresponding credible set for each meta-analysis. Results are </w:t>
      </w:r>
      <w:r w:rsidRPr="7C63EBD9" w:rsidR="35E50EF8">
        <w:rPr>
          <w:rFonts w:ascii="Calibri" w:hAnsi="Calibri" w:eastAsia="Calibri" w:cs="Calibri"/>
          <w:sz w:val="24"/>
          <w:szCs w:val="24"/>
        </w:rPr>
        <w:t>summarized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by sentinel</w:t>
      </w:r>
      <w:r w:rsidRPr="7C63EBD9" w:rsidR="32D5E6FF">
        <w:rPr>
          <w:rFonts w:ascii="Calibri" w:hAnsi="Calibri" w:eastAsia="Calibri" w:cs="Calibri"/>
          <w:sz w:val="24"/>
          <w:szCs w:val="24"/>
        </w:rPr>
        <w:t xml:space="preserve"> SNP for: (a) DISSA, (b) DIAA, (c) DCSSA, and (d) DCAA. </w:t>
      </w:r>
    </w:p>
    <w:p w:rsidR="7C63EBD9" w:rsidP="7C63EBD9" w:rsidRDefault="7C63EBD9" w14:paraId="6584D5E3" w14:textId="0E54EF26">
      <w:pPr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</w:p>
    <w:p w:rsidR="07E3AF41" w:rsidP="7C63EBD9" w:rsidRDefault="07E3AF41" w14:paraId="334648B0" w14:textId="668AEA6C">
      <w:pPr>
        <w:pStyle w:val="Normal"/>
        <w:keepNext w:val="1"/>
        <w:keepLines w:val="1"/>
        <w:spacing w:after="0"/>
      </w:pPr>
      <w:r w:rsidR="07E3AF41">
        <w:drawing>
          <wp:inline wp14:editId="124C09BE" wp14:anchorId="007B45BF">
            <wp:extent cx="5943600" cy="3505200"/>
            <wp:effectExtent l="0" t="0" r="0" b="0"/>
            <wp:docPr id="56608401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66084016" name="Picture 566084016"/>
                    <pic:cNvPicPr/>
                  </pic:nvPicPr>
                  <pic:blipFill>
                    <a:blip xmlns:r="http://schemas.openxmlformats.org/officeDocument/2006/relationships" r:embed="rId188674218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7E3AF41" w:rsidP="7C63EBD9" w:rsidRDefault="07E3AF41" w14:paraId="372B594B" w14:textId="043E98DC">
      <w:pPr>
        <w:pStyle w:val="Normal"/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  <w:r w:rsidRPr="7C63EBD9" w:rsidR="07E3AF41">
        <w:rPr>
          <w:rFonts w:ascii="Calibri" w:hAnsi="Calibri" w:eastAsia="Calibri" w:cs="Calibri"/>
          <w:sz w:val="24"/>
          <w:szCs w:val="24"/>
        </w:rPr>
        <w:t>Supplementary Figure 6a–</w:t>
      </w:r>
      <w:r w:rsidRPr="7C63EBD9" w:rsidR="07E3AF41">
        <w:rPr>
          <w:rFonts w:ascii="Calibri" w:hAnsi="Calibri" w:eastAsia="Calibri" w:cs="Calibri"/>
          <w:sz w:val="24"/>
          <w:szCs w:val="24"/>
        </w:rPr>
        <w:t>d :</w:t>
      </w:r>
      <w:r w:rsidRPr="7C63EBD9" w:rsidR="07E3AF41">
        <w:rPr>
          <w:rFonts w:ascii="Calibri" w:hAnsi="Calibri" w:eastAsia="Calibri" w:cs="Calibri"/>
          <w:sz w:val="24"/>
          <w:szCs w:val="24"/>
        </w:rPr>
        <w:t xml:space="preserve"> </w:t>
      </w:r>
      <w:r w:rsidRPr="7C63EBD9" w:rsidR="07E3AF41">
        <w:rPr>
          <w:rFonts w:ascii="Calibri" w:hAnsi="Calibri" w:eastAsia="Calibri" w:cs="Calibri"/>
          <w:sz w:val="24"/>
          <w:szCs w:val="24"/>
        </w:rPr>
        <w:t>Significant Gene set enrichment for Drinking Initiation Canonical pathway, (B) Gene Ontology Biological Process, (C) Gene Ontology Molecular Function, (D) GWAS Catalog enrichment</w:t>
      </w:r>
    </w:p>
    <w:p w:rsidR="7C63EBD9" w:rsidP="7C63EBD9" w:rsidRDefault="7C63EBD9" w14:paraId="0D93DD79" w14:textId="2402BF78">
      <w:pPr>
        <w:pStyle w:val="Normal"/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</w:p>
    <w:p w:rsidR="7C63EBD9" w:rsidP="7C63EBD9" w:rsidRDefault="7C63EBD9" w14:paraId="496C45BA" w14:textId="4622138B">
      <w:pPr>
        <w:pStyle w:val="Normal"/>
        <w:keepNext w:val="1"/>
        <w:keepLines w:val="1"/>
        <w:spacing w:after="0"/>
        <w:rPr>
          <w:rFonts w:ascii="Calibri" w:hAnsi="Calibri" w:eastAsia="Calibri" w:cs="Calibri"/>
          <w:sz w:val="24"/>
          <w:szCs w:val="24"/>
        </w:rPr>
      </w:pPr>
    </w:p>
    <w:p w:rsidR="07E3AF41" w:rsidP="7C63EBD9" w:rsidRDefault="07E3AF41" w14:paraId="19B656FA" w14:textId="6BDE6730">
      <w:pPr>
        <w:pStyle w:val="Normal"/>
        <w:keepNext w:val="1"/>
        <w:keepLines w:val="1"/>
        <w:spacing w:after="0"/>
      </w:pPr>
      <w:r w:rsidR="07E3AF41">
        <w:drawing>
          <wp:inline wp14:editId="06FDD09E" wp14:anchorId="6C844E73">
            <wp:extent cx="5943600" cy="3371850"/>
            <wp:effectExtent l="0" t="0" r="0" b="0"/>
            <wp:docPr id="10805001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80500157" name="Picture 1080500157"/>
                    <pic:cNvPicPr/>
                  </pic:nvPicPr>
                  <pic:blipFill>
                    <a:blip xmlns:r="http://schemas.openxmlformats.org/officeDocument/2006/relationships" r:embed="rId12829061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7E3AF41">
        <w:rPr/>
        <w:t>Supplementary Figure 7 a-c : Significant Gene set enrichment for Drinking Cessation</w:t>
      </w:r>
    </w:p>
    <w:p w:rsidR="07E3AF41" w:rsidP="7C63EBD9" w:rsidRDefault="07E3AF41" w14:paraId="7748EDD3" w14:textId="481BFA21">
      <w:pPr>
        <w:pStyle w:val="Normal"/>
        <w:keepNext w:val="1"/>
        <w:keepLines w:val="1"/>
        <w:spacing w:after="0"/>
      </w:pPr>
      <w:r w:rsidR="07E3AF41">
        <w:rPr/>
        <w:t>(A) Canonical pathway, (B)GWAS Catalog enrichment, (C) Reactome gene enrichment</w:t>
      </w:r>
    </w:p>
    <w:sectPr w:rsidR="00E377E7">
      <w:pgSz w:w="12240" w:h="15840" w:orient="portrait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Noto Sans CJK SC">
    <w:panose1 w:val="020B0604020202020204"/>
    <w:charset w:val="00"/>
    <w:family w:val="roman"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59"/>
  <w:proofState w:spelling="clean" w:grammar="dirty"/>
  <w:trackRevisions w:val="false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E7"/>
    <w:rsid w:val="00000000"/>
    <w:rsid w:val="002D7035"/>
    <w:rsid w:val="005641D6"/>
    <w:rsid w:val="008B4D13"/>
    <w:rsid w:val="008F390F"/>
    <w:rsid w:val="00CD685C"/>
    <w:rsid w:val="00E330A0"/>
    <w:rsid w:val="00E377E7"/>
    <w:rsid w:val="01227C49"/>
    <w:rsid w:val="040A1DC9"/>
    <w:rsid w:val="07E3AF41"/>
    <w:rsid w:val="0F01B89F"/>
    <w:rsid w:val="214D0ED2"/>
    <w:rsid w:val="2B739D1F"/>
    <w:rsid w:val="32D5E6FF"/>
    <w:rsid w:val="32F22850"/>
    <w:rsid w:val="35E50EF8"/>
    <w:rsid w:val="36B7D950"/>
    <w:rsid w:val="41F16881"/>
    <w:rsid w:val="4A680C32"/>
    <w:rsid w:val="4AD9FDC5"/>
    <w:rsid w:val="520FA8DC"/>
    <w:rsid w:val="539ED799"/>
    <w:rsid w:val="559A22DB"/>
    <w:rsid w:val="5A6740F2"/>
    <w:rsid w:val="5BFFAF12"/>
    <w:rsid w:val="645DAFE1"/>
    <w:rsid w:val="6F9D2784"/>
    <w:rsid w:val="6FB1BBF3"/>
    <w:rsid w:val="79A3DC23"/>
    <w:rsid w:val="7C63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12817"/>
  <w15:docId w15:val="{8AAB2275-7338-E944-A142-F47E701E28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 Sans Devanagari"/>
    </w:rPr>
  </w:style>
  <w:style w:type="character" w:styleId="CommentReference">
    <w:name w:val="Comment Reference"/>
    <w:basedOn w:val="DefaultParagraphFont"/>
    <w:uiPriority w:val="99"/>
    <w:semiHidden/>
    <w:unhideWhenUsed/>
    <w:rsid w:val="008F390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8F390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F390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F39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F390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B4D13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microsoft.com/office/2016/09/relationships/commentsIds" Target="commentsIds.xml" Id="rId8" /><Relationship Type="http://schemas.openxmlformats.org/officeDocument/2006/relationships/webSettings" Target="webSettings.xml" Id="rId3" /><Relationship Type="http://schemas.microsoft.com/office/2011/relationships/commentsExtended" Target="commentsExtended.xml" Id="rId7" /><Relationship Type="http://schemas.openxmlformats.org/officeDocument/2006/relationships/image" Target="media/image5.png" Id="rId12" /><Relationship Type="http://schemas.openxmlformats.org/officeDocument/2006/relationships/theme" Target="theme/theme1.xml" Id="rId17" /><Relationship Type="http://schemas.openxmlformats.org/officeDocument/2006/relationships/settings" Target="settings.xml" Id="rId2" /><Relationship Type="http://schemas.microsoft.com/office/2011/relationships/people" Target="people.xml" Id="rId16" /><Relationship Type="http://schemas.openxmlformats.org/officeDocument/2006/relationships/styles" Target="styles.xml" Id="rId1" /><Relationship Type="http://schemas.openxmlformats.org/officeDocument/2006/relationships/image" Target="media/image4.png" Id="rId11" /><Relationship Type="http://schemas.openxmlformats.org/officeDocument/2006/relationships/image" Target="media/image2.png" Id="rId5" /><Relationship Type="http://schemas.openxmlformats.org/officeDocument/2006/relationships/fontTable" Target="fontTable.xml" Id="rId15" /><Relationship Type="http://schemas.openxmlformats.org/officeDocument/2006/relationships/image" Target="media/image3.png" Id="rId10" /><Relationship Type="http://schemas.openxmlformats.org/officeDocument/2006/relationships/image" Target="media/image1.png" Id="rId4" /><Relationship Type="http://schemas.openxmlformats.org/officeDocument/2006/relationships/image" Target="media/image7.png" Id="rId14" /><Relationship Type="http://schemas.openxmlformats.org/officeDocument/2006/relationships/image" Target="/media/image8.png" Id="rId673531680" /><Relationship Type="http://schemas.openxmlformats.org/officeDocument/2006/relationships/image" Target="/media/image9.png" Id="rId1886742189" /><Relationship Type="http://schemas.openxmlformats.org/officeDocument/2006/relationships/image" Target="/media/imagea.png" Id="rId1282906111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Jean-Tristan Brandenburg</dc:creator>
  <dc:description/>
  <lastModifiedBy>Jean-Tristan Brandenburg</lastModifiedBy>
  <revision>7</revision>
  <dcterms:created xsi:type="dcterms:W3CDTF">2026-04-13T05:46:00.0000000Z</dcterms:created>
  <dcterms:modified xsi:type="dcterms:W3CDTF">2026-06-18T07:42:53.4543485Z</dcterms:modified>
  <dc:language>en-US</dc:language>
</coreProperties>
</file>